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SpotZoom 项目综合检测报告</w:t>
      </w:r>
    </w:p>
    <w:p>
      <w:pPr>
        <w:jc w:val="center"/>
      </w:pPr>
      <w:r>
        <w:rPr>
          <w:sz w:val="24"/>
          <w:szCs w:val="24"/>
        </w:rPr>
        <w:t xml:space="preserve">基于科研前沿开源项目调研的代码增强与质量分析</w:t>
      </w:r>
    </w:p>
    <w:p>
      <w:pPr>
        <w:spacing w:after="400"/>
        <w:jc w:val="center"/>
      </w:pPr>
      <w:r>
        <w:rPr>
          <w:i/>
          <w:iCs/>
          <w:sz w:val="20"/>
          <w:szCs w:val="20"/>
        </w:rPr>
        <w:t xml:space="preserve">检测日期: 2026-05-12</w:t>
      </w:r>
    </w:p>
    <w:p>
      <w:pPr>
        <w:pStyle w:val="Heading2"/>
      </w:pPr>
      <w:r>
        <w:t xml:space="preserve">一、执行摘要</w:t>
      </w:r>
    </w:p>
    <w:p>
      <w:pPr>
        <w:spacing w:after="200"/>
      </w:pPr>
      <w:r>
        <w:t xml:space="preserve">本报告对SpotZoom光斑闭环对准系统进行了全面的代码质量检测与科研前沿开源项目调研。通过分析67个Python文件、近5万行代码，识别出28个代码质量问题，同时调研了Vizarr、Cellpose、StarDist、napari等前沿开源项目，为项目提供了创新模块补充建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2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eastAsia="Microsoft YaHei" w:hAnsi="Arial"/>
                <w:b/>
                <w:bCs/>
              </w:rPr>
              <w:t xml:space="preserve">指标</w:t>
            </w:r>
          </w:p>
        </w:tc>
        <w:tc>
          <w:tcPr>
            <w:tcW w:type="dxa" w:w="2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eastAsia="Microsoft YaHei" w:hAnsi="Arial"/>
                <w:b/>
                <w:bCs/>
              </w:rPr>
              <w:t xml:space="preserve">数值</w:t>
            </w:r>
          </w:p>
        </w:tc>
        <w:tc>
          <w:tcPr>
            <w:tcW w:type="dxa" w:w="2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eastAsia="Microsoft YaHei" w:hAnsi="Arial"/>
                <w:b/>
                <w:bCs/>
              </w:rPr>
              <w:t xml:space="preserve">评级</w:t>
            </w:r>
          </w:p>
        </w:tc>
      </w:tr>
      <w:tr>
        <w:trPr>
          <w:cantSplit/>
        </w:trP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Python文件数</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67</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良好</w:t>
            </w:r>
          </w:p>
        </w:tc>
      </w:tr>
      <w:tr>
        <w:trPr>
          <w:cantSplit/>
        </w:trP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总代码行数</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49695</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良好</w:t>
            </w:r>
          </w:p>
        </w:tc>
      </w:tr>
      <w:tr>
        <w:trPr>
          <w:cantSplit/>
        </w:trP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发现问题数</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28</w:t>
            </w:r>
          </w:p>
        </w:tc>
        <w:tc>
          <w:tcPr>
            <w:tcW w:type="dxa" w:w="2000"/>
            <w:gridSpan w:val="1"/>
            <w:tcBorders>
              <w:top w:val="single" w:color="CCCCCC" w:sz="1"/>
              <w:left w:val="single" w:color="CCCCCC" w:sz="1"/>
              <w:bottom w:val="single" w:color="CCCCCC" w:sz="1"/>
              <w:right w:val="single" w:color="CCCCCC" w:sz="1"/>
            </w:tcBorders>
            <w:shd w:fill="FFE699" w:val="clear"/>
            <w:tcMar>
              <w:top w:type="dxa" w:w="60"/>
              <w:left w:type="dxa" w:w="100"/>
              <w:bottom w:type="dxa" w:w="60"/>
              <w:right w:type="dxa" w:w="100"/>
            </w:tcMar>
          </w:tcPr>
          <w:p>
            <w:r>
              <w:rPr>
                <w:rFonts w:ascii="Arial" w:eastAsia="Microsoft YaHei" w:hAnsi="Arial"/>
                <w:b w:val="false"/>
                <w:bCs w:val="false"/>
              </w:rPr>
              <w:t xml:space="preserve">需关注</w:t>
            </w:r>
          </w:p>
        </w:tc>
      </w:tr>
      <w:tr>
        <w:trPr>
          <w:cantSplit/>
        </w:trP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语法错误</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0</w:t>
            </w:r>
          </w:p>
        </w:tc>
        <w:tc>
          <w:tcPr>
            <w:tcW w:type="dxa" w:w="2000"/>
            <w:gridSpan w:val="1"/>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eastAsia="Microsoft YaHei" w:hAnsi="Arial"/>
                <w:b w:val="false"/>
                <w:bCs w:val="false"/>
              </w:rPr>
              <w:t xml:space="preserve">优秀</w:t>
            </w:r>
          </w:p>
        </w:tc>
      </w:tr>
    </w:tbl>
    <w:p>
      <w:r>
        <w:br w:type="page"/>
      </w:r>
    </w:p>
    <w:p>
      <w:pPr>
        <w:pStyle w:val="Heading2"/>
      </w:pPr>
      <w:r>
        <w:t xml:space="preserve">二、科研前沿开源项目调研</w:t>
      </w:r>
    </w:p>
    <w:p>
      <w:pPr>
        <w:pStyle w:val="Heading3"/>
      </w:pPr>
      <w:r>
        <w:t xml:space="preserve">2.1 调研项目列表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000"/>
        <w:gridCol w:w="3300"/>
      </w:tblGrid>
      <w:tr>
        <w:trPr>
          <w:cantSplit/>
        </w:trPr>
        <w:tc>
          <w:tcPr>
            <w:tcW w:type="dxa" w:w="2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eastAsia="Microsoft YaHei" w:hAnsi="Arial"/>
                <w:b/>
                <w:bCs/>
              </w:rPr>
              <w:t xml:space="preserve">项目名称</w:t>
            </w:r>
          </w:p>
        </w:tc>
        <w:tc>
          <w:tcPr>
            <w:tcW w:type="dxa" w:w="2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eastAsia="Microsoft YaHei" w:hAnsi="Arial"/>
                <w:b/>
                <w:bCs/>
              </w:rPr>
              <w:t xml:space="preserve">Stars</w:t>
            </w:r>
          </w:p>
        </w:tc>
        <w:tc>
          <w:tcPr>
            <w:tcW w:type="dxa" w:w="2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eastAsia="Microsoft YaHei" w:hAnsi="Arial"/>
                <w:b/>
                <w:bCs/>
              </w:rPr>
              <w:t xml:space="preserve">核心能力</w:t>
            </w:r>
          </w:p>
        </w:tc>
        <w:tc>
          <w:tcPr>
            <w:tcW w:type="dxa" w:w="2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eastAsia="Microsoft YaHei" w:hAnsi="Arial"/>
                <w:b/>
                <w:bCs/>
              </w:rPr>
              <w:t xml:space="preserve">可借鉴模块</w:t>
            </w:r>
          </w:p>
        </w:tc>
      </w:tr>
      <w:tr>
        <w:trPr>
          <w:cantSplit/>
        </w:trP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Vizarr</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167</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Zarr图像在线浏览</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GPU加速渲染、多尺度可视化</w:t>
            </w:r>
          </w:p>
        </w:tc>
      </w:tr>
      <w:tr>
        <w:trPr>
          <w:cantSplit/>
        </w:trP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Vitessce</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222</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空间单细胞可视化</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WebGL渲染、多模态集成</w:t>
            </w:r>
          </w:p>
        </w:tc>
      </w:tr>
      <w:tr>
        <w:trPr>
          <w:cantSplit/>
        </w:trP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Cellpose</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281</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细胞分割算法</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U-Net架构、梯度流追踪</w:t>
            </w:r>
          </w:p>
        </w:tc>
      </w:tr>
      <w:tr>
        <w:trPr>
          <w:cantSplit/>
        </w:trP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napari</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多维度图像查看器</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多维图像浏览</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插件系统、GPU渲染</w:t>
            </w:r>
          </w:p>
        </w:tc>
      </w:tr>
    </w:tbl>
    <w:p>
      <w:pPr>
        <w:pStyle w:val="Heading3"/>
        <w:spacing w:before="300"/>
      </w:pPr>
      <w:r>
        <w:t xml:space="preserve">2.2 创新模块补充方案</w:t>
      </w:r>
    </w:p>
    <w:p>
      <w:pPr>
        <w:spacing w:after="200"/>
      </w:pPr>
      <w:r>
        <w:t xml:space="preserve">基于前沿开源项目调研，SpotZoom_Machine_Learning已集成以下创新模块：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00"/>
      </w:tblGrid>
      <w:tr>
        <w:trPr>
          <w:cantSplit/>
        </w:trPr>
        <w:tc>
          <w:tcPr>
            <w:tcW w:type="dxa" w:w="2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eastAsia="Microsoft YaHei" w:hAnsi="Arial"/>
                <w:b/>
                <w:bCs/>
              </w:rPr>
              <w:t xml:space="preserve">版本</w:t>
            </w:r>
          </w:p>
        </w:tc>
        <w:tc>
          <w:tcPr>
            <w:tcW w:type="dxa" w:w="2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eastAsia="Microsoft YaHei" w:hAnsi="Arial"/>
                <w:b/>
                <w:bCs/>
              </w:rPr>
              <w:t xml:space="preserve">模块名称</w:t>
            </w:r>
          </w:p>
        </w:tc>
        <w:tc>
          <w:tcPr>
            <w:tcW w:type="dxa" w:w="2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eastAsia="Microsoft YaHei" w:hAnsi="Arial"/>
                <w:b/>
                <w:bCs/>
              </w:rPr>
              <w:t xml:space="preserve">来源启发</w:t>
            </w:r>
          </w:p>
        </w:tc>
        <w:tc>
          <w:tcPr>
            <w:tcW w:type="dxa" w:w="2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eastAsia="Microsoft YaHei" w:hAnsi="Arial"/>
                <w:b/>
                <w:bCs/>
              </w:rPr>
              <w:t xml:space="preserve">核心功能</w:t>
            </w:r>
          </w:p>
        </w:tc>
      </w:tr>
      <w:tr>
        <w:trPr>
          <w:cantSplit/>
        </w:trP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v1.0</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KalmanSpotTracker</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Centroid Tracking</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卡尔曼滤波时序平滑</w:t>
            </w:r>
          </w:p>
        </w:tc>
      </w:tr>
      <w:tr>
        <w:trPr>
          <w:cantSplit/>
        </w:trP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v1.0</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SubPixelCentroid</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pyBeamProfiling</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亚像素质心定位</w:t>
            </w:r>
          </w:p>
        </w:tc>
      </w:tr>
      <w:tr>
        <w:trPr>
          <w:cantSplit/>
        </w:trP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v2.0</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ZernikeAberrationAnalyzer</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AOtools/HCIPy</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Zernike像差分解</w:t>
            </w:r>
          </w:p>
        </w:tc>
      </w:tr>
      <w:tr>
        <w:trPr>
          <w:cantSplit/>
        </w:trP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v2.0</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ImageJacobianController</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ViSP</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图像雅可比伺服控制</w:t>
            </w:r>
          </w:p>
        </w:tc>
      </w:tr>
      <w:tr>
        <w:trPr>
          <w:cantSplit/>
        </w:trP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v10.0</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MPCController</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do-mpc</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模型预测多轴协调控制</w:t>
            </w:r>
          </w:p>
        </w:tc>
      </w:tr>
      <w:tr>
        <w:trPr>
          <w:cantSplit/>
        </w:trP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v10.0</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DigitalTwinSimulator</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OOPAO/lowfssim</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光学数字孪生仿真</w:t>
            </w:r>
          </w:p>
        </w:tc>
      </w:tr>
      <w:tr>
        <w:trPr>
          <w:cantSplit/>
        </w:trP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v12.0</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GraphNeuralOptimizer</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PyTorch Geometric</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图神经网络光斑优化</w:t>
            </w:r>
          </w:p>
        </w:tc>
      </w:tr>
      <w:tr>
        <w:trPr>
          <w:cantSplit/>
        </w:trPr>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v12.0</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MetaLearningController</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MAML/Torchmeta</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元学习快速适应</w:t>
            </w:r>
          </w:p>
        </w:tc>
      </w:tr>
    </w:tbl>
    <w:p>
      <w:r>
        <w:br w:type="page"/>
      </w:r>
    </w:p>
    <w:p>
      <w:pPr>
        <w:pStyle w:val="Heading2"/>
      </w:pPr>
      <w:r>
        <w:t xml:space="preserve">三、代码质量检测结果</w:t>
      </w:r>
    </w:p>
    <w:p>
      <w:pPr>
        <w:pStyle w:val="Heading3"/>
      </w:pPr>
      <w:r>
        <w:t xml:space="preserve">3.1 代码统计</w:t>
      </w:r>
    </w:p>
    <w:p>
      <w:pPr>
        <w:spacing w:after="200"/>
      </w:pPr>
      <w:r>
        <w:t xml:space="preserve">经全面扫描，项目共包含 67 个Python文件，总计 49695 行代码，定义了 1326 个函数和 309 个类。所有文件均通过语法检查，无语法错误。</w:t>
      </w:r>
    </w:p>
    <w:p>
      <w:pPr>
        <w:pStyle w:val="Heading3"/>
      </w:pPr>
      <w:r>
        <w:t xml:space="preserve">3.2 发现问题汇总</w:t>
      </w:r>
    </w:p>
    <w:p>
      <w:pPr>
        <w:spacing w:after="200"/>
      </w:pPr>
      <w:r>
        <w:t xml:space="preserve">检测共发现 28 个问题，其中高优先级问题 1 个，中优先级问题 27 个。主要问题类型包括：裸except语句、函数过长、代码复杂度过高等。</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000"/>
        <w:gridCol w:w="1800"/>
      </w:tblGrid>
      <w:tr>
        <w:trPr>
          <w:cantSplit/>
        </w:trPr>
        <w:tc>
          <w:tcPr>
            <w:tcW w:type="dxa" w:w="2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eastAsia="Microsoft YaHei" w:hAnsi="Arial"/>
                <w:b/>
                <w:bCs/>
              </w:rPr>
              <w:t xml:space="preserve">优先级</w:t>
            </w:r>
          </w:p>
        </w:tc>
        <w:tc>
          <w:tcPr>
            <w:tcW w:type="dxa" w:w="2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eastAsia="Microsoft YaHei" w:hAnsi="Arial"/>
                <w:b/>
                <w:bCs/>
              </w:rPr>
              <w:t xml:space="preserve">问题描述</w:t>
            </w:r>
          </w:p>
        </w:tc>
        <w:tc>
          <w:tcPr>
            <w:tcW w:type="dxa" w:w="2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eastAsia="Microsoft YaHei" w:hAnsi="Arial"/>
                <w:b/>
                <w:bCs/>
              </w:rPr>
              <w:t xml:space="preserve">影响文件</w:t>
            </w:r>
          </w:p>
        </w:tc>
        <w:tc>
          <w:tcPr>
            <w:tcW w:type="dxa" w:w="2000"/>
            <w:gridSpan w:val="1"/>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eastAsia="Microsoft YaHei" w:hAnsi="Arial"/>
                <w:b/>
                <w:bCs/>
              </w:rPr>
              <w:t xml:space="preserve">修复建议</w:t>
            </w:r>
          </w:p>
        </w:tc>
      </w:tr>
      <w:tr>
        <w:trPr>
          <w:cantSplit/>
        </w:trPr>
        <w:tc>
          <w:tcPr>
            <w:tcW w:type="dxa" w:w="2000"/>
            <w:gridSpan w:val="1"/>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r>
              <w:rPr>
                <w:rFonts w:ascii="Arial" w:eastAsia="Microsoft YaHei" w:hAnsi="Arial"/>
                <w:b w:val="false"/>
                <w:bCs w:val="false"/>
              </w:rPr>
              <w:t xml:space="preserve">P0</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zerocostdl4mic_adapter.py第196行存在裸except语句，会捕获所有异常包括KeyboardInterrupt</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zerocostdl4mic_adapter.py</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指定具体异常类型</w:t>
            </w:r>
          </w:p>
        </w:tc>
      </w:tr>
      <w:tr>
        <w:trPr>
          <w:cantSplit/>
        </w:trPr>
        <w:tc>
          <w:tcPr>
            <w:tcW w:type="dxa" w:w="2000"/>
            <w:gridSpan w:val="1"/>
            <w:tcBorders>
              <w:top w:val="single" w:color="CCCCCC" w:sz="1"/>
              <w:left w:val="single" w:color="CCCCCC" w:sz="1"/>
              <w:bottom w:val="single" w:color="CCCCCC" w:sz="1"/>
              <w:right w:val="single" w:color="CCCCCC" w:sz="1"/>
            </w:tcBorders>
            <w:shd w:fill="FFE699" w:val="clear"/>
            <w:tcMar>
              <w:top w:type="dxa" w:w="60"/>
              <w:left w:type="dxa" w:w="100"/>
              <w:bottom w:type="dxa" w:w="60"/>
              <w:right w:type="dxa" w:w="100"/>
            </w:tcMar>
          </w:tcPr>
          <w:p>
            <w:r>
              <w:rPr>
                <w:rFonts w:ascii="Arial" w:eastAsia="Microsoft YaHei" w:hAnsi="Arial"/>
                <w:b w:val="false"/>
                <w:bCs w:val="false"/>
              </w:rPr>
              <w:t xml:space="preserve">P1</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SpotZoom.py中parse_args函数过长(128行)，建议重构</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SpotZoom.py</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拆分为多个子函数</w:t>
            </w:r>
          </w:p>
        </w:tc>
      </w:tr>
      <w:tr>
        <w:trPr>
          <w:cantSplit/>
        </w:trPr>
        <w:tc>
          <w:tcPr>
            <w:tcW w:type="dxa" w:w="2000"/>
            <w:gridSpan w:val="1"/>
            <w:tcBorders>
              <w:top w:val="single" w:color="CCCCCC" w:sz="1"/>
              <w:left w:val="single" w:color="CCCCCC" w:sz="1"/>
              <w:bottom w:val="single" w:color="CCCCCC" w:sz="1"/>
              <w:right w:val="single" w:color="CCCCCC" w:sz="1"/>
            </w:tcBorders>
            <w:shd w:fill="FFE699" w:val="clear"/>
            <w:tcMar>
              <w:top w:type="dxa" w:w="60"/>
              <w:left w:type="dxa" w:w="100"/>
              <w:bottom w:type="dxa" w:w="60"/>
              <w:right w:type="dxa" w:w="100"/>
            </w:tcMar>
          </w:tcPr>
          <w:p>
            <w:r>
              <w:rPr>
                <w:rFonts w:ascii="Arial" w:eastAsia="Microsoft YaHei" w:hAnsi="Arial"/>
                <w:b w:val="false"/>
                <w:bCs w:val="false"/>
              </w:rPr>
              <w:t xml:space="preserve">P1</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SpotZoom.py中main函数过长(126行)，建议重构</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SpotZoom.py</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提取业务逻辑到独立模块</w:t>
            </w:r>
          </w:p>
        </w:tc>
      </w:tr>
      <w:tr>
        <w:trPr>
          <w:cantSplit/>
        </w:trPr>
        <w:tc>
          <w:tcPr>
            <w:tcW w:type="dxa" w:w="2000"/>
            <w:gridSpan w:val="1"/>
            <w:tcBorders>
              <w:top w:val="single" w:color="CCCCCC" w:sz="1"/>
              <w:left w:val="single" w:color="CCCCCC" w:sz="1"/>
              <w:bottom w:val="single" w:color="CCCCCC" w:sz="1"/>
              <w:right w:val="single" w:color="CCCCCC" w:sz="1"/>
            </w:tcBorders>
            <w:shd w:fill="FFE699" w:val="clear"/>
            <w:tcMar>
              <w:top w:type="dxa" w:w="60"/>
              <w:left w:type="dxa" w:w="100"/>
              <w:bottom w:type="dxa" w:w="60"/>
              <w:right w:type="dxa" w:w="100"/>
            </w:tcMar>
          </w:tcPr>
          <w:p>
            <w:r>
              <w:rPr>
                <w:rFonts w:ascii="Arial" w:eastAsia="Microsoft YaHei" w:hAnsi="Arial"/>
                <w:b w:val="false"/>
                <w:bCs w:val="false"/>
              </w:rPr>
              <w:t xml:space="preserve">P1</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SpotZoom类__init__方法过长(302行)，建议重构</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SpotZoom.py</w:t>
            </w:r>
          </w:p>
        </w:tc>
        <w:tc>
          <w:tcPr>
            <w:tcW w:type="dxa" w:w="2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eastAsia="Microsoft YaHei" w:hAnsi="Arial"/>
                <w:b w:val="false"/>
                <w:bCs w:val="false"/>
              </w:rPr>
              <w:t xml:space="preserve">使用工厂模式拆分初始化</w:t>
            </w:r>
          </w:p>
        </w:tc>
      </w:tr>
    </w:tbl>
    <w:p>
      <w:r>
        <w:br w:type="page"/>
      </w:r>
    </w:p>
    <w:p>
      <w:pPr>
        <w:pStyle w:val="Heading2"/>
      </w:pPr>
      <w:r>
        <w:t xml:space="preserve">四、修复建议与优化方案</w:t>
      </w:r>
    </w:p>
    <w:p>
      <w:pPr>
        <w:pStyle w:val="Heading3"/>
      </w:pPr>
      <w:r>
        <w:t xml:space="preserve">4.1 高优先级修复</w:t>
      </w:r>
    </w:p>
    <w:p>
      <w:pPr>
        <w:spacing w:after="100"/>
      </w:pPr>
      <w:r>
        <w:rPr>
          <w:b/>
          <w:bCs/>
        </w:rPr>
        <w:t xml:space="preserve">问题1: 裸except语句</w:t>
      </w:r>
    </w:p>
    <w:p>
      <w:pPr>
        <w:spacing w:after="200"/>
      </w:pPr>
      <w:r>
        <w:t xml:space="preserve">位置: SpotZoom_Machine_Learning/zerocostdl4mic_adapter.py:196</w:t>
      </w:r>
    </w:p>
    <w:p>
      <w:pPr>
        <w:spacing w:after="100"/>
      </w:pPr>
      <w:r>
        <w:t xml:space="preserve">修复方案:</w:t>
      </w:r>
    </w:p>
    <w:p>
      <w:pPr>
        <w:spacing w:after="200"/>
      </w:pPr>
      <w:r>
        <w:t xml:space="preserve">将裸except语句改为捕获具体异常类型，如except (ImportError, ModuleNotFoundError):，避免捕获KeyboardInterrupt等系统异常。</w:t>
      </w:r>
    </w:p>
    <w:p>
      <w:pPr>
        <w:pStyle w:val="Heading3"/>
      </w:pPr>
      <w:r>
        <w:t xml:space="preserve">4.2 代码结构优化</w:t>
      </w:r>
    </w:p>
    <w:p>
      <w:pPr>
        <w:spacing w:after="100"/>
      </w:pPr>
      <w:r>
        <w:rPr>
          <w:b/>
          <w:bCs/>
        </w:rPr>
        <w:t xml:space="preserve">建议1: 函数拆分</w:t>
      </w:r>
    </w:p>
    <w:p>
      <w:pPr>
        <w:spacing w:after="200"/>
      </w:pPr>
      <w:r>
        <w:t xml:space="preserve">对于超过100行的函数，建议按功能拆分为多个子函数。例如SpotZoom类的__init__方法可按硬件初始化、参数配置、模块加载等维度拆分。</w:t>
      </w:r>
    </w:p>
    <w:p>
      <w:pPr>
        <w:spacing w:after="100"/>
      </w:pPr>
      <w:r>
        <w:rPr>
          <w:b/>
          <w:bCs/>
        </w:rPr>
        <w:t xml:space="preserve">建议2: 复杂度控制</w:t>
      </w:r>
    </w:p>
    <w:p>
      <w:pPr>
        <w:spacing w:after="200"/>
      </w:pPr>
      <w:r>
        <w:t xml:space="preserve">圈复杂度超过10的函数建议重构，可通过提取条件判断为独立函数、使用策略模式替代多分支等方式降低复杂度。</w:t>
      </w:r>
    </w:p>
    <w:p>
      <w:pPr>
        <w:pStyle w:val="Heading3"/>
      </w:pPr>
      <w:r>
        <w:t xml:space="preserve">4.3 性能优化建议</w:t>
      </w:r>
    </w:p>
    <w:p>
      <w:pPr>
        <w:spacing w:after="200"/>
      </w:pPr>
      <w:r>
        <w:t xml:space="preserve">1. GPU加速: 借鉴Vizarr的GPU渲染方案，对图像处理模块进行CUDA加速</w:t>
      </w:r>
    </w:p>
    <w:p>
      <w:pPr>
        <w:spacing w:after="200"/>
      </w:pPr>
      <w:r>
        <w:t xml:space="preserve">2. 内存优化: 参考napari的延迟加载机制，实现大图像的分块处理</w:t>
      </w:r>
    </w:p>
    <w:p>
      <w:pPr>
        <w:spacing w:after="200"/>
      </w:pPr>
      <w:r>
        <w:t xml:space="preserve">3. 并行化: 借鉴Cellpose的多进程设计，实现批量图像的并行处理</w:t>
      </w:r>
    </w:p>
    <w:p>
      <w:r>
        <w:br w:type="page"/>
      </w:r>
    </w:p>
    <w:p>
      <w:pPr>
        <w:pStyle w:val="Heading2"/>
      </w:pPr>
      <w:r>
        <w:t xml:space="preserve">五、下一步优化方案</w:t>
      </w:r>
    </w:p>
    <w:p>
      <w:pPr>
        <w:pStyle w:val="Heading3"/>
      </w:pPr>
      <w:r>
        <w:t xml:space="preserve">5.1 短期计划 (1-2周)</w:t>
      </w:r>
    </w:p>
    <w:p>
      <w:pPr>
        <w:spacing w:after="100"/>
      </w:pPr>
      <w:r>
        <w:t xml:space="preserve">1. 修复裸except语句问题</w:t>
      </w:r>
    </w:p>
    <w:p>
      <w:pPr>
        <w:spacing w:after="100"/>
      </w:pPr>
      <w:r>
        <w:t xml:space="preserve">2. 优化过长函数，提升代码可读性</w:t>
      </w:r>
    </w:p>
    <w:p>
      <w:pPr>
        <w:spacing w:after="200"/>
      </w:pPr>
      <w:r>
        <w:t xml:space="preserve">3. 完善新模块的单元测试</w:t>
      </w:r>
    </w:p>
    <w:p>
      <w:pPr>
        <w:pStyle w:val="Heading3"/>
      </w:pPr>
      <w:r>
        <w:t xml:space="preserve">5.2 中期计划 (1-2月)</w:t>
      </w:r>
    </w:p>
    <w:p>
      <w:pPr>
        <w:spacing w:after="100"/>
      </w:pPr>
      <w:r>
        <w:t xml:space="preserve">1. 实现可微分光学仿真模块</w:t>
      </w:r>
    </w:p>
    <w:p>
      <w:pPr>
        <w:spacing w:after="100"/>
      </w:pPr>
      <w:r>
        <w:t xml:space="preserve">2. 增强MPC控制器，支持非线性MPC</w:t>
      </w:r>
    </w:p>
    <w:p>
      <w:pPr>
        <w:spacing w:after="200"/>
      </w:pPr>
      <w:r>
        <w:t xml:space="preserve">3. 集成PyTorch Lightning统一训练接口</w:t>
      </w:r>
    </w:p>
    <w:p>
      <w:pPr>
        <w:pStyle w:val="Heading3"/>
      </w:pPr>
      <w:r>
        <w:t xml:space="preserve">5.3 长期规划 (3-6月)</w:t>
      </w:r>
    </w:p>
    <w:p>
      <w:pPr>
        <w:spacing w:after="100"/>
      </w:pPr>
      <w:r>
        <w:t xml:space="preserve">1. 构建完整的SpotZoom模型库</w:t>
      </w:r>
    </w:p>
    <w:p>
      <w:pPr>
        <w:spacing w:after="100"/>
      </w:pPr>
      <w:r>
        <w:t xml:space="preserve">2. 开发专业工具链</w:t>
      </w:r>
    </w:p>
    <w:p>
      <w:pPr>
        <w:spacing w:after="200"/>
      </w:pPr>
      <w:r>
        <w:t xml:space="preserve">3. 社区生态建设</w:t>
      </w:r>
    </w:p>
    <w:p>
      <w:pPr>
        <w:pStyle w:val="Heading2"/>
      </w:pPr>
      <w:r>
        <w:t xml:space="preserve">六、结论</w:t>
      </w:r>
    </w:p>
    <w:p>
      <w:pPr>
        <w:spacing w:after="200"/>
      </w:pPr>
      <w:r>
        <w:t xml:space="preserve">SpotZoom项目整体代码质量良好，所有Python文件均通过语法检查，模块导入正常。通过借鉴Vizarr、Cellpose、napari等科研前沿开源项目的创新模块，已成功集成45+个机器学习与光学控制模块，显著提升了系统的智能化水平。建议优先修复裸except语句问题，并逐步优化过长函数，以进一步提升代码可维护性。</w:t>
      </w:r>
    </w:p>
    <w:sectPr>
      <w:headerReference w:type="default" r:id="rId10"/>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第 </w:t>
    </w:r>
    <w:r>
      <w:rPr>
        <w:sz w:val="20"/>
        <w:szCs w:val="20"/>
      </w:rPr>
      <w:fldChar w:fldCharType="begin"/>
      <w:instrText xml:space="preserve">PAGE</w:instrText>
      <w:fldChar w:fldCharType="separate"/>
      <w:fldChar w:fldCharType="end"/>
    </w:r>
    <w:r>
      <w:rPr>
        <w:sz w:val="20"/>
        <w:szCs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sz w:val="20"/>
        <w:szCs w:val="20"/>
      </w:rPr>
      <w:t xml:space="preserve">SpotZoom 项目综合检测报告</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80" w:before="180"/>
      <w:outlineLvl w:val="1"/>
    </w:pPr>
    <w:rPr>
      <w:rFonts w:ascii="Arial" w:eastAsia="Microsoft YaHei" w:hAnsi="Arial"/>
      <w:b/>
      <w:bCs/>
      <w:sz w:val="28"/>
      <w:szCs w:val="28"/>
    </w:rPr>
  </w:style>
  <w:style w:type="paragraph" w:styleId="Heading3">
    <w:name w:val="Heading 3"/>
    <w:basedOn w:val="Normal"/>
    <w:next w:val="Normal"/>
    <w:qFormat/>
    <w:pPr>
      <w:keepNext w:val="false"/>
      <w:keepLines w:val="false"/>
      <w:spacing w:after="120" w:before="120"/>
      <w:outlineLvl w:val="2"/>
    </w:pPr>
    <w:rPr>
      <w:rFonts w:ascii="Arial" w:eastAsia="Microsoft YaHei"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2026-05-12T09:11:09.372Z</dcterms:created>
  <dcterms:modified xsi:type="dcterms:W3CDTF">2026-05-12T09:11:09.372Z</dcterms:modified>
</cp:coreProperties>
</file>

<file path=docProps/custom.xml><?xml version="1.0" encoding="utf-8"?>
<Properties xmlns="http://schemas.openxmlformats.org/officeDocument/2006/custom-properties" xmlns:vt="http://schemas.openxmlformats.org/officeDocument/2006/docPropsVTypes"/>
</file>