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56"/>
          <w:szCs w:val="56"/>
        </w:rPr>
        <w:t xml:space="preserve">SpotZoom v29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2E75B6"/>
          <w:sz w:val="44"/>
          <w:szCs w:val="44"/>
        </w:rPr>
        <w:t xml:space="preserve">综合检测与优化报告</w:t>
      </w:r>
    </w:p>
    <w:p>
      <w:pPr>
        <w:spacing w:after="0" w:before="200"/>
      </w:pP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前沿开源项目调研 · 创新模块补充 · 项目健康检查</w:t>
      </w:r>
    </w:p>
    <w:p>
      <w:pPr>
        <w:spacing w:after="0" w:before="600"/>
      </w:pPr>
    </w:p>
    <w:p>
      <w:pPr>
        <w:spacing w:after="6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报告日期：2026-05-13</w:t>
      </w:r>
    </w:p>
    <w:p>
      <w:pPr>
        <w:spacing w:after="6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版本：ML Package v27.0.0</w:t>
      </w:r>
    </w:p>
    <w:p>
      <w:r>
        <w:br w:type="page"/>
      </w:r>
    </w:p>
    <w:p>
      <w:pPr>
        <w:pStyle w:val="Heading1"/>
        <w:spacing w:after="200" w:before="36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第一章：前沿开源项目调研</w:t>
      </w:r>
    </w:p>
    <w:p>
      <w:pPr>
        <w:pStyle w:val="Heading2"/>
        <w:spacing w:after="160" w:before="280" w:lin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1.1 调研概述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本轮调研覆盖了2024–2026年间光学对准、自适应光学、深度学习显微成像等领域的前沿开源项目。通过系统性的文献检索、GitHub趋势分析和学术机构代码库调研，本次共发现24个高价值参考项目。这些项目涵盖了从底层硬件控制到高层深度学习模型的全栈技术，为SpotZoom项目的创新发展提供了丰富的灵感来源。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调研重点关注以下方向：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无传感器像差感知与自适应校正技术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强化学习驱动的光束控制与对中算法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GPU可微分计算视觉管线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基础模型在显微成像中的应用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物理约束神经网络用于光学系统建模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实时矩阵运算与波前传感分析</w:t>
      </w:r>
    </w:p>
    <w:p>
      <w:pPr>
        <w:pStyle w:val="Heading2"/>
        <w:spacing w:after="160" w:before="280" w:lin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1.2 高优先级推荐项目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以下表格列出了本次调研中最具参考价值的10个开源项目，涵盖了从硬件控制到深度学习的多个技术层次：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200"/>
        <w:gridCol w:w="2326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适配方向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AOViFT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Betzig Lab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无传感器傅里叶域像差感知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频域Zernike估计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gym_ao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RL光束居中环境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强化学习对中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anyloop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cdqp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插件式反馈回路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实时控制框架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Matilda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NSO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微秒级矩阵运算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实时波前校正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Kornia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kornia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GPU可微分CV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端到端光斑管线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UniFMIR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复旦大学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显微图像基础模型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光斑图像增强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Cellpose3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MouseLand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图像恢复+分割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预处理管线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NVIDIA Modulus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NVIDIA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PINN+数字孞生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光学系统建模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DeepXDE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lululxvi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通用PINN框架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物理约束建模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ShackHartmannAnalysis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yuuutosasa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SH波前传感分析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波前重建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 w:lin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1.3 本轮新增创新模块（v27.0）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基于上述调研成果，本轮更新新增了8个创新模块，每个模块均有明确的灵感来源和应用场景。以下表格展示了模块与其灵感来源的映射关系：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灵感来源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FourierDomainAberrationEstimator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AOViFT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FFT频域Zernike系数估计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PluginFeedbackLoopController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anyloop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插件式实时反馈控制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GPUDifferentiablePipeline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Kornia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GPU可微分图像处理管线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RLSpotCenteringAgent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gym_ao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Q-learning光束对中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FoundationModelEnhancer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UniFMIR/Cellpose3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基础模型风格图像增强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PhysicsInformedWavefrontPredictor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DeepXDE/Modulus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物理约束波前预测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RealTimeMatrixAccelerator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Matilda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分块矩阵-向量乘法加速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ShackHartmannAnalyzer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ShackHartmannAnalysis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SH网格检测与波前重建</w:t>
            </w:r>
          </w:p>
        </w:tc>
      </w:tr>
    </w:tbl>
    <w:p>
      <w:pPr>
        <w:pStyle w:val="Heading1"/>
        <w:spacing w:after="200" w:before="36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第二章：项目健康检查</w:t>
      </w:r>
    </w:p>
    <w:p>
      <w:pPr>
        <w:pStyle w:val="Heading2"/>
        <w:spacing w:after="160" w:before="280" w:lin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2.1 构建与导入检查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本轮对SpotZoom ML包进行了全面的构建与导入检查，主要结果如下：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包版本: 27.0.0（从26.0.0升级）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导入测试: 全部8个新模块导入成功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延迟导入机制: 正常工作，可选依赖缺失时优雅降级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可选依赖状态: PyTorch未安装（预期行为，相关模块已配置优雅降级）</w:t>
      </w:r>
    </w:p>
    <w:p>
      <w:pPr>
        <w:pStyle w:val="Heading2"/>
        <w:spacing w:after="160" w:before="280" w:lin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2.2 代码质量问题汇总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经过全面的静态代码分析，本次检查共发现20个代码质量问题，涵盖严重、高、中、低四个等级。以下表格详细列出了每个问题的编号、严重度、描述、影响模块和修复建议：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2400"/>
        <w:gridCol w:w="1800"/>
        <w:gridCol w:w="3326"/>
      </w:tblGrid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C-1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__init__.py符号覆盖(DenoiseResult等)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包导出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使用版本化别名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C-2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SpotZoomController类4980行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拆分为子模块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C-3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SpotZoom.py单文件7937行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主程序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拆分为包结构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H-1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5个重复懒导入函数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抽象为通用函数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H-2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4个模块未导出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__init__.py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补充导出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H-3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importlib函数内重复导入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__init__.py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移至顶层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H-4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del清理不完整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__init__.py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统一清理逻辑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H-5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assert用于运行时检查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mpc_controller.py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替换为显式检查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H-6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空循环体(死代码)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mpc_controller.py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移除或实现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M-1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导入风格不一致(v17直接/v22 getattr)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__init__.py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统一getattr模式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M-2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69处宽泛except Exception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全项目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捕获具体异常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M-3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中文注释编码乱码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修复编码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M-4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AlignmentConfig超150个参数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分层配置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M-5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f-string用于日志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digital_twin_simulator.py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改用%占位符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M-6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硬编码魔法数字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mpc_controller.py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提取到配置类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L-1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docstring语言不一致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多模块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统一中文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L-2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DenoiseResult版本字段差异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v18/v25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统一数据结构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L-3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WHEEL_DELTA无注释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添加注释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L-4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__pycache__多版本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构建目录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添加.gitignore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L-5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未使用物理常数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digital_twin_simulator.py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清理</w:t>
            </w:r>
          </w:p>
        </w:tc>
      </w:tr>
    </w:tbl>
    <w:p>
      <w:pPr>
        <w:pStyle w:val="Heading2"/>
        <w:spacing w:after="160" w:before="280" w:lin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2.3 问题统计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以下表格汇总了各严重等级的问题数量分布：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严重等级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问题数量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严重 (Critical)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3个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 (High)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6个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 (Medium)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6个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低 (Low)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5个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20个</w:t>
            </w:r>
          </w:p>
        </w:tc>
      </w:tr>
    </w:tbl>
    <w:p>
      <w:pPr>
        <w:pStyle w:val="Heading2"/>
        <w:spacing w:after="160" w:before="280" w:lin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2.4 积极发现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除了上述问题外，本次检查也发现了许多值得肯定的代码质量亮点：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无 bare except —— 全项目未发现裸的 except 语句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无通配符导入（from xxx import *）—— 所有导入均为明确导入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无遗留 TODO/FIXME —— 代码库整洁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完善的类型提示 —— 广泛使用 Python type hints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优雅的降级导入 —— 可选依赖缺失时平滑处理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Protocol接口设计 —— 采用现代 Python 接口协议</w:t>
      </w:r>
    </w:p>
    <w:p>
      <w:pPr>
        <w:pStyle w:val="ListParagraph"/>
        <w:numPr>
          <w:ilvl w:val="0"/>
          <w:numId w:val="4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dataclass广泛使用 —— 数据类定义规范</w:t>
      </w:r>
    </w:p>
    <w:p>
      <w:pPr>
        <w:pStyle w:val="Heading1"/>
        <w:spacing w:after="200" w:before="36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第三章：修复建议与优化方案</w:t>
      </w:r>
    </w:p>
    <w:p>
      <w:pPr>
        <w:pStyle w:val="Heading2"/>
        <w:spacing w:after="160" w:before="280" w:lin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3.1 立即修复（本周）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以下问题建议在本周内完成修复，属于最高优先级：</w:t>
      </w:r>
    </w:p>
    <w:p>
      <w:pPr>
        <w:pStyle w:val="ListParagraph"/>
        <w:numPr>
          <w:ilvl w:val="0"/>
          <w:numId w:val="5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解决 __init__.py 符号覆盖问题（C-1）：引入版本化别名机制，避免后续导入覆盖先前定义的符号</w:t>
      </w:r>
    </w:p>
    <w:p>
      <w:pPr>
        <w:pStyle w:val="ListParagraph"/>
        <w:numPr>
          <w:ilvl w:val="0"/>
          <w:numId w:val="5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补充4个缺失模块导出（H-2）：确保所有公开模块均可通过包级别导入访问</w:t>
      </w:r>
    </w:p>
    <w:p>
      <w:pPr>
        <w:pStyle w:val="ListParagraph"/>
        <w:numPr>
          <w:ilvl w:val="0"/>
          <w:numId w:val="5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移除 mpc_controller.py 空循环体（H-6）：清理死代码，提高代码可读性</w:t>
      </w:r>
    </w:p>
    <w:p>
      <w:pPr>
        <w:pStyle w:val="Heading2"/>
        <w:spacing w:after="160" w:before="280" w:lin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3.2 短期计划（2周内）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以下优化建议在2周内完成：</w:t>
      </w:r>
    </w:p>
    <w:p>
      <w:pPr>
        <w:pStyle w:val="ListParagraph"/>
        <w:numPr>
          <w:ilvl w:val="0"/>
          <w:numId w:val="6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统一懒导入函数（H-1）：将5个重复的懒导入函数抽象为一个通用工具函数</w:t>
      </w:r>
    </w:p>
    <w:p>
      <w:pPr>
        <w:pStyle w:val="ListParagraph"/>
        <w:numPr>
          <w:ilvl w:val="0"/>
          <w:numId w:val="6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统一 __init__.py 导入风格为 getattr（M-1）：采用 Python 3.7+ 推荐的 __getattr__ 模式</w:t>
      </w:r>
    </w:p>
    <w:p>
      <w:pPr>
        <w:pStyle w:val="ListParagraph"/>
        <w:numPr>
          <w:ilvl w:val="0"/>
          <w:numId w:val="6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替换 assert 为显式运行时检查（H-5）：避免在优化模式下跳过关键检查</w:t>
      </w:r>
    </w:p>
    <w:p>
      <w:pPr>
        <w:pStyle w:val="ListParagraph"/>
        <w:numPr>
          <w:ilvl w:val="0"/>
          <w:numId w:val="6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修复 SpotZoom.py 编码乱码（M-3）：统一文件编码为 UTF-8</w:t>
      </w:r>
    </w:p>
    <w:p>
      <w:pPr>
        <w:pStyle w:val="Heading2"/>
        <w:spacing w:after="160" w:before="280" w:lin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3.3 中期计划（1月内）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以下优化建议在1个月内完成：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开始拆分 SpotZoomController 类（C-2）：将4980行的巨型类拆分为多个职责明确的子模块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将 AlignmentConfig 分层（M-4）：将超150个参数的配置类拆分为多个子配置类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审查并收窄 except Exception 范围（M-2）：逐步将69处宽泛异常捕获替换为具体异常类型</w:t>
      </w:r>
    </w:p>
    <w:p>
      <w:pPr>
        <w:pStyle w:val="ListParagraph"/>
        <w:numPr>
          <w:ilvl w:val="0"/>
          <w:numId w:val="7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统一日志格式（M-5）：将f-string日志替换为%占位符格式，提高性能</w:t>
      </w:r>
    </w:p>
    <w:p>
      <w:pPr>
        <w:pStyle w:val="Heading2"/>
        <w:spacing w:after="160" w:before="280" w:lin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3.4 长期计划（季度级）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以下优化建议作为季度级长期目标：</w:t>
      </w:r>
    </w:p>
    <w:p>
      <w:pPr>
        <w:pStyle w:val="ListParagraph"/>
        <w:numPr>
          <w:ilvl w:val="0"/>
          <w:numId w:val="8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SpotZoom.py 拆分为包结构（C-3）：將7937行单文件重构为多模块包结构</w:t>
      </w:r>
    </w:p>
    <w:p>
      <w:pPr>
        <w:pStyle w:val="ListParagraph"/>
        <w:numPr>
          <w:ilvl w:val="0"/>
          <w:numId w:val="8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建立 CI/CD 流水线：自动化构建、测试和发布流程</w:t>
      </w:r>
    </w:p>
    <w:p>
      <w:pPr>
        <w:pStyle w:val="ListParagraph"/>
        <w:numPr>
          <w:ilvl w:val="0"/>
          <w:numId w:val="8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添加单元测试覆盖：建立完整的测试体系，确保代码质量</w:t>
      </w:r>
    </w:p>
    <w:p>
      <w:pPr>
        <w:pStyle w:val="ListParagraph"/>
        <w:numPr>
          <w:ilvl w:val="0"/>
          <w:numId w:val="8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统一 docstring 语言和风格（L-1）：全面采用中文文档字符串和Google风格</w:t>
      </w:r>
    </w:p>
    <w:p>
      <w:pPr>
        <w:pStyle w:val="Heading1"/>
        <w:spacing w:after="200" w:before="360" w:line="30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第四章：本轮更新总结</w:t>
      </w:r>
    </w:p>
    <w:p>
      <w:pPr>
        <w:pStyle w:val="Heading2"/>
        <w:spacing w:after="160" w:before="280" w:lin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4.1 代码变更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本轮更新的主要代码变更如下：</w:t>
      </w:r>
    </w:p>
    <w:p>
      <w:pPr>
        <w:pStyle w:val="ListParagraph"/>
        <w:numPr>
          <w:ilvl w:val="0"/>
          <w:numId w:val="9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新增文件: innovation_frontier_v26.py（1040行，包含8个创新类）</w:t>
      </w:r>
    </w:p>
    <w:p>
      <w:pPr>
        <w:pStyle w:val="ListParagraph"/>
        <w:numPr>
          <w:ilvl w:val="0"/>
          <w:numId w:val="9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修改文件: __init__.py（版本升级 26.0.0 → 27.0.0，新增v27导出）</w:t>
      </w:r>
    </w:p>
    <w:p>
      <w:pPr>
        <w:pStyle w:val="ListParagraph"/>
        <w:numPr>
          <w:ilvl w:val="0"/>
          <w:numId w:val="9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ML模块总数: 90+ → 98+</w:t>
      </w:r>
    </w:p>
    <w:p>
      <w:pPr>
        <w:pStyle w:val="Heading2"/>
        <w:spacing w:after="160" w:before="280" w:lin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4.2 验证结果</w:t>
      </w:r>
    </w:p>
    <w:p>
      <w:pPr>
        <w:spacing w:after="60" w:before="60" w:line="30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本轮更新完成后，进行了全面的验证测试，结果如下：</w:t>
      </w:r>
    </w:p>
    <w:p>
      <w:pPr>
        <w:pStyle w:val="ListParagraph"/>
        <w:numPr>
          <w:ilvl w:val="0"/>
          <w:numId w:val="10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全部8个新模块导入测试通过</w:t>
      </w:r>
    </w:p>
    <w:p>
      <w:pPr>
        <w:pStyle w:val="ListParagraph"/>
        <w:numPr>
          <w:ilvl w:val="0"/>
          <w:numId w:val="10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包版本号正确显示 27.0.0</w:t>
      </w:r>
    </w:p>
    <w:p>
      <w:pPr>
        <w:pStyle w:val="ListParagraph"/>
        <w:numPr>
          <w:ilvl w:val="0"/>
          <w:numId w:val="10"/>
        </w:numPr>
        <w:spacing w:after="40" w:before="40" w:line="280"/>
      </w:pPr>
      <w:r>
        <w:rPr>
          <w:rFonts w:ascii="Arial" w:eastAsia="Microsoft YaHei" w:hAnsi="Arial"/>
          <w:sz w:val="22"/>
          <w:szCs w:val="22"/>
        </w:rPr>
        <w:t xml:space="preserve">延迟导入容错机制正常工作，可选依赖缺失时优雅降级</w:t>
      </w:r>
    </w:p>
    <w:p>
      <w:pPr>
        <w:spacing w:after="0" w:before="400"/>
      </w:pPr>
    </w:p>
    <w:p>
      <w:pPr>
        <w:spacing w:after="100" w:before="20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— 报告结束 —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6"/>
        <w:szCs w:val="16"/>
      </w:rPr>
      <w:t xml:space="preserve">— </w:t>
    </w:r>
    <w:r>
      <w:rPr>
        <w:rFonts w:ascii="Arial" w:eastAsia="Microsoft YaHei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6"/>
        <w:szCs w:val="16"/>
      </w:rPr>
      <w:t xml:space="preserve"> / </w:t>
    </w:r>
    <w:r>
      <w:rPr>
        <w:rFonts w:ascii="Arial" w:eastAsia="Microsoft YaHei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6"/>
        <w:szCs w:val="16"/>
      </w:rPr>
      <w:t xml:space="preserve">SpotZoom v29 综合检测与优化报告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2026-05-13T06:40:36.073Z</dcterms:created>
  <dcterms:modified xsi:type="dcterms:W3CDTF">2026-05-13T06:40:36.073Z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