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left"/>
        <w:widowControl/>
      </w:pPr>
      <w:r>
        <w:rPr>
          <w:rFonts w:ascii="Aptos" w:hAnsi="Aptos"/>
          <w:b/>
          <w:color w:val="2C7A7B"/>
          <w:sz w:val="20"/>
        </w:rPr>
        <w:t>RESEARCH-DESIGN REVIEW</w:t>
      </w:r>
    </w:p>
    <w:p>
      <w:pPr>
        <w:pStyle w:val="Title"/>
        <w:spacing w:before="240" w:after="360"/>
        <w:pBdr>
          <w:bottom w:val="single" w:sz="18" w:space="5" w:color="2C7A7B"/>
        </w:pBdr>
        <w:widowControl/>
      </w:pPr>
      <w:r>
        <w:t>Averaging, annual assessment</w:t>
        <w:br/>
        <w:t>and tax burdens in Australia</w:t>
      </w:r>
    </w:p>
    <w:p>
      <w:pPr>
        <w:pStyle w:val="Subtitle"/>
        <w:spacing w:after="680"/>
        <w:widowControl/>
      </w:pPr>
      <w:r>
        <w:t>Review of “Heterogeneity in the Australian Tax System”</w:t>
      </w:r>
    </w:p>
    <w:p>
      <w:pPr>
        <w:spacing w:after="80"/>
        <w:widowControl/>
      </w:pPr>
      <w:r>
        <w:rPr>
          <w:b/>
          <w:color w:val="17365D"/>
          <w:sz w:val="22"/>
        </w:rPr>
        <w:t>Prepared for the authors</w:t>
      </w:r>
    </w:p>
    <w:p>
      <w:pPr>
        <w:widowControl/>
      </w:pPr>
      <w:r>
        <w:rPr>
          <w:color w:val="5A5A5A"/>
        </w:rPr>
        <w:t>23 July 2026  |  Extensive early-stage assessment</w:t>
      </w:r>
    </w:p>
    <w:p>
      <w:pPr>
        <w:pStyle w:val="ExecutiveCallout"/>
        <w:spacing w:before="1400" w:after="0"/>
        <w:ind w:left="397" w:right="397"/>
        <w:widowControl/>
      </w:pPr>
      <w:r>
        <w:t>Bottom line: the paper has a strong, publishable question and unusually valuable data. Its next draft should be rebuilt around the timing of income under annual assessment, with a reconciled empirical core, feasible policy rules and a small revenue-neutral welfare model.</w:t>
      </w:r>
    </w:p>
    <w:p>
      <w:pPr>
        <w:widowControl/>
      </w:pPr>
      <w:r>
        <w:br w:type="page"/>
      </w:r>
    </w:p>
    <w:p>
      <w:pPr>
        <w:pStyle w:val="Heading1"/>
        <w:widowControl/>
      </w:pPr>
      <w:r>
        <w:t>Contents</w:t>
      </w:r>
    </w:p>
    <w:p>
      <w:pPr>
        <w:widowControl/>
      </w:pPr>
      <w:r>
        <w:fldChar w:fldCharType="begin"/>
        <w:instrText xml:space="preserve">TOC \o "1-3" \h \z \u</w:instrText>
        <w:fldChar w:fldCharType="separate"/>
        <w:t>Right-click and update field to display contents</w:t>
        <w:fldChar w:fldCharType="end"/>
      </w:r>
    </w:p>
    <w:p>
      <w:pPr>
        <w:pStyle w:val="SmallNote"/>
        <w:widowControl/>
      </w:pPr>
      <w:r>
        <w:t>The table of contents updates automatically when the document is opened in Microsoft Word.</w:t>
      </w:r>
    </w:p>
    <w:p>
      <w:pPr>
        <w:widowControl/>
      </w:pPr>
      <w:r>
        <w:br w:type="page"/>
      </w:r>
    </w:p>
    <w:p>
      <w:pPr>
        <w:pStyle w:val="Heading1"/>
        <w:pBdr>
          <w:bottom w:val="single" w:sz="8" w:space="5" w:color="D9E1E8"/>
        </w:pBdr>
        <w:widowControl/>
      </w:pPr>
      <w:r>
        <w:t>Executive assessment</w:t>
      </w:r>
    </w:p>
    <w:p>
      <w:pPr>
        <w:pStyle w:val="Heading2"/>
        <w:widowControl/>
      </w:pPr>
      <w:r>
        <w:t>Overall judgement</w:t>
      </w:r>
    </w:p>
    <w:p>
      <w:pPr>
        <w:widowControl/>
      </w:pPr>
      <w:r>
        <w:t>This is a promising paper with an unusually valuable empirical asset: population tax records over a long period can show how annual progressive assessment treats different income paths, not merely different people in a single cross-section. The strongest result is potentially important and counterintuitive: the medium-run tax wedge associated with the timing of income appears large near the tax-free threshold and is therefore not only a top-income or capital-gains issue.</w:t>
      </w:r>
    </w:p>
    <w:p>
      <w:pPr>
        <w:widowControl/>
      </w:pPr>
      <w:r>
        <w:t>The draft is not yet ready for journal submission. Its main problem is not lack of material; it is that three different exercises are currently treated as if they answer the same question:</w:t>
      </w:r>
    </w:p>
    <w:p>
      <w:pPr>
        <w:pStyle w:val="ListBullet"/>
        <w:spacing w:after="60"/>
        <w:widowControl/>
      </w:pPr>
      <w:r>
        <w:t>an ex-post accounting comparison that reallocates a person’s observed income over a ten-year window;</w:t>
      </w:r>
    </w:p>
    <w:p>
      <w:pPr>
        <w:pStyle w:val="ListBullet"/>
        <w:spacing w:after="60"/>
        <w:widowControl/>
      </w:pPr>
      <w:r>
        <w:t>a policy simulation of an administrable averaging regime; and</w:t>
      </w:r>
    </w:p>
    <w:p>
      <w:pPr>
        <w:pStyle w:val="ListBullet"/>
        <w:spacing w:after="60"/>
        <w:widowControl/>
      </w:pPr>
      <w:r>
        <w:t>a welfare comparison involving insurance, liquidity, behaviour and the government budget.</w:t>
      </w:r>
    </w:p>
    <w:p>
      <w:pPr>
        <w:widowControl/>
      </w:pPr>
      <w:r>
        <w:t>The first is already interesting. The second is only partly implemented. The third is not yet present. A short model is worth building precisely to connect—but keep distinct—these objects.</w:t>
      </w:r>
    </w:p>
    <w:p>
      <w:pPr>
        <w:widowControl/>
      </w:pPr>
      <w:r>
        <w:t>My recommended core question is:</w:t>
      </w:r>
    </w:p>
    <w:p>
      <w:pPr>
        <w:pStyle w:val="ExecutiveCallout"/>
        <w:shd w:fill="EAF2F8"/>
        <w:widowControl/>
      </w:pPr>
      <w:r>
        <w:t>How much does annual assessment under a progressive income tax change medium-run tax burdens across people with the same resources but different income paths, who is exposed to that timing wedge, and what would feasible, revenue-neutral averaging rules do to equity and welfare?</w:t>
      </w:r>
    </w:p>
    <w:p>
      <w:pPr>
        <w:widowControl/>
      </w:pPr>
      <w:r>
        <w:t>That question is clearer and more defensible than the present umbrella of “heterogeneity in the Australian tax system.” It also gives the paper a natural sequence: measure the timing wedge; identify its sources; simulate feasible reforms; evaluate welfare.</w:t>
      </w:r>
    </w:p>
    <w:p>
      <w:pPr>
        <w:pStyle w:val="Heading2"/>
        <w:widowControl/>
      </w:pPr>
      <w:r>
        <w:t>Recommendation in one paragraph</w:t>
      </w:r>
    </w:p>
    <w:p>
      <w:pPr>
        <w:widowControl/>
      </w:pPr>
      <w:r>
        <w:t>Rebuild the paper around annual assessment and the timing of income. Treat the current smoothing calculations as accounting benchmarks, not policy effects. Reconcile the headline numbers and regenerate every figure from one cleared pull before drafting further. Add a disciplined decomposition of predictable lifecycle profiles, extensive-margin spells, residual changes, income sources, tax-schedule changes and household insurance. Then add a two-stage model: an analytic two-period result explaining the convexity wedge, followed by a calibrated heterogeneous-agent lifecycle model with saving, borrowing constraints and a within-cohort government budget. A full general-equilibrium OLG extension should be conditional on showing that transition, intergenerational incidence or factor-price effects change the policy ranking. If this package is delivered well, National Tax Journal, Fiscal Studies and International Tax and Public Finance are credible targets; Journal of Public Economics becomes a plausible reach only with a convincing welfare contribution, clear differentiation from the new lifetime-tax literature and preferably credible behavioural evidence.</w:t>
      </w:r>
    </w:p>
    <w:p>
      <w:pPr>
        <w:widowControl/>
      </w:pPr>
      <w:r>
        <w:br w:type="page"/>
      </w:r>
    </w:p>
    <w:p>
      <w:pPr>
        <w:pStyle w:val="Heading1"/>
        <w:pBdr>
          <w:bottom w:val="single" w:sz="8" w:space="5" w:color="D9E1E8"/>
        </w:pBdr>
        <w:widowControl/>
      </w:pPr>
      <w:r>
        <w:t>1. Scope of this review and materials inspected</w:t>
      </w:r>
    </w:p>
    <w:p>
      <w:pPr>
        <w:widowControl/>
      </w:pPr>
      <w:r>
        <w:t>I reviewed:</w:t>
      </w:r>
    </w:p>
    <w:p>
      <w:pPr>
        <w:pStyle w:val="ListBullet"/>
        <w:spacing w:after="60"/>
        <w:widowControl/>
      </w:pPr>
      <w:r>
        <w:t>the 23-page May 2026 draft, “Heterogeneity in the Australian Tax System”;</w:t>
      </w:r>
    </w:p>
    <w:p>
      <w:pPr>
        <w:pStyle w:val="ListBullet"/>
        <w:spacing w:after="60"/>
        <w:widowControl/>
      </w:pPr>
      <w:r>
        <w:rPr>
          <w:rFonts w:ascii="Consolas" w:hAnsi="Consolas"/>
          <w:color w:val="17365D"/>
          <w:sz w:val="19"/>
        </w:rPr>
        <w:t>main.tex</w:t>
      </w:r>
      <w:r>
        <w:t xml:space="preserve">, </w:t>
      </w:r>
      <w:r>
        <w:rPr>
          <w:rFonts w:ascii="Consolas" w:hAnsi="Consolas"/>
          <w:color w:val="17365D"/>
          <w:sz w:val="19"/>
        </w:rPr>
        <w:t>make_figures.R</w:t>
      </w:r>
      <w:r>
        <w:t>, the July cleared aggregate outputs and the older March outputs in the TaxWorkingPaper repository;</w:t>
      </w:r>
    </w:p>
    <w:p>
      <w:pPr>
        <w:pStyle w:val="ListBullet"/>
        <w:spacing w:after="60"/>
        <w:widowControl/>
      </w:pPr>
      <w:r>
        <w:t>the cumulative-averaging simulations, historical tax-scale exercises, income-growth counterfactuals and output diagnostics in AgeGenerationTaxRates; and</w:t>
      </w:r>
    </w:p>
    <w:p>
      <w:pPr>
        <w:pStyle w:val="ListBullet"/>
        <w:spacing w:after="60"/>
        <w:widowControl/>
      </w:pPr>
      <w:r>
        <w:t>current official descriptions of Australian income averaging and the stated remits of candidate journals.</w:t>
      </w:r>
    </w:p>
    <w:p>
      <w:pPr>
        <w:widowControl/>
      </w:pPr>
      <w:r>
        <w:t>The review can audit the paper, formulas, cleared aggregates, plotting code and hypothetical simulations. The repository does not contain the secure PLIDA production code that turns person-level tax records into the cleared aggregates. I therefore cannot verify record linkage, variable construction, tax-calculator accuracy or the exact sample code. Those items need their own reproducibility audit in the DataLab.</w:t>
      </w:r>
    </w:p>
    <w:p>
      <w:pPr>
        <w:pStyle w:val="Heading2"/>
        <w:widowControl/>
      </w:pPr>
      <w:r>
        <w:t>1.1 What is already strong</w:t>
      </w:r>
    </w:p>
    <w:p>
      <w:pPr>
        <w:pStyle w:val="ListBullet"/>
        <w:spacing w:after="60"/>
        <w:widowControl/>
      </w:pPr>
      <w:r>
        <w:t>The administrative panel is highly suitable for the question. Coverage at population scale makes distributional heterogeneity, rare income paths and subgroup analysis possible.</w:t>
      </w:r>
    </w:p>
    <w:p>
      <w:pPr>
        <w:pStyle w:val="ListBullet"/>
        <w:spacing w:after="60"/>
        <w:widowControl/>
      </w:pPr>
      <w:r>
        <w:t>The draft has identified an underappreciated mechanism at the lower end: crossing the tax-free threshold can make the tax consequences of income concentration large even when average income is modest.</w:t>
      </w:r>
    </w:p>
    <w:p>
      <w:pPr>
        <w:pStyle w:val="ListBullet"/>
        <w:spacing w:after="60"/>
        <w:widowControl/>
      </w:pPr>
      <w:r>
        <w:t>The paper understands that nominal, real, average-income-relative and lifecycle-preserving benchmarks are not interchangeable. The new hypothetical exercises in AgeGenerationTaxRates materially improve this conceptual discussion.</w:t>
      </w:r>
    </w:p>
    <w:p>
      <w:pPr>
        <w:pStyle w:val="ListBullet"/>
        <w:spacing w:after="60"/>
        <w:widowControl/>
      </w:pPr>
      <w:r>
        <w:t>The income-growth simulation includes useful “matching units” diagnostics: a constant-real benchmark belongs with a CPI-indexed scale, while a constant-relative-to-average-income benchmark belongs with a scale indexed to average income. This is a genuine conceptual contribution that should be formalised in the paper.</w:t>
      </w:r>
    </w:p>
    <w:p>
      <w:pPr>
        <w:pStyle w:val="ListBullet"/>
        <w:spacing w:after="60"/>
        <w:widowControl/>
      </w:pPr>
      <w:r>
        <w:t>The draft recognises that lifecycle profiles, shocks, voluntary transitions and timing of capital or business income have different normative interpretations.</w:t>
      </w:r>
    </w:p>
    <w:p>
      <w:pPr>
        <w:pStyle w:val="ListBullet"/>
        <w:spacing w:after="60"/>
        <w:widowControl/>
      </w:pPr>
      <w:r>
        <w:t>Australia has existing averaging regimes for primary producers and designated special professionals. This gives the paper direct institutional relevance and a natural way to discuss feasibility.</w:t>
      </w:r>
    </w:p>
    <w:p>
      <w:pPr>
        <w:pStyle w:val="Heading2"/>
        <w:widowControl/>
      </w:pPr>
      <w:r>
        <w:t>1.2 What presently prevents submission</w:t>
      </w:r>
    </w:p>
    <w:p>
      <w:pPr>
        <w:widowControl/>
      </w:pPr>
      <w:r>
        <w:t>There are five binding issues:</w:t>
      </w:r>
    </w:p>
    <w:p>
      <w:pPr>
        <w:pStyle w:val="ListNumber"/>
        <w:spacing w:after="60"/>
        <w:widowControl/>
      </w:pPr>
      <w:r>
        <w:t>The paper’s headline incidence statistics do not reconcile with the July cleared outputs and plotting code.</w:t>
      </w:r>
    </w:p>
    <w:p>
      <w:pPr>
        <w:pStyle w:val="ListNumber"/>
        <w:spacing w:after="60"/>
        <w:widowControl/>
      </w:pPr>
      <w:r>
        <w:t>The accounting benchmark is repeatedly described as if it were a feasible reform, even though it uses a complete ten-year path and therefore future income.</w:t>
      </w:r>
    </w:p>
    <w:p>
      <w:pPr>
        <w:pStyle w:val="ListNumber"/>
        <w:spacing w:after="60"/>
        <w:widowControl/>
      </w:pPr>
      <w:r>
        <w:t>“Insurance,” “horizontal equity,” “tax penalty” and “welfare” are asserted without a government-budget-consistent model.</w:t>
      </w:r>
    </w:p>
    <w:p>
      <w:pPr>
        <w:pStyle w:val="ListNumber"/>
        <w:spacing w:after="60"/>
        <w:widowControl/>
      </w:pPr>
      <w:r>
        <w:t>The empirical mechanisms section is unfinished, and the current age/fixed-effect residual is too weak to be interpreted as income risk.</w:t>
      </w:r>
    </w:p>
    <w:p>
      <w:pPr>
        <w:pStyle w:val="ListNumber"/>
        <w:spacing w:after="60"/>
        <w:widowControl/>
      </w:pPr>
      <w:r>
        <w:t>Figures mix data vintages, while the displayed revenue-neutral calculation is not generated by the stated adjustment in the available figure code.</w:t>
      </w:r>
    </w:p>
    <w:p>
      <w:pPr>
        <w:widowControl/>
      </w:pPr>
      <w:r>
        <w:t>These are serious but tractable. The paper should pause prose expansion until the results audit described next is complete.</w:t>
      </w:r>
    </w:p>
    <w:p>
      <w:pPr>
        <w:pStyle w:val="Heading1"/>
        <w:pBdr>
          <w:bottom w:val="single" w:sz="8" w:space="5" w:color="D9E1E8"/>
        </w:pBdr>
        <w:widowControl/>
      </w:pPr>
      <w:r>
        <w:t>2. Immediate results and code audit</w:t>
      </w:r>
    </w:p>
    <w:p>
      <w:pPr>
        <w:pStyle w:val="Heading2"/>
        <w:widowControl/>
      </w:pPr>
      <w:r>
        <w:t>2.1 Reconcile signs, labels and the “80 percent” headline</w:t>
      </w:r>
    </w:p>
    <w:p>
      <w:pPr>
        <w:widowControl/>
      </w:pPr>
      <w:r>
        <w:t>The abstract states that around 80 percent of taxpayers pay more under the current system than under smoothing. The text similarly says that the share benefiting exceeds 60 percent across most of the distribution and that only around 20 percent would face higher liability under averaging.</w:t>
      </w:r>
    </w:p>
    <w:p>
      <w:pPr>
        <w:widowControl/>
      </w:pPr>
      <w:r>
        <w:t xml:space="preserve">On the literal interpretation of the July cleared </w:t>
      </w:r>
      <w:r>
        <w:rPr>
          <w:rFonts w:ascii="Consolas" w:hAnsi="Consolas"/>
          <w:color w:val="17365D"/>
          <w:sz w:val="19"/>
        </w:rPr>
        <w:t>AveragedIncome/IncomeIncomeAveraging.csv</w:t>
      </w:r>
      <w:r>
        <w:t xml:space="preserve"> and the associated figure code, those statements do not hold. Weighting the cleared cells by </w:t>
      </w:r>
      <w:r>
        <w:rPr>
          <w:rFonts w:ascii="Consolas" w:hAnsi="Consolas"/>
          <w:color w:val="17365D"/>
          <w:sz w:val="19"/>
        </w:rPr>
        <w:t>N</w:t>
      </w:r>
      <w:r>
        <w:t xml:space="preserve"> gives:</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4762"/>
            <w:vAlign w:val="center"/>
            <w:tcMar>
              <w:top w:w="90" w:type="dxa"/>
              <w:start w:w="90" w:type="dxa"/>
              <w:bottom w:w="90" w:type="dxa"/>
              <w:end w:w="90" w:type="dxa"/>
            </w:tcMar>
            <w:shd w:fill="17365D"/>
          </w:tcPr>
          <w:p>
            <w:pPr>
              <w:spacing w:after="0"/>
            </w:pPr>
            <w:r>
              <w:rPr>
                <w:b/>
                <w:color w:val="FFFFFF"/>
                <w:sz w:val="18"/>
              </w:rPr>
              <w:t>Quantity in July average-income-growth output</w:t>
            </w:r>
          </w:p>
        </w:tc>
        <w:tc>
          <w:tcPr>
            <w:tcW w:type="dxa" w:w="4762"/>
            <w:vAlign w:val="center"/>
            <w:tcMar>
              <w:top w:w="90" w:type="dxa"/>
              <w:start w:w="90" w:type="dxa"/>
              <w:bottom w:w="90" w:type="dxa"/>
              <w:end w:w="90" w:type="dxa"/>
            </w:tcMar>
            <w:shd w:fill="17365D"/>
          </w:tcPr>
          <w:p>
            <w:pPr>
              <w:spacing w:after="0"/>
            </w:pPr>
            <w:r>
              <w:rPr>
                <w:b/>
                <w:color w:val="FFFFFF"/>
                <w:sz w:val="18"/>
              </w:rPr>
              <w:t>Value</w:t>
            </w:r>
          </w:p>
        </w:tc>
      </w:tr>
      <w:tr>
        <w:tc>
          <w:tcPr>
            <w:tcW w:type="dxa" w:w="4762"/>
            <w:vAlign w:val="center"/>
            <w:tcMar>
              <w:top w:w="90" w:type="dxa"/>
              <w:start w:w="90" w:type="dxa"/>
              <w:bottom w:w="90" w:type="dxa"/>
              <w:end w:w="90" w:type="dxa"/>
            </w:tcMar>
          </w:tcPr>
          <w:p>
            <w:pPr>
              <w:spacing w:after="0"/>
            </w:pPr>
            <w:r>
              <w:rPr>
                <w:sz w:val="17"/>
              </w:rPr>
              <w:t>Individuals represented</w:t>
            </w:r>
          </w:p>
        </w:tc>
        <w:tc>
          <w:tcPr>
            <w:tcW w:type="dxa" w:w="4762"/>
            <w:vAlign w:val="center"/>
            <w:tcMar>
              <w:top w:w="90" w:type="dxa"/>
              <w:start w:w="90" w:type="dxa"/>
              <w:bottom w:w="90" w:type="dxa"/>
              <w:end w:w="90" w:type="dxa"/>
            </w:tcMar>
          </w:tcPr>
          <w:p>
            <w:pPr>
              <w:spacing w:after="0"/>
              <w:jc w:val="right"/>
            </w:pPr>
            <w:r>
              <w:rPr>
                <w:sz w:val="17"/>
              </w:rPr>
              <w:t>11,583,502</w:t>
            </w:r>
          </w:p>
        </w:tc>
      </w:tr>
      <w:tr>
        <w:tc>
          <w:tcPr>
            <w:tcW w:type="dxa" w:w="4762"/>
            <w:vAlign w:val="center"/>
            <w:tcMar>
              <w:top w:w="90" w:type="dxa"/>
              <w:start w:w="90" w:type="dxa"/>
              <w:bottom w:w="90" w:type="dxa"/>
              <w:end w:w="90" w:type="dxa"/>
            </w:tcMar>
            <w:shd w:fill="F3F5F7"/>
          </w:tcPr>
          <w:p>
            <w:pPr>
              <w:spacing w:after="0"/>
            </w:pPr>
            <w:r>
              <w:rPr>
                <w:sz w:val="17"/>
              </w:rPr>
              <w:t xml:space="preserve">Weighted mean </w:t>
            </w:r>
            <w:r>
              <w:rPr>
                <w:rFonts w:ascii="Consolas" w:hAnsi="Consolas"/>
                <w:color w:val="17365D"/>
                <w:sz w:val="17"/>
              </w:rPr>
              <w:t>mean_diff</w:t>
            </w:r>
          </w:p>
        </w:tc>
        <w:tc>
          <w:tcPr>
            <w:tcW w:type="dxa" w:w="4762"/>
            <w:vAlign w:val="center"/>
            <w:tcMar>
              <w:top w:w="90" w:type="dxa"/>
              <w:start w:w="90" w:type="dxa"/>
              <w:bottom w:w="90" w:type="dxa"/>
              <w:end w:w="90" w:type="dxa"/>
            </w:tcMar>
            <w:shd w:fill="F3F5F7"/>
          </w:tcPr>
          <w:p>
            <w:pPr>
              <w:spacing w:after="0"/>
            </w:pPr>
            <w:r>
              <w:rPr>
                <w:sz w:val="17"/>
              </w:rPr>
              <w:t>-0.00746, or -0.746 percentage points</w:t>
            </w:r>
          </w:p>
        </w:tc>
      </w:tr>
      <w:tr>
        <w:tc>
          <w:tcPr>
            <w:tcW w:type="dxa" w:w="4762"/>
            <w:vAlign w:val="center"/>
            <w:tcMar>
              <w:top w:w="90" w:type="dxa"/>
              <w:start w:w="90" w:type="dxa"/>
              <w:bottom w:w="90" w:type="dxa"/>
              <w:end w:w="90" w:type="dxa"/>
            </w:tcMar>
          </w:tcPr>
          <w:p>
            <w:pPr>
              <w:spacing w:after="0"/>
            </w:pPr>
            <w:r>
              <w:rPr>
                <w:sz w:val="17"/>
              </w:rPr>
              <w:t xml:space="preserve">Weighted share labelled </w:t>
            </w:r>
            <w:r>
              <w:rPr>
                <w:rFonts w:ascii="Consolas" w:hAnsi="Consolas"/>
                <w:color w:val="17365D"/>
                <w:sz w:val="17"/>
              </w:rPr>
              <w:t>better_off</w:t>
            </w:r>
          </w:p>
        </w:tc>
        <w:tc>
          <w:tcPr>
            <w:tcW w:type="dxa" w:w="4762"/>
            <w:vAlign w:val="center"/>
            <w:tcMar>
              <w:top w:w="90" w:type="dxa"/>
              <w:start w:w="90" w:type="dxa"/>
              <w:bottom w:w="90" w:type="dxa"/>
              <w:end w:w="90" w:type="dxa"/>
            </w:tcMar>
          </w:tcPr>
          <w:p>
            <w:pPr>
              <w:spacing w:after="0"/>
              <w:jc w:val="right"/>
            </w:pPr>
            <w:r>
              <w:rPr>
                <w:sz w:val="17"/>
              </w:rPr>
              <w:t>41.27%</w:t>
            </w:r>
          </w:p>
        </w:tc>
      </w:tr>
      <w:tr>
        <w:tc>
          <w:tcPr>
            <w:tcW w:type="dxa" w:w="4762"/>
            <w:vAlign w:val="center"/>
            <w:tcMar>
              <w:top w:w="90" w:type="dxa"/>
              <w:start w:w="90" w:type="dxa"/>
              <w:bottom w:w="90" w:type="dxa"/>
              <w:end w:w="90" w:type="dxa"/>
            </w:tcMar>
            <w:shd w:fill="F3F5F7"/>
          </w:tcPr>
          <w:p>
            <w:pPr>
              <w:spacing w:after="0"/>
            </w:pPr>
            <w:r>
              <w:rPr>
                <w:sz w:val="17"/>
              </w:rPr>
              <w:t xml:space="preserve">Weighted share labelled </w:t>
            </w:r>
            <w:r>
              <w:rPr>
                <w:rFonts w:ascii="Consolas" w:hAnsi="Consolas"/>
                <w:color w:val="17365D"/>
                <w:sz w:val="17"/>
              </w:rPr>
              <w:t>worse_off</w:t>
            </w:r>
          </w:p>
        </w:tc>
        <w:tc>
          <w:tcPr>
            <w:tcW w:type="dxa" w:w="4762"/>
            <w:vAlign w:val="center"/>
            <w:tcMar>
              <w:top w:w="90" w:type="dxa"/>
              <w:start w:w="90" w:type="dxa"/>
              <w:bottom w:w="90" w:type="dxa"/>
              <w:end w:w="90" w:type="dxa"/>
            </w:tcMar>
            <w:shd w:fill="F3F5F7"/>
          </w:tcPr>
          <w:p>
            <w:pPr>
              <w:spacing w:after="0"/>
              <w:jc w:val="right"/>
            </w:pPr>
            <w:r>
              <w:rPr>
                <w:sz w:val="17"/>
              </w:rPr>
              <w:t>58.73%</w:t>
            </w:r>
          </w:p>
        </w:tc>
      </w:tr>
    </w:tbl>
    <w:p>
      <w:pPr>
        <w:spacing w:after="20"/>
        <w:widowControl/>
      </w:pPr>
    </w:p>
    <w:p>
      <w:pPr>
        <w:widowControl/>
      </w:pPr>
      <w:r>
        <w:t>The distribution is strongly heterogeneous. Around mean annual income of $21,445, the average change is about -3.56 percentage points and 73 percent are labelled better off. Around $84,907, the average change is +0.58 percentage points and only 19 percent are labelled better off. Around $133,179, the corresponding values are +0.77 percentage points and 16 percent.</w:t>
      </w:r>
    </w:p>
    <w:p>
      <w:pPr>
        <w:widowControl/>
      </w:pPr>
      <w:r>
        <w:t xml:space="preserve">This does not necessarily mean the underlying analysis is wrong. It means the sign convention, meaning of </w:t>
      </w:r>
      <w:r>
        <w:rPr>
          <w:rFonts w:ascii="Consolas" w:hAnsi="Consolas"/>
          <w:color w:val="17365D"/>
          <w:sz w:val="19"/>
        </w:rPr>
        <w:t>better_off</w:t>
      </w:r>
      <w:r>
        <w:t>, weighting, sample and paper statements are not aligned. Before any further interpretation:</w:t>
      </w:r>
    </w:p>
    <w:p>
      <w:pPr>
        <w:pStyle w:val="ListBullet"/>
        <w:spacing w:after="60"/>
        <w:widowControl/>
      </w:pPr>
      <w:r>
        <w:t xml:space="preserve">write a one-line identity defining every difference, for example </w:t>
      </w:r>
      <w:r>
        <w:rPr>
          <w:rFonts w:ascii="Consolas" w:hAnsi="Consolas"/>
          <w:color w:val="17365D"/>
          <w:sz w:val="19"/>
        </w:rPr>
        <w:t>gap = ATR_annual − ATR_benchmark</w:t>
      </w:r>
      <w:r>
        <w:t>, so positive always means annual assessment collects more;</w:t>
      </w:r>
    </w:p>
    <w:p>
      <w:pPr>
        <w:pStyle w:val="ListBullet"/>
        <w:spacing w:after="60"/>
        <w:widowControl/>
      </w:pPr>
      <w:r>
        <w:t xml:space="preserve">rename output columns to encode the sign, such as </w:t>
      </w:r>
      <w:r>
        <w:rPr>
          <w:rFonts w:ascii="Consolas" w:hAnsi="Consolas"/>
          <w:color w:val="17365D"/>
          <w:sz w:val="19"/>
        </w:rPr>
        <w:t>annual_minus_benchmark_atr</w:t>
      </w:r>
      <w:r>
        <w:t xml:space="preserve"> and </w:t>
      </w:r>
      <w:r>
        <w:rPr>
          <w:rFonts w:ascii="Consolas" w:hAnsi="Consolas"/>
          <w:color w:val="17365D"/>
          <w:sz w:val="19"/>
        </w:rPr>
        <w:t>annual_minus_benchmark_tax</w:t>
      </w:r>
      <w:r>
        <w:t>;</w:t>
      </w:r>
    </w:p>
    <w:p>
      <w:pPr>
        <w:pStyle w:val="ListBullet"/>
        <w:spacing w:after="60"/>
        <w:widowControl/>
      </w:pPr>
      <w:r>
        <w:t>calculate all headline shares directly from person-level indicators, not by visually reading a smoothed line;</w:t>
      </w:r>
    </w:p>
    <w:p>
      <w:pPr>
        <w:pStyle w:val="ListBullet"/>
        <w:spacing w:after="60"/>
        <w:widowControl/>
      </w:pPr>
      <w:r>
        <w:t>show unweighted-person and tax-weighted incidence separately;</w:t>
      </w:r>
    </w:p>
    <w:p>
      <w:pPr>
        <w:pStyle w:val="ListBullet"/>
        <w:spacing w:after="60"/>
        <w:widowControl/>
      </w:pPr>
      <w:r>
        <w:t>reconcile the 11,583,502 represented in the income cells with the 11,278,162 observations reported in the regression table;</w:t>
      </w:r>
    </w:p>
    <w:p>
      <w:pPr>
        <w:pStyle w:val="ListBullet"/>
        <w:spacing w:after="60"/>
        <w:widowControl/>
      </w:pPr>
      <w:r>
        <w:t>state how exact ties are treated; and</w:t>
      </w:r>
    </w:p>
    <w:p>
      <w:pPr>
        <w:pStyle w:val="ListBullet"/>
        <w:spacing w:after="60"/>
        <w:widowControl/>
      </w:pPr>
      <w:r>
        <w:t>generate a single machine-readable “headline statistics” table used by the abstract, introduction, tables and figures.</w:t>
      </w:r>
    </w:p>
    <w:p>
      <w:pPr>
        <w:widowControl/>
      </w:pPr>
      <w:r>
        <w:t>Do not retain the “80 percent” claim unless this audit reproduces it under a clearly defined main estimand.</w:t>
      </w:r>
    </w:p>
    <w:p>
      <w:pPr>
        <w:pStyle w:val="Heading2"/>
        <w:widowControl/>
      </w:pPr>
      <w:r>
        <w:t>2.2 The available “revenue-neutral” figure is not revenue neutral</w:t>
      </w:r>
    </w:p>
    <w:p>
      <w:pPr>
        <w:widowControl/>
      </w:pPr>
      <w:r>
        <w:t xml:space="preserve">In </w:t>
      </w:r>
      <w:r>
        <w:rPr>
          <w:rFonts w:ascii="Consolas" w:hAnsi="Consolas"/>
          <w:color w:val="17365D"/>
          <w:sz w:val="19"/>
        </w:rPr>
        <w:t>make_figures.R</w:t>
      </w:r>
      <w:r>
        <w:t xml:space="preserve">, the object saved as </w:t>
      </w:r>
      <w:r>
        <w:rPr>
          <w:rFonts w:ascii="Consolas" w:hAnsi="Consolas"/>
          <w:color w:val="17365D"/>
          <w:sz w:val="19"/>
        </w:rPr>
        <w:t>avg_lr_plot_revneutral</w:t>
      </w:r>
      <w:r>
        <w:t xml:space="preserve"> filters the ordinary average-income-growth series and plots </w:t>
      </w:r>
      <w:r>
        <w:rPr>
          <w:rFonts w:ascii="Consolas" w:hAnsi="Consolas"/>
          <w:color w:val="17365D"/>
          <w:sz w:val="19"/>
        </w:rPr>
        <w:t>mean_diff_s</w:t>
      </w:r>
      <w:r>
        <w:t>. The available code does not apply a two-percentage-point rate change, solve a government budget, or load a separately revenue-neutral output. It therefore appears to relabel the unadjusted accounting comparison.</w:t>
      </w:r>
    </w:p>
    <w:p>
      <w:pPr>
        <w:widowControl/>
      </w:pPr>
      <w:r>
        <w:t>The paper says the revenue-neutral regime increases all tax brackets by a fixed amount year by year. This needs a full redesign rather than a figure-label correction:</w:t>
      </w:r>
    </w:p>
    <w:p>
      <w:pPr>
        <w:pStyle w:val="ListBullet"/>
        <w:spacing w:after="60"/>
        <w:widowControl/>
      </w:pPr>
      <w:r>
        <w:t>“Increasing tax brackets” could mean changing thresholds or marginal rates; use exact language.</w:t>
      </w:r>
    </w:p>
    <w:p>
      <w:pPr>
        <w:pStyle w:val="ListBullet"/>
        <w:spacing w:after="60"/>
        <w:widowControl/>
      </w:pPr>
      <w:r>
        <w:t>Adding two percentage points to every marginal rate would make the zero-rate band positive unless explicitly exempted, mechanically undoing the tax-free threshold that drives the headline result.</w:t>
      </w:r>
    </w:p>
    <w:p>
      <w:pPr>
        <w:pStyle w:val="ListBullet"/>
        <w:spacing w:after="60"/>
        <w:widowControl/>
      </w:pPr>
      <w:r>
        <w:t>Year-by-year revenue neutrality is generally inconsistent with a cumulative regime that carries balances or settles tax across years. The natural budget is expected present-value neutrality over the reform horizon, with a transparent transition rule.</w:t>
      </w:r>
    </w:p>
    <w:p>
      <w:pPr>
        <w:pStyle w:val="ListBullet"/>
        <w:spacing w:after="60"/>
        <w:widowControl/>
      </w:pPr>
      <w:r>
        <w:t>Incidence can change substantially with the fiscal closure. At minimum compare a proportional surcharge on positive liabilities, a common marginal-rate adjustment above the tax-free threshold, and an intercept/demogrant adjustment.</w:t>
      </w:r>
    </w:p>
    <w:p>
      <w:pPr>
        <w:widowControl/>
      </w:pPr>
      <w:r>
        <w:t>Until these calculations exist, remove Figure 6(b) and all claims based on it.</w:t>
      </w:r>
    </w:p>
    <w:p>
      <w:pPr>
        <w:pStyle w:val="Heading2"/>
        <w:widowControl/>
      </w:pPr>
      <w:r>
        <w:t>2.3 Figures currently mix data vintages</w:t>
      </w:r>
    </w:p>
    <w:p>
      <w:pPr>
        <w:widowControl/>
      </w:pPr>
      <w:r>
        <w:t xml:space="preserve">The current averaging figures use the July cleared pull. The long-run effective-tax-rate distribution and Shapley decomposition in the figures folder are regenerated from the older March outputs in </w:t>
      </w:r>
      <w:r>
        <w:rPr>
          <w:rFonts w:ascii="Consolas" w:hAnsi="Consolas"/>
          <w:color w:val="17365D"/>
          <w:sz w:val="19"/>
        </w:rPr>
        <w:t>OLD</w:t>
      </w:r>
      <w:r>
        <w:t>. The July pull does not contain an updated Shapley file, and the main figure script does not recreate those two figures.</w:t>
      </w:r>
    </w:p>
    <w:p>
      <w:pPr>
        <w:widowControl/>
      </w:pPr>
      <w:r>
        <w:t>Every submission figure must come from a single frozen release, or be labelled clearly when vintages necessarily differ. The preferred workflow is:</w:t>
      </w:r>
    </w:p>
    <w:p>
      <w:pPr>
        <w:pStyle w:val="ListNumber"/>
        <w:spacing w:after="60"/>
        <w:widowControl/>
      </w:pPr>
      <w:r>
        <w:t>freeze one secure-data extraction and give it a release identifier;</w:t>
      </w:r>
    </w:p>
    <w:p>
      <w:pPr>
        <w:pStyle w:val="ListNumber"/>
        <w:spacing w:after="60"/>
        <w:widowControl/>
      </w:pPr>
      <w:r>
        <w:t>export every cleared aggregate required for the paper from that release;</w:t>
      </w:r>
    </w:p>
    <w:p>
      <w:pPr>
        <w:pStyle w:val="ListNumber"/>
        <w:spacing w:after="60"/>
        <w:widowControl/>
      </w:pPr>
      <w:r>
        <w:t>generate all figures and tables in one clean run;</w:t>
      </w:r>
    </w:p>
    <w:p>
      <w:pPr>
        <w:pStyle w:val="ListNumber"/>
        <w:spacing w:after="60"/>
        <w:widowControl/>
      </w:pPr>
      <w:r>
        <w:t>create a manifest recording input file, row count, checksum, script and output; and</w:t>
      </w:r>
    </w:p>
    <w:p>
      <w:pPr>
        <w:pStyle w:val="ListNumber"/>
        <w:spacing w:after="60"/>
        <w:widowControl/>
      </w:pPr>
      <w:r>
        <w:t>fail the build if an output relies on an older release.</w:t>
      </w:r>
    </w:p>
    <w:p>
      <w:pPr>
        <w:widowControl/>
      </w:pPr>
      <w:r>
        <w:t>The variance decomposition also needs a precise methods appendix: outcome variance, counterfactual components, coalitions, order averaging, negative Shapley contributions and whether components sum exactly within every income cell.</w:t>
      </w:r>
    </w:p>
    <w:p>
      <w:pPr>
        <w:pStyle w:val="Heading2"/>
        <w:widowControl/>
      </w:pPr>
      <w:r>
        <w:t>2.4 Other factual and drafting inconsistencies</w:t>
      </w:r>
    </w:p>
    <w:p>
      <w:pPr>
        <w:pStyle w:val="ListBullet"/>
        <w:spacing w:after="60"/>
        <w:widowControl/>
      </w:pPr>
      <w:r>
        <w:t>The paper alternates between 2000–2023 coverage and a 2012–2022 core window. Present these as “available universe” and “main balanced-window sample.”</w:t>
      </w:r>
    </w:p>
    <w:p>
      <w:pPr>
        <w:pStyle w:val="ListBullet"/>
        <w:spacing w:after="60"/>
        <w:widowControl/>
      </w:pPr>
      <w:r>
        <w:t>Ten or eleven observed tax years are not “lifetime.” Use “ten-year,” “medium-run” or “within-window” throughout. Reserve “lifetime” for a model or much longer cohort analysis.</w:t>
      </w:r>
    </w:p>
    <w:p>
      <w:pPr>
        <w:pStyle w:val="ListBullet"/>
        <w:spacing w:after="60"/>
        <w:widowControl/>
      </w:pPr>
      <w:r>
        <w:t>The draft refers to the “prior” capital-gains discount. The 50 percent CGT discount remains available to qualifying Australian resident individuals holding an asset for at least 12 months. If “prior” means “discussed in our prior paper,” rewrite it; if it means repealed, correct it.</w:t>
      </w:r>
    </w:p>
    <w:p>
      <w:pPr>
        <w:pStyle w:val="ListBullet"/>
        <w:spacing w:after="60"/>
        <w:widowControl/>
      </w:pPr>
      <w:r>
        <w:t xml:space="preserve">The regression caption defines a positive difference as paying more under the current system, while the plotted </w:t>
      </w:r>
      <w:r>
        <w:rPr>
          <w:rFonts w:ascii="Consolas" w:hAnsi="Consolas"/>
          <w:color w:val="17365D"/>
          <w:sz w:val="19"/>
        </w:rPr>
        <w:t>mean_diff</w:t>
      </w:r>
      <w:r>
        <w:t xml:space="preserve"> series appears to use the opposite orientation. Harmonise signs.</w:t>
      </w:r>
    </w:p>
    <w:p>
      <w:pPr>
        <w:pStyle w:val="ListBullet"/>
        <w:spacing w:after="60"/>
        <w:widowControl/>
      </w:pPr>
      <w:r>
        <w:t>The regression table in the PDF contains four columns, while the July workbooks contain eight specifications. Rebuild the table from a declared source and explain the selected columns.</w:t>
      </w:r>
    </w:p>
    <w:p>
      <w:pPr>
        <w:pStyle w:val="ListBullet"/>
        <w:spacing w:after="60"/>
        <w:widowControl/>
      </w:pPr>
      <w:r>
        <w:t>The sample is described as positive taxable income in at least eight of eleven years, yet the paper’s motivating population includes people moving in and out of work. That selection likely removes some of the most relevant spells.</w:t>
      </w:r>
    </w:p>
    <w:p>
      <w:pPr>
        <w:pStyle w:val="Heading1"/>
        <w:pBdr>
          <w:bottom w:val="single" w:sz="8" w:space="5" w:color="D9E1E8"/>
        </w:pBdr>
        <w:widowControl/>
      </w:pPr>
      <w:r>
        <w:t>3. The core question and contribution</w:t>
      </w:r>
    </w:p>
    <w:p>
      <w:pPr>
        <w:pStyle w:val="Heading2"/>
        <w:widowControl/>
      </w:pPr>
      <w:r>
        <w:t>3.1 Narrow the question</w:t>
      </w:r>
    </w:p>
    <w:p>
      <w:pPr>
        <w:widowControl/>
      </w:pPr>
      <w:r>
        <w:t>The current title and opening promise two papers: a cross-sectional paper about deductions, offsets and capital gains, and a longitudinal paper about assessment periods. The prior e61 work already covers much of the first. The new contribution should be the second.</w:t>
      </w:r>
    </w:p>
    <w:p>
      <w:pPr>
        <w:widowControl/>
      </w:pPr>
      <w:r>
        <w:t>Recommended question:</w:t>
      </w:r>
    </w:p>
    <w:p>
      <w:pPr>
        <w:pStyle w:val="ExecutiveCallout"/>
        <w:shd w:fill="EAF2F8"/>
        <w:widowControl/>
      </w:pPr>
      <w:r>
        <w:t>Among taxpayers with the same medium-run resources, how much variation in present-value tax liability is created by the timing of income under annual progressive assessment; which income processes and tax provisions create that variation; and how would feasible averaging rules alter revenue, insurance and welfare?</w:t>
      </w:r>
    </w:p>
    <w:p>
      <w:pPr>
        <w:widowControl/>
      </w:pPr>
      <w:r>
        <w:t>This formulation has four advantages:</w:t>
      </w:r>
    </w:p>
    <w:p>
      <w:pPr>
        <w:pStyle w:val="ListBullet"/>
        <w:spacing w:after="60"/>
        <w:widowControl/>
      </w:pPr>
      <w:r>
        <w:t>“medium-run resources” matches the observed window;</w:t>
      </w:r>
    </w:p>
    <w:p>
      <w:pPr>
        <w:pStyle w:val="ListBullet"/>
        <w:spacing w:after="60"/>
        <w:widowControl/>
      </w:pPr>
      <w:r>
        <w:t>“present-value tax liability” forces consistent units and discounting;</w:t>
      </w:r>
    </w:p>
    <w:p>
      <w:pPr>
        <w:pStyle w:val="ListBullet"/>
        <w:spacing w:after="60"/>
        <w:widowControl/>
      </w:pPr>
      <w:r>
        <w:t>“timing” accommodates predictable profiles, shocks and realisation choices without calling all of them risk; and</w:t>
      </w:r>
    </w:p>
    <w:p>
      <w:pPr>
        <w:pStyle w:val="ListBullet"/>
        <w:spacing w:after="60"/>
        <w:widowControl/>
      </w:pPr>
      <w:r>
        <w:t>“feasible averaging rules” distinguishes policy from an ex-post decomposition.</w:t>
      </w:r>
    </w:p>
    <w:p>
      <w:pPr>
        <w:pStyle w:val="Heading2"/>
        <w:widowControl/>
      </w:pPr>
      <w:r>
        <w:t>3.2 State three contributions, not a catalogue</w:t>
      </w:r>
    </w:p>
    <w:p>
      <w:pPr>
        <w:widowControl/>
      </w:pPr>
      <w:r>
        <w:t>The introduction should claim no more than three contributions:</w:t>
      </w:r>
    </w:p>
    <w:p>
      <w:pPr>
        <w:pStyle w:val="ListNumber"/>
        <w:spacing w:after="60"/>
        <w:widowControl/>
      </w:pPr>
      <w:r>
        <w:rPr>
          <w:b/>
        </w:rPr>
        <w:t>Measurement:</w:t>
      </w:r>
      <w:r>
        <w:t xml:space="preserve"> the first population-scale evidence for Australia on the medium-run tax wedge generated by annual assessment conditional on resources.</w:t>
      </w:r>
    </w:p>
    <w:p>
      <w:pPr>
        <w:pStyle w:val="ListNumber"/>
        <w:spacing w:after="60"/>
        <w:widowControl/>
      </w:pPr>
      <w:r>
        <w:rPr>
          <w:b/>
        </w:rPr>
        <w:t>Mechanisms:</w:t>
      </w:r>
      <w:r>
        <w:t xml:space="preserve"> a decomposition of that wedge into predictable lifecycle change, extensive-margin spells, residual income changes, income-source timing and tax-system change.</w:t>
      </w:r>
    </w:p>
    <w:p>
      <w:pPr>
        <w:pStyle w:val="ListNumber"/>
        <w:spacing w:after="60"/>
        <w:widowControl/>
      </w:pPr>
      <w:r>
        <w:rPr>
          <w:b/>
        </w:rPr>
        <w:t>Policy and welfare:</w:t>
      </w:r>
      <w:r>
        <w:t xml:space="preserve"> evaluation of implementable averaging rules under an explicit fiscal closure, showing who gains, what insurance or liquidity changes, and the consumption-equivalent welfare effect.</w:t>
      </w:r>
    </w:p>
    <w:p>
      <w:pPr>
        <w:widowControl/>
      </w:pPr>
      <w:r>
        <w:t>The first two alone could support a good applied public-finance paper. The third raises the ceiling and is needed for the strongest journal targets.</w:t>
      </w:r>
    </w:p>
    <w:p>
      <w:pPr>
        <w:pStyle w:val="Heading2"/>
        <w:widowControl/>
      </w:pPr>
      <w:r>
        <w:t>3.3 Use neutral terminology until the normative result is established</w:t>
      </w:r>
    </w:p>
    <w:p>
      <w:pPr>
        <w:widowControl/>
      </w:pPr>
      <w:r>
        <w:t>“Volatility penalty” is memorable but too strong as the default label. A person with a steep predictable career profile, a voluntarily timed capital gain and an involuntary job-loss spell can have the same measured gap for very different reasons. Use:</w:t>
      </w:r>
    </w:p>
    <w:p>
      <w:pPr>
        <w:pStyle w:val="ListBullet"/>
        <w:spacing w:after="60"/>
        <w:widowControl/>
      </w:pPr>
      <w:r>
        <w:rPr>
          <w:b/>
        </w:rPr>
        <w:t>annual-assessment timing wedge</w:t>
      </w:r>
      <w:r>
        <w:t xml:space="preserve"> for the accounting difference;</w:t>
      </w:r>
    </w:p>
    <w:p>
      <w:pPr>
        <w:pStyle w:val="ListBullet"/>
        <w:spacing w:after="60"/>
        <w:widowControl/>
      </w:pPr>
      <w:r>
        <w:rPr>
          <w:b/>
        </w:rPr>
        <w:t>convexity component</w:t>
      </w:r>
      <w:r>
        <w:t xml:space="preserve"> for the effect under a fixed, convex liability schedule;</w:t>
      </w:r>
    </w:p>
    <w:p>
      <w:pPr>
        <w:pStyle w:val="ListBullet"/>
        <w:spacing w:after="60"/>
        <w:widowControl/>
      </w:pPr>
      <w:r>
        <w:rPr>
          <w:b/>
        </w:rPr>
        <w:t>schedule-change component</w:t>
      </w:r>
      <w:r>
        <w:t xml:space="preserve"> for changes in brackets, rates, offsets or levies;</w:t>
      </w:r>
    </w:p>
    <w:p>
      <w:pPr>
        <w:pStyle w:val="ListBullet"/>
        <w:spacing w:after="60"/>
        <w:widowControl/>
      </w:pPr>
      <w:r>
        <w:rPr>
          <w:b/>
        </w:rPr>
        <w:t>risk component</w:t>
      </w:r>
      <w:r>
        <w:t xml:space="preserve"> only for innovations classified as ex ante uncertain; and</w:t>
      </w:r>
    </w:p>
    <w:p>
      <w:pPr>
        <w:pStyle w:val="ListBullet"/>
        <w:spacing w:after="60"/>
        <w:widowControl/>
      </w:pPr>
      <w:r>
        <w:rPr>
          <w:b/>
        </w:rPr>
        <w:t>horizontal inequity</w:t>
      </w:r>
      <w:r>
        <w:t xml:space="preserve"> only after specifying the equivalence class—same real present value, same relative rank, or same predictable lifecycle opportunity.</w:t>
      </w:r>
    </w:p>
    <w:p>
      <w:pPr>
        <w:widowControl/>
      </w:pPr>
      <w:r>
        <w:t>This language will make the paper more persuasive because it does not force a normative interpretation onto every descriptive difference.</w:t>
      </w:r>
    </w:p>
    <w:p>
      <w:pPr>
        <w:pStyle w:val="Heading1"/>
        <w:pBdr>
          <w:bottom w:val="single" w:sz="8" w:space="5" w:color="D9E1E8"/>
        </w:pBdr>
        <w:widowControl/>
      </w:pPr>
      <w:r>
        <w:t>4. Empirical work required</w:t>
      </w:r>
    </w:p>
    <w:p>
      <w:pPr>
        <w:pStyle w:val="Heading2"/>
        <w:widowControl/>
      </w:pPr>
      <w:r>
        <w:t>4.1 Define the estimand before adding regressions</w:t>
      </w:r>
    </w:p>
    <w:p>
      <w:pPr>
        <w:widowControl/>
      </w:pPr>
      <w:r>
        <w:t>For individual i over years t = 1,…,T, define observed tax and income in common terminal-year dollars:</w:t>
      </w:r>
    </w:p>
    <w:p>
      <w:pPr>
        <w:widowControl/>
      </w:pPr>
      <w:r>
        <w:rPr>
          <w:rFonts w:ascii="Consolas" w:hAnsi="Consolas"/>
          <w:color w:val="17365D"/>
          <w:sz w:val="19"/>
        </w:rPr>
        <w:t>PVY_i = Σ_t q_t y_it</w:t>
      </w:r>
      <w:r>
        <w:t xml:space="preserve"> and </w:t>
      </w:r>
      <w:r>
        <w:rPr>
          <w:rFonts w:ascii="Consolas" w:hAnsi="Consolas"/>
          <w:color w:val="17365D"/>
          <w:sz w:val="19"/>
        </w:rPr>
        <w:t>PVT_i^A = Σ_t q_t τ_t(y_it, x_it)</w:t>
      </w:r>
      <w:r>
        <w:t>,</w:t>
      </w:r>
    </w:p>
    <w:p>
      <w:pPr>
        <w:widowControl/>
      </w:pPr>
      <w:r>
        <w:t xml:space="preserve">where </w:t>
      </w:r>
      <w:r>
        <w:rPr>
          <w:rFonts w:ascii="Consolas" w:hAnsi="Consolas"/>
          <w:color w:val="17365D"/>
          <w:sz w:val="19"/>
        </w:rPr>
        <w:t>q_t</w:t>
      </w:r>
      <w:r>
        <w:t xml:space="preserve"> is a discount/indexing factor and </w:t>
      </w:r>
      <w:r>
        <w:rPr>
          <w:rFonts w:ascii="Consolas" w:hAnsi="Consolas"/>
          <w:color w:val="17365D"/>
          <w:sz w:val="19"/>
        </w:rPr>
        <w:t>x_it</w:t>
      </w:r>
      <w:r>
        <w:t xml:space="preserve"> contains tax-relevant income components and circumstances. For benchmark b, construct a path </w:t>
      </w:r>
      <w:r>
        <w:rPr>
          <w:rFonts w:ascii="Consolas" w:hAnsi="Consolas"/>
          <w:color w:val="17365D"/>
          <w:sz w:val="19"/>
        </w:rPr>
        <w:t>ỹ_it^b</w:t>
      </w:r>
      <w:r>
        <w:t xml:space="preserve"> satisfying a declared resource constraint and define:</w:t>
      </w:r>
    </w:p>
    <w:p>
      <w:pPr>
        <w:widowControl/>
      </w:pPr>
      <w:r>
        <w:rPr>
          <w:rFonts w:ascii="Consolas" w:hAnsi="Consolas"/>
          <w:color w:val="17365D"/>
          <w:sz w:val="19"/>
        </w:rPr>
        <w:t>G_i^b = PVT_i^A − Σ_t q_t τ_t(ỹ_it^b, x̃_it^b)</w:t>
      </w:r>
      <w:r>
        <w:t>.</w:t>
      </w:r>
    </w:p>
    <w:p>
      <w:pPr>
        <w:widowControl/>
      </w:pPr>
      <w:r>
        <w:t xml:space="preserve">The paper should report both </w:t>
      </w:r>
      <w:r>
        <w:rPr>
          <w:rFonts w:ascii="Consolas" w:hAnsi="Consolas"/>
          <w:color w:val="17365D"/>
          <w:sz w:val="19"/>
        </w:rPr>
        <w:t>G_i^b</w:t>
      </w:r>
      <w:r>
        <w:t xml:space="preserve"> in dollars and </w:t>
      </w:r>
      <w:r>
        <w:rPr>
          <w:rFonts w:ascii="Consolas" w:hAnsi="Consolas"/>
          <w:color w:val="17365D"/>
          <w:sz w:val="19"/>
        </w:rPr>
        <w:t>G_i^b / PVY_i</w:t>
      </w:r>
      <w:r>
        <w:t xml:space="preserve"> in percentage points. The current ratio of summed nominal tax to summed gross cash income is not automatically a present-value rate.</w:t>
      </w:r>
    </w:p>
    <w:p>
      <w:pPr>
        <w:widowControl/>
      </w:pPr>
      <w:r>
        <w:t>Questions that must be settled in writing:</w:t>
      </w:r>
    </w:p>
    <w:p>
      <w:pPr>
        <w:pStyle w:val="ListBullet"/>
        <w:spacing w:after="60"/>
        <w:widowControl/>
      </w:pPr>
      <w:r>
        <w:t>Does smoothing preserve nominal sum, real sum, or discounted present value?</w:t>
      </w:r>
    </w:p>
    <w:p>
      <w:pPr>
        <w:pStyle w:val="ListBullet"/>
        <w:spacing w:after="60"/>
        <w:widowControl/>
      </w:pPr>
      <w:r>
        <w:t>Is the denominator taxable income, gross cash income, market income or economic income?</w:t>
      </w:r>
    </w:p>
    <w:p>
      <w:pPr>
        <w:pStyle w:val="ListBullet"/>
        <w:spacing w:after="60"/>
        <w:widowControl/>
      </w:pPr>
      <w:r>
        <w:t>Which elements are moved across years: wages, business income, capital gains, transfers, deductions and losses?</w:t>
      </w:r>
    </w:p>
    <w:p>
      <w:pPr>
        <w:pStyle w:val="ListBullet"/>
        <w:spacing w:after="60"/>
        <w:widowControl/>
      </w:pPr>
      <w:r>
        <w:t>Are demographic status, offsets and Medicare thresholds recomputed or held observed?</w:t>
      </w:r>
    </w:p>
    <w:p>
      <w:pPr>
        <w:pStyle w:val="ListBullet"/>
        <w:spacing w:after="60"/>
        <w:widowControl/>
      </w:pPr>
      <w:r>
        <w:t>Are tax schedules actual, fixed in real units, or fixed relative to average income?</w:t>
      </w:r>
    </w:p>
    <w:p>
      <w:pPr>
        <w:pStyle w:val="ListBullet"/>
        <w:spacing w:after="60"/>
        <w:widowControl/>
      </w:pPr>
      <w:r>
        <w:t>How are negative incomes, carried losses, refunds and zero denominators handled?</w:t>
      </w:r>
    </w:p>
    <w:p>
      <w:pPr>
        <w:widowControl/>
      </w:pPr>
      <w:r>
        <w:t>The main specification should preserve real present value of gross cash income, compare present-value tax, and reproduce the full contemporaneous personal tax rules. Alternative resource concepts belong in robustness tables.</w:t>
      </w:r>
    </w:p>
    <w:p>
      <w:pPr>
        <w:pStyle w:val="Heading2"/>
        <w:widowControl/>
      </w:pPr>
      <w:r>
        <w:t>4.2 Separate four benchmarks cleanly</w:t>
      </w:r>
    </w:p>
    <w:p>
      <w:pPr>
        <w:widowControl/>
      </w:pPr>
      <w:r>
        <w:t>The AgeGenerationTaxRates work usefully distinguishes four paths. Keep all four, but assign each a single interpretation:</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2381"/>
            <w:vAlign w:val="center"/>
            <w:tcMar>
              <w:top w:w="90" w:type="dxa"/>
              <w:start w:w="90" w:type="dxa"/>
              <w:bottom w:w="90" w:type="dxa"/>
              <w:end w:w="90" w:type="dxa"/>
            </w:tcMar>
            <w:shd w:fill="17365D"/>
          </w:tcPr>
          <w:p>
            <w:pPr>
              <w:spacing w:after="0"/>
            </w:pPr>
            <w:r>
              <w:rPr>
                <w:b/>
                <w:color w:val="FFFFFF"/>
                <w:sz w:val="18"/>
              </w:rPr>
              <w:t>Benchmark</w:t>
            </w:r>
          </w:p>
        </w:tc>
        <w:tc>
          <w:tcPr>
            <w:tcW w:type="dxa" w:w="2381"/>
            <w:vAlign w:val="center"/>
            <w:tcMar>
              <w:top w:w="90" w:type="dxa"/>
              <w:start w:w="90" w:type="dxa"/>
              <w:bottom w:w="90" w:type="dxa"/>
              <w:end w:w="90" w:type="dxa"/>
            </w:tcMar>
            <w:shd w:fill="17365D"/>
          </w:tcPr>
          <w:p>
            <w:pPr>
              <w:spacing w:after="0"/>
            </w:pPr>
            <w:r>
              <w:rPr>
                <w:b/>
                <w:color w:val="FFFFFF"/>
                <w:sz w:val="18"/>
              </w:rPr>
              <w:t>Construction</w:t>
            </w:r>
          </w:p>
        </w:tc>
        <w:tc>
          <w:tcPr>
            <w:tcW w:type="dxa" w:w="2381"/>
            <w:vAlign w:val="center"/>
            <w:tcMar>
              <w:top w:w="90" w:type="dxa"/>
              <w:start w:w="90" w:type="dxa"/>
              <w:bottom w:w="90" w:type="dxa"/>
              <w:end w:w="90" w:type="dxa"/>
            </w:tcMar>
            <w:shd w:fill="17365D"/>
          </w:tcPr>
          <w:p>
            <w:pPr>
              <w:spacing w:after="0"/>
            </w:pPr>
            <w:r>
              <w:rPr>
                <w:b/>
                <w:color w:val="FFFFFF"/>
                <w:sz w:val="18"/>
              </w:rPr>
              <w:t>Question answered</w:t>
            </w:r>
          </w:p>
        </w:tc>
        <w:tc>
          <w:tcPr>
            <w:tcW w:type="dxa" w:w="2381"/>
            <w:vAlign w:val="center"/>
            <w:tcMar>
              <w:top w:w="90" w:type="dxa"/>
              <w:start w:w="90" w:type="dxa"/>
              <w:bottom w:w="90" w:type="dxa"/>
              <w:end w:w="90" w:type="dxa"/>
            </w:tcMar>
            <w:shd w:fill="17365D"/>
          </w:tcPr>
          <w:p>
            <w:pPr>
              <w:spacing w:after="0"/>
            </w:pPr>
            <w:r>
              <w:rPr>
                <w:b/>
                <w:color w:val="FFFFFF"/>
                <w:sz w:val="18"/>
              </w:rPr>
              <w:t>Policy status</w:t>
            </w:r>
          </w:p>
        </w:tc>
      </w:tr>
      <w:tr>
        <w:tc>
          <w:tcPr>
            <w:tcW w:type="dxa" w:w="2381"/>
            <w:vAlign w:val="center"/>
            <w:tcMar>
              <w:top w:w="90" w:type="dxa"/>
              <w:start w:w="90" w:type="dxa"/>
              <w:bottom w:w="90" w:type="dxa"/>
              <w:end w:w="90" w:type="dxa"/>
            </w:tcMar>
          </w:tcPr>
          <w:p>
            <w:pPr>
              <w:spacing w:after="0"/>
            </w:pPr>
            <w:r>
              <w:rPr>
                <w:sz w:val="17"/>
              </w:rPr>
              <w:t>Constant nominal</w:t>
            </w:r>
          </w:p>
        </w:tc>
        <w:tc>
          <w:tcPr>
            <w:tcW w:type="dxa" w:w="2381"/>
            <w:vAlign w:val="center"/>
            <w:tcMar>
              <w:top w:w="90" w:type="dxa"/>
              <w:start w:w="90" w:type="dxa"/>
              <w:bottom w:w="90" w:type="dxa"/>
              <w:end w:w="90" w:type="dxa"/>
            </w:tcMar>
          </w:tcPr>
          <w:p>
            <w:pPr>
              <w:spacing w:after="0"/>
            </w:pPr>
            <w:r>
              <w:rPr>
                <w:sz w:val="17"/>
              </w:rPr>
              <w:t>Equal nominal amounts</w:t>
            </w:r>
          </w:p>
        </w:tc>
        <w:tc>
          <w:tcPr>
            <w:tcW w:type="dxa" w:w="2381"/>
            <w:vAlign w:val="center"/>
            <w:tcMar>
              <w:top w:w="90" w:type="dxa"/>
              <w:start w:w="90" w:type="dxa"/>
              <w:bottom w:w="90" w:type="dxa"/>
              <w:end w:w="90" w:type="dxa"/>
            </w:tcMar>
          </w:tcPr>
          <w:p>
            <w:pPr>
              <w:spacing w:after="0"/>
            </w:pPr>
            <w:r>
              <w:rPr>
                <w:sz w:val="17"/>
              </w:rPr>
              <w:t>What if dollar timing were removed without indexation?</w:t>
            </w:r>
          </w:p>
        </w:tc>
        <w:tc>
          <w:tcPr>
            <w:tcW w:type="dxa" w:w="2381"/>
            <w:vAlign w:val="center"/>
            <w:tcMar>
              <w:top w:w="90" w:type="dxa"/>
              <w:start w:w="90" w:type="dxa"/>
              <w:bottom w:w="90" w:type="dxa"/>
              <w:end w:w="90" w:type="dxa"/>
            </w:tcMar>
          </w:tcPr>
          <w:p>
            <w:pPr>
              <w:spacing w:after="0"/>
            </w:pPr>
            <w:r>
              <w:rPr>
                <w:sz w:val="17"/>
              </w:rPr>
              <w:t>Diagnostic; generally economically weak over long windows</w:t>
            </w:r>
          </w:p>
        </w:tc>
      </w:tr>
      <w:tr>
        <w:tc>
          <w:tcPr>
            <w:tcW w:type="dxa" w:w="2381"/>
            <w:vAlign w:val="center"/>
            <w:tcMar>
              <w:top w:w="90" w:type="dxa"/>
              <w:start w:w="90" w:type="dxa"/>
              <w:bottom w:w="90" w:type="dxa"/>
              <w:end w:w="90" w:type="dxa"/>
            </w:tcMar>
            <w:shd w:fill="F3F5F7"/>
          </w:tcPr>
          <w:p>
            <w:pPr>
              <w:spacing w:after="0"/>
            </w:pPr>
            <w:r>
              <w:rPr>
                <w:sz w:val="17"/>
              </w:rPr>
              <w:t>Constant real</w:t>
            </w:r>
          </w:p>
        </w:tc>
        <w:tc>
          <w:tcPr>
            <w:tcW w:type="dxa" w:w="2381"/>
            <w:vAlign w:val="center"/>
            <w:tcMar>
              <w:top w:w="90" w:type="dxa"/>
              <w:start w:w="90" w:type="dxa"/>
              <w:bottom w:w="90" w:type="dxa"/>
              <w:end w:w="90" w:type="dxa"/>
            </w:tcMar>
            <w:shd w:fill="F3F5F7"/>
          </w:tcPr>
          <w:p>
            <w:pPr>
              <w:spacing w:after="0"/>
            </w:pPr>
            <w:r>
              <w:rPr>
                <w:sz w:val="17"/>
              </w:rPr>
              <w:t>Equal purchasing-power amounts</w:t>
            </w:r>
          </w:p>
        </w:tc>
        <w:tc>
          <w:tcPr>
            <w:tcW w:type="dxa" w:w="2381"/>
            <w:vAlign w:val="center"/>
            <w:tcMar>
              <w:top w:w="90" w:type="dxa"/>
              <w:start w:w="90" w:type="dxa"/>
              <w:bottom w:w="90" w:type="dxa"/>
              <w:end w:w="90" w:type="dxa"/>
            </w:tcMar>
            <w:shd w:fill="F3F5F7"/>
          </w:tcPr>
          <w:p>
            <w:pPr>
              <w:spacing w:after="0"/>
            </w:pPr>
            <w:r>
              <w:rPr>
                <w:sz w:val="17"/>
              </w:rPr>
              <w:t>What is the timing wedge among equal real resources?</w:t>
            </w:r>
          </w:p>
        </w:tc>
        <w:tc>
          <w:tcPr>
            <w:tcW w:type="dxa" w:w="2381"/>
            <w:vAlign w:val="center"/>
            <w:tcMar>
              <w:top w:w="90" w:type="dxa"/>
              <w:start w:w="90" w:type="dxa"/>
              <w:bottom w:w="90" w:type="dxa"/>
              <w:end w:w="90" w:type="dxa"/>
            </w:tcMar>
            <w:shd w:fill="F3F5F7"/>
          </w:tcPr>
          <w:p>
            <w:pPr>
              <w:spacing w:after="0"/>
            </w:pPr>
            <w:r>
              <w:rPr>
                <w:sz w:val="17"/>
              </w:rPr>
              <w:t>Main accounting benchmark if paired with CPI units</w:t>
            </w:r>
          </w:p>
        </w:tc>
      </w:tr>
      <w:tr>
        <w:tc>
          <w:tcPr>
            <w:tcW w:type="dxa" w:w="2381"/>
            <w:vAlign w:val="center"/>
            <w:tcMar>
              <w:top w:w="90" w:type="dxa"/>
              <w:start w:w="90" w:type="dxa"/>
              <w:bottom w:w="90" w:type="dxa"/>
              <w:end w:w="90" w:type="dxa"/>
            </w:tcMar>
          </w:tcPr>
          <w:p>
            <w:pPr>
              <w:spacing w:after="0"/>
            </w:pPr>
            <w:r>
              <w:rPr>
                <w:sz w:val="17"/>
              </w:rPr>
              <w:t>Constant relative to average income</w:t>
            </w:r>
          </w:p>
        </w:tc>
        <w:tc>
          <w:tcPr>
            <w:tcW w:type="dxa" w:w="2381"/>
            <w:vAlign w:val="center"/>
            <w:tcMar>
              <w:top w:w="90" w:type="dxa"/>
              <w:start w:w="90" w:type="dxa"/>
              <w:bottom w:w="90" w:type="dxa"/>
              <w:end w:w="90" w:type="dxa"/>
            </w:tcMar>
          </w:tcPr>
          <w:p>
            <w:pPr>
              <w:spacing w:after="0"/>
            </w:pPr>
            <w:r>
              <w:rPr>
                <w:sz w:val="17"/>
              </w:rPr>
              <w:t>Path grows with economy-wide mean income</w:t>
            </w:r>
          </w:p>
        </w:tc>
        <w:tc>
          <w:tcPr>
            <w:tcW w:type="dxa" w:w="2381"/>
            <w:vAlign w:val="center"/>
            <w:tcMar>
              <w:top w:w="90" w:type="dxa"/>
              <w:start w:w="90" w:type="dxa"/>
              <w:bottom w:w="90" w:type="dxa"/>
              <w:end w:w="90" w:type="dxa"/>
            </w:tcMar>
          </w:tcPr>
          <w:p>
            <w:pPr>
              <w:spacing w:after="0"/>
            </w:pPr>
            <w:r>
              <w:rPr>
                <w:sz w:val="17"/>
              </w:rPr>
              <w:t>What is the wedge holding relative economic position constant?</w:t>
            </w:r>
          </w:p>
        </w:tc>
        <w:tc>
          <w:tcPr>
            <w:tcW w:type="dxa" w:w="2381"/>
            <w:vAlign w:val="center"/>
            <w:tcMar>
              <w:top w:w="90" w:type="dxa"/>
              <w:start w:w="90" w:type="dxa"/>
              <w:bottom w:w="90" w:type="dxa"/>
              <w:end w:w="90" w:type="dxa"/>
            </w:tcMar>
          </w:tcPr>
          <w:p>
            <w:pPr>
              <w:spacing w:after="0"/>
            </w:pPr>
            <w:r>
              <w:rPr>
                <w:sz w:val="17"/>
              </w:rPr>
              <w:t>Alternative equity benchmark</w:t>
            </w:r>
          </w:p>
        </w:tc>
      </w:tr>
      <w:tr>
        <w:tc>
          <w:tcPr>
            <w:tcW w:type="dxa" w:w="2381"/>
            <w:vAlign w:val="center"/>
            <w:tcMar>
              <w:top w:w="90" w:type="dxa"/>
              <w:start w:w="90" w:type="dxa"/>
              <w:bottom w:w="90" w:type="dxa"/>
              <w:end w:w="90" w:type="dxa"/>
            </w:tcMar>
            <w:shd w:fill="F3F5F7"/>
          </w:tcPr>
          <w:p>
            <w:pPr>
              <w:spacing w:after="0"/>
            </w:pPr>
            <w:r>
              <w:rPr>
                <w:sz w:val="17"/>
              </w:rPr>
              <w:t>Lifecycle preserving</w:t>
            </w:r>
          </w:p>
        </w:tc>
        <w:tc>
          <w:tcPr>
            <w:tcW w:type="dxa" w:w="2381"/>
            <w:vAlign w:val="center"/>
            <w:tcMar>
              <w:top w:w="90" w:type="dxa"/>
              <w:start w:w="90" w:type="dxa"/>
              <w:bottom w:w="90" w:type="dxa"/>
              <w:end w:w="90" w:type="dxa"/>
            </w:tcMar>
            <w:shd w:fill="F3F5F7"/>
          </w:tcPr>
          <w:p>
            <w:pPr>
              <w:spacing w:after="0"/>
            </w:pPr>
            <w:r>
              <w:rPr>
                <w:sz w:val="17"/>
              </w:rPr>
              <w:t>Predicted age/career path retained; deviations removed</w:t>
            </w:r>
          </w:p>
        </w:tc>
        <w:tc>
          <w:tcPr>
            <w:tcW w:type="dxa" w:w="2381"/>
            <w:vAlign w:val="center"/>
            <w:tcMar>
              <w:top w:w="90" w:type="dxa"/>
              <w:start w:w="90" w:type="dxa"/>
              <w:bottom w:w="90" w:type="dxa"/>
              <w:end w:w="90" w:type="dxa"/>
            </w:tcMar>
            <w:shd w:fill="F3F5F7"/>
          </w:tcPr>
          <w:p>
            <w:pPr>
              <w:spacing w:after="0"/>
            </w:pPr>
            <w:r>
              <w:rPr>
                <w:sz w:val="17"/>
              </w:rPr>
              <w:t>How much is associated with deviations from an expected profile?</w:t>
            </w:r>
          </w:p>
        </w:tc>
        <w:tc>
          <w:tcPr>
            <w:tcW w:type="dxa" w:w="2381"/>
            <w:vAlign w:val="center"/>
            <w:tcMar>
              <w:top w:w="90" w:type="dxa"/>
              <w:start w:w="90" w:type="dxa"/>
              <w:bottom w:w="90" w:type="dxa"/>
              <w:end w:w="90" w:type="dxa"/>
            </w:tcMar>
            <w:shd w:fill="F3F5F7"/>
          </w:tcPr>
          <w:p>
            <w:pPr>
              <w:spacing w:after="0"/>
            </w:pPr>
            <w:r>
              <w:rPr>
                <w:sz w:val="17"/>
              </w:rPr>
              <w:t>Decomposition device, not generally administrable</w:t>
            </w:r>
          </w:p>
        </w:tc>
      </w:tr>
    </w:tbl>
    <w:p>
      <w:pPr>
        <w:spacing w:after="20"/>
        <w:widowControl/>
      </w:pPr>
    </w:p>
    <w:p>
      <w:pPr>
        <w:widowControl/>
      </w:pPr>
      <w:r>
        <w:t xml:space="preserve">Add a fifth object: a </w:t>
      </w:r>
      <w:r>
        <w:rPr>
          <w:b/>
        </w:rPr>
        <w:t>fixed-schedule convexity benchmark</w:t>
      </w:r>
      <w:r>
        <w:t>. Express every year’s income in one real unit and apply a single base-year schedule to all years. This isolates pure path curvature from legislative change. It should be the first empirical mechanism result because Jensen’s inequality is then transparent.</w:t>
      </w:r>
    </w:p>
    <w:p>
      <w:pPr>
        <w:widowControl/>
      </w:pPr>
      <w:r>
        <w:t>Do not place all benchmarks as equally coloured lines in every main figure. Choose constant-real or constant-relative-to-average as the main estimand; put the other definitions in one comparison figure and the appendix.</w:t>
      </w:r>
    </w:p>
    <w:p>
      <w:pPr>
        <w:pStyle w:val="Heading2"/>
        <w:widowControl/>
      </w:pPr>
      <w:r>
        <w:t>4.3 Redesign the sample analysis</w:t>
      </w:r>
    </w:p>
    <w:p>
      <w:pPr>
        <w:widowControl/>
      </w:pPr>
      <w:r>
        <w:t>The eight-positive-years restriction gives a stable medium-run panel but conditions away from the mechanism of interest. Use a sample ladder:</w:t>
      </w:r>
    </w:p>
    <w:p>
      <w:pPr>
        <w:pStyle w:val="ListNumber"/>
        <w:spacing w:after="60"/>
        <w:widowControl/>
      </w:pPr>
      <w:r>
        <w:t>all linked resident tax filers observed in at least one year;</w:t>
      </w:r>
    </w:p>
    <w:p>
      <w:pPr>
        <w:pStyle w:val="ListNumber"/>
        <w:spacing w:after="60"/>
        <w:widowControl/>
      </w:pPr>
      <w:r>
        <w:t>people observed in all years, allowing zero or negative taxable income;</w:t>
      </w:r>
    </w:p>
    <w:p>
      <w:pPr>
        <w:pStyle w:val="ListNumber"/>
        <w:spacing w:after="60"/>
        <w:widowControl/>
      </w:pPr>
      <w:r>
        <w:t>positive income in at least eight years, the current intensive-margin sample;</w:t>
      </w:r>
    </w:p>
    <w:p>
      <w:pPr>
        <w:pStyle w:val="ListNumber"/>
        <w:spacing w:after="60"/>
        <w:widowControl/>
      </w:pPr>
      <w:r>
        <w:t>prime-age workers, for whom retirement and education boundaries are less important;</w:t>
      </w:r>
    </w:p>
    <w:p>
      <w:pPr>
        <w:pStyle w:val="ListNumber"/>
        <w:spacing w:after="60"/>
        <w:widowControl/>
      </w:pPr>
      <w:r>
        <w:t>stable-residency and stable-linkage sample; and</w:t>
      </w:r>
    </w:p>
    <w:p>
      <w:pPr>
        <w:pStyle w:val="ListNumber"/>
        <w:spacing w:after="60"/>
        <w:widowControl/>
      </w:pPr>
      <w:r>
        <w:t>long-window cohorts with 15–20 years where feasible.</w:t>
      </w:r>
    </w:p>
    <w:p>
      <w:pPr>
        <w:widowControl/>
      </w:pPr>
      <w:r>
        <w:t>For each sample report population count, observed years, filing years, zero-income years, age, sex, mean income, source shares, tax and attrition. Show how the timing wedge changes as zero-income years are admitted. If nonfiling cannot be distinguished from zero income, say so and bound the result using alternative imputations.</w:t>
      </w:r>
    </w:p>
    <w:p>
      <w:pPr>
        <w:widowControl/>
      </w:pPr>
      <w:r>
        <w:t>Window endpoints are especially important. A young worker observed during career take-off and an older worker observed during decline do not have comparable “long-run” income. Required robustness includes five-, ten-, fifteen- and twenty-year windows; rolling windows ending in different years; age-restricted windows; and balanced cohorts. Use terminal-year age rather than treating current age as an immutable characteristic.</w:t>
      </w:r>
    </w:p>
    <w:p>
      <w:pPr>
        <w:pStyle w:val="Heading2"/>
        <w:widowControl/>
      </w:pPr>
      <w:r>
        <w:t>4.4 Decompose income paths without calling residuals “risk”</w:t>
      </w:r>
    </w:p>
    <w:p>
      <w:pPr>
        <w:widowControl/>
      </w:pPr>
      <w:r>
        <w:t xml:space="preserve">The proposed regression </w:t>
      </w:r>
      <w:r>
        <w:rPr>
          <w:rFonts w:ascii="Consolas" w:hAnsi="Consolas"/>
          <w:color w:val="17365D"/>
          <w:sz w:val="19"/>
        </w:rPr>
        <w:t>y_it = α_i + f(age_it) + ε_it</w:t>
      </w:r>
      <w:r>
        <w:t xml:space="preserve"> is a useful diagnostic but not an adequate risk decomposition.</w:t>
      </w:r>
    </w:p>
    <w:p>
      <w:pPr>
        <w:widowControl/>
      </w:pPr>
      <w:r>
        <w:t>Problems include:</w:t>
      </w:r>
    </w:p>
    <w:p>
      <w:pPr>
        <w:pStyle w:val="ListBullet"/>
        <w:spacing w:after="60"/>
        <w:widowControl/>
      </w:pPr>
      <w:r>
        <w:t>an individual fixed effect estimated from the whole window uses future outcomes and absorbs persistent shocks;</w:t>
      </w:r>
    </w:p>
    <w:p>
      <w:pPr>
        <w:pStyle w:val="ListBullet"/>
        <w:spacing w:after="60"/>
        <w:widowControl/>
      </w:pPr>
      <w:r>
        <w:t>a common age profile ignores cohort, sex, education, occupation and long-run rank heterogeneity;</w:t>
      </w:r>
    </w:p>
    <w:p>
      <w:pPr>
        <w:pStyle w:val="ListBullet"/>
        <w:spacing w:after="60"/>
        <w:widowControl/>
      </w:pPr>
      <w:r>
        <w:t>estimation in levels makes high-income residuals mechanically larger;</w:t>
      </w:r>
    </w:p>
    <w:p>
      <w:pPr>
        <w:pStyle w:val="ListBullet"/>
        <w:spacing w:after="60"/>
        <w:widowControl/>
      </w:pPr>
      <w:r>
        <w:t>logs discard zero and negative incomes;</w:t>
      </w:r>
    </w:p>
    <w:p>
      <w:pPr>
        <w:pStyle w:val="ListBullet"/>
        <w:spacing w:after="60"/>
        <w:widowControl/>
      </w:pPr>
      <w:r>
        <w:t>the residual contains shocks, voluntary transitions, measurement error, source switching and omitted predictable events; and</w:t>
      </w:r>
    </w:p>
    <w:p>
      <w:pPr>
        <w:pStyle w:val="ListBullet"/>
        <w:spacing w:after="60"/>
        <w:widowControl/>
      </w:pPr>
      <w:r>
        <w:t>with only eleven years per person, the persistent/transitory distinction is poorly identified at individual level.</w:t>
      </w:r>
    </w:p>
    <w:p>
      <w:pPr>
        <w:widowControl/>
      </w:pPr>
      <w:r>
        <w:t>Recommended decomposition:</w:t>
      </w:r>
    </w:p>
    <w:p>
      <w:pPr>
        <w:pStyle w:val="ListNumber"/>
        <w:spacing w:after="60"/>
        <w:widowControl/>
      </w:pPr>
      <w:r>
        <w:rPr>
          <w:b/>
        </w:rPr>
        <w:t>Extensive margin:</w:t>
      </w:r>
      <w:r>
        <w:t xml:space="preserve"> model positive labour or taxable income separately. Retain zero-income states as an economically meaningful component.</w:t>
      </w:r>
    </w:p>
    <w:p>
      <w:pPr>
        <w:pStyle w:val="ListNumber"/>
        <w:spacing w:after="60"/>
        <w:widowControl/>
      </w:pPr>
      <w:r>
        <w:rPr>
          <w:b/>
        </w:rPr>
        <w:t>Predictable profile:</w:t>
      </w:r>
      <w:r>
        <w:t xml:space="preserve"> estimate flexible age × sex × cohort × broad occupation/education profiles, allowing the shape to vary by long-run earnings rank. Use out-of-fold or leave-one-out prediction so the decomposition is not mechanically overfit.</w:t>
      </w:r>
    </w:p>
    <w:p>
      <w:pPr>
        <w:pStyle w:val="ListNumber"/>
        <w:spacing w:after="60"/>
        <w:widowControl/>
      </w:pPr>
      <w:r>
        <w:rPr>
          <w:b/>
        </w:rPr>
        <w:t>Persistent and transitory innovations:</w:t>
      </w:r>
      <w:r>
        <w:t xml:space="preserve"> estimate a parsimonious income process on an inverse-hyperbolic-sine outcome or rank-normalised residual, with separate parameters by age and earnings group. Be explicit that this is a statistical decomposition.</w:t>
      </w:r>
    </w:p>
    <w:p>
      <w:pPr>
        <w:pStyle w:val="ListNumber"/>
        <w:spacing w:after="60"/>
        <w:widowControl/>
      </w:pPr>
      <w:r>
        <w:rPr>
          <w:b/>
        </w:rPr>
        <w:t>Observed events:</w:t>
      </w:r>
      <w:r>
        <w:t xml:space="preserve"> identify parenthood/parental leave, unemployment or job separation where observable, illness/disability, relationship change, retirement, business entry/exit and capital-gain realisation.</w:t>
      </w:r>
    </w:p>
    <w:p>
      <w:pPr>
        <w:pStyle w:val="ListNumber"/>
        <w:spacing w:after="60"/>
        <w:widowControl/>
      </w:pPr>
      <w:r>
        <w:rPr>
          <w:b/>
        </w:rPr>
        <w:t>Income source:</w:t>
      </w:r>
      <w:r>
        <w:t xml:space="preserve"> wages, business income, investment income, transfers and grossed-up capital gains. Permit interactions because a capital gain can move other income into a different bracket.</w:t>
      </w:r>
    </w:p>
    <w:p>
      <w:pPr>
        <w:widowControl/>
      </w:pPr>
      <w:r>
        <w:t>Then calculate tax wedges using nested path counterfactuals. A Shapley decomposition across these path components is defensible if the construction is fully documented and negative contributions are retained. An ordered Oaxaca-style decomposition is easier to explain but order dependent; show both or pre-specify the economically natural order.</w:t>
      </w:r>
    </w:p>
    <w:p>
      <w:pPr>
        <w:pStyle w:val="Heading2"/>
        <w:widowControl/>
      </w:pPr>
      <w:r>
        <w:t>4.5 Add event-based evidence</w:t>
      </w:r>
    </w:p>
    <w:p>
      <w:pPr>
        <w:widowControl/>
      </w:pPr>
      <w:r>
        <w:t>The paper will be more concrete if aggregate residual variance is complemented with recognisable episodes. Recommended event studies include:</w:t>
      </w:r>
    </w:p>
    <w:p>
      <w:pPr>
        <w:pStyle w:val="ListBullet"/>
        <w:spacing w:after="60"/>
        <w:widowControl/>
      </w:pPr>
      <w:r>
        <w:t>job separation or a large wage drop;</w:t>
      </w:r>
    </w:p>
    <w:p>
      <w:pPr>
        <w:pStyle w:val="ListBullet"/>
        <w:spacing w:after="60"/>
        <w:widowControl/>
      </w:pPr>
      <w:r>
        <w:t>first birth and return to work, by sex and partnered status;</w:t>
      </w:r>
    </w:p>
    <w:p>
      <w:pPr>
        <w:pStyle w:val="ListBullet"/>
        <w:spacing w:after="60"/>
        <w:widowControl/>
      </w:pPr>
      <w:r>
        <w:t>business entry and exit;</w:t>
      </w:r>
    </w:p>
    <w:p>
      <w:pPr>
        <w:pStyle w:val="ListBullet"/>
        <w:spacing w:after="60"/>
        <w:widowControl/>
      </w:pPr>
      <w:r>
        <w:t>transition to retirement;</w:t>
      </w:r>
    </w:p>
    <w:p>
      <w:pPr>
        <w:pStyle w:val="ListBullet"/>
        <w:spacing w:after="60"/>
        <w:widowControl/>
      </w:pPr>
      <w:r>
        <w:t>a large capital-gain realisation; and</w:t>
      </w:r>
    </w:p>
    <w:p>
      <w:pPr>
        <w:pStyle w:val="ListBullet"/>
        <w:spacing w:after="60"/>
        <w:widowControl/>
      </w:pPr>
      <w:r>
        <w:t>a spell below the tax-free threshold.</w:t>
      </w:r>
    </w:p>
    <w:p>
      <w:pPr>
        <w:widowControl/>
      </w:pPr>
      <w:r>
        <w:t>Plot income, tax, average tax rate and cumulative timing wedge from three years before to five years after. These are descriptive unless an exogenous event is identified, but they show what the aggregate measure represents. Decompose each event into current tax, fixed-schedule tax and averaged benchmark tax.</w:t>
      </w:r>
    </w:p>
    <w:p>
      <w:pPr>
        <w:pStyle w:val="Heading2"/>
        <w:widowControl/>
      </w:pPr>
      <w:r>
        <w:t>4.6 Make the household analysis central, not an afterthought</w:t>
      </w:r>
    </w:p>
    <w:p>
      <w:pPr>
        <w:widowControl/>
      </w:pPr>
      <w:r>
        <w:t>Australia assesses personal income individually, so personal tax is the correct legal unit. Welfare and insurance, however, often operate at household level. Second-earner income can insure a primary-earner shock; partner income can also make a low individual income a poor measure of resources.</w:t>
      </w:r>
    </w:p>
    <w:p>
      <w:pPr>
        <w:widowControl/>
      </w:pPr>
      <w:r>
        <w:t>Required household results:</w:t>
      </w:r>
    </w:p>
    <w:p>
      <w:pPr>
        <w:pStyle w:val="ListBullet"/>
        <w:spacing w:after="60"/>
        <w:widowControl/>
      </w:pPr>
      <w:r>
        <w:t>individual wedge by household disposable-income decile;</w:t>
      </w:r>
    </w:p>
    <w:p>
      <w:pPr>
        <w:pStyle w:val="ListBullet"/>
        <w:spacing w:after="60"/>
        <w:widowControl/>
      </w:pPr>
      <w:r>
        <w:t>primary earner, second earner and unpartnered individuals separately;</w:t>
      </w:r>
    </w:p>
    <w:p>
      <w:pPr>
        <w:pStyle w:val="ListBullet"/>
        <w:spacing w:after="60"/>
        <w:widowControl/>
      </w:pPr>
      <w:r>
        <w:t>partner-income and household-income volatility;</w:t>
      </w:r>
    </w:p>
    <w:p>
      <w:pPr>
        <w:pStyle w:val="ListBullet"/>
        <w:spacing w:after="60"/>
        <w:widowControl/>
      </w:pPr>
      <w:r>
        <w:t>equivalised household resources and number/age of children;</w:t>
      </w:r>
    </w:p>
    <w:p>
      <w:pPr>
        <w:pStyle w:val="ListBullet"/>
        <w:spacing w:after="60"/>
        <w:widowControl/>
      </w:pPr>
      <w:r>
        <w:t>whether the individual timing wedge coincides with a household consumption shortfall; and</w:t>
      </w:r>
    </w:p>
    <w:p>
      <w:pPr>
        <w:pStyle w:val="ListBullet"/>
        <w:spacing w:after="60"/>
        <w:widowControl/>
      </w:pPr>
      <w:r>
        <w:t>incidence under individual averaging versus a hypothetical household-based benchmark, clearly labelled as non-institutional.</w:t>
      </w:r>
    </w:p>
    <w:p>
      <w:pPr>
        <w:widowControl/>
      </w:pPr>
      <w:r>
        <w:t>The regression coefficients should not carry this section. Use cells, binned scatterplots and distributions. With more than eleven million records, conventional p-values are uninformative; report economically scaled effects and confidence intervals that reflect clustering and the construction of the benchmark.</w:t>
      </w:r>
    </w:p>
    <w:p>
      <w:pPr>
        <w:pStyle w:val="Heading2"/>
        <w:widowControl/>
      </w:pPr>
      <w:r>
        <w:t>4.7 Audit the tax calculator and tax base</w:t>
      </w:r>
    </w:p>
    <w:p>
      <w:pPr>
        <w:widowControl/>
      </w:pPr>
      <w:r>
        <w:t>The paper needs a tax-function appendix that specifies, by year:</w:t>
      </w:r>
    </w:p>
    <w:p>
      <w:pPr>
        <w:pStyle w:val="ListBullet"/>
        <w:spacing w:after="60"/>
        <w:widowControl/>
      </w:pPr>
      <w:r>
        <w:t>statutory resident brackets and rates;</w:t>
      </w:r>
    </w:p>
    <w:p>
      <w:pPr>
        <w:pStyle w:val="ListBullet"/>
        <w:spacing w:after="60"/>
        <w:widowControl/>
      </w:pPr>
      <w:r>
        <w:t>low-income offsets and their phase-outs;</w:t>
      </w:r>
    </w:p>
    <w:p>
      <w:pPr>
        <w:pStyle w:val="ListBullet"/>
        <w:spacing w:after="60"/>
        <w:widowControl/>
      </w:pPr>
      <w:r>
        <w:t>Medicare levy thresholds and phase-ins;</w:t>
      </w:r>
    </w:p>
    <w:p>
      <w:pPr>
        <w:pStyle w:val="ListBullet"/>
        <w:spacing w:after="60"/>
        <w:widowControl/>
      </w:pPr>
      <w:r>
        <w:t>other included offsets;</w:t>
      </w:r>
    </w:p>
    <w:p>
      <w:pPr>
        <w:pStyle w:val="ListBullet"/>
        <w:spacing w:after="60"/>
        <w:widowControl/>
      </w:pPr>
      <w:r>
        <w:t>deductions and loss treatment;</w:t>
      </w:r>
    </w:p>
    <w:p>
      <w:pPr>
        <w:pStyle w:val="ListBullet"/>
        <w:spacing w:after="60"/>
        <w:widowControl/>
      </w:pPr>
      <w:r>
        <w:t>capital-gains gross-up and discount assumptions;</w:t>
      </w:r>
    </w:p>
    <w:p>
      <w:pPr>
        <w:pStyle w:val="ListBullet"/>
        <w:spacing w:after="60"/>
        <w:widowControl/>
      </w:pPr>
      <w:r>
        <w:t>treatment of transfers and refundable amounts; and</w:t>
      </w:r>
    </w:p>
    <w:p>
      <w:pPr>
        <w:pStyle w:val="ListBullet"/>
        <w:spacing w:after="60"/>
        <w:widowControl/>
      </w:pPr>
      <w:r>
        <w:t>validation of simulated against assessed net tax.</w:t>
      </w:r>
    </w:p>
    <w:p>
      <w:pPr>
        <w:widowControl/>
      </w:pPr>
      <w:r>
        <w:t>Show mean, median and p10/p90 simulation error by year and income percentile. A pure bracket calculator will not reproduce assessed tax. This matters because offsets and Medicare phase-ins can make the net liability function locally non-convex, so the sign cannot be inferred from the statutory bracket schedule alone.</w:t>
      </w:r>
    </w:p>
    <w:p>
      <w:pPr>
        <w:widowControl/>
      </w:pPr>
      <w:r>
        <w:t>For capital gains, distinguish at least three objects: reported net capital gain, reconstructed pre-discount nominal gain and an economic-gain concept. Without acquisition value and holding period, do not claim to measure the inflation-adjusted return or the full timing advantage. The current gross-up is a useful sensitivity calculation, not economic income.</w:t>
      </w:r>
    </w:p>
    <w:p>
      <w:pPr>
        <w:pStyle w:val="Heading2"/>
        <w:widowControl/>
      </w:pPr>
      <w:r>
        <w:t>4.8 Decompose the tax system, not only income</w:t>
      </w:r>
    </w:p>
    <w:p>
      <w:pPr>
        <w:widowControl/>
      </w:pPr>
      <w:r>
        <w:t>Run the same observed and benchmark paths through nested tax systems:</w:t>
      </w:r>
    </w:p>
    <w:p>
      <w:pPr>
        <w:pStyle w:val="ListNumber"/>
        <w:spacing w:after="60"/>
        <w:widowControl/>
      </w:pPr>
      <w:r>
        <w:t>fixed real brackets only;</w:t>
      </w:r>
    </w:p>
    <w:p>
      <w:pPr>
        <w:pStyle w:val="ListNumber"/>
        <w:spacing w:after="60"/>
        <w:widowControl/>
      </w:pPr>
      <w:r>
        <w:t>actual brackets and rates;</w:t>
      </w:r>
    </w:p>
    <w:p>
      <w:pPr>
        <w:pStyle w:val="ListNumber"/>
        <w:spacing w:after="60"/>
        <w:widowControl/>
      </w:pPr>
      <w:r>
        <w:t>plus low-income offsets;</w:t>
      </w:r>
    </w:p>
    <w:p>
      <w:pPr>
        <w:pStyle w:val="ListNumber"/>
        <w:spacing w:after="60"/>
        <w:widowControl/>
      </w:pPr>
      <w:r>
        <w:t>plus Medicare levy;</w:t>
      </w:r>
    </w:p>
    <w:p>
      <w:pPr>
        <w:pStyle w:val="ListNumber"/>
        <w:spacing w:after="60"/>
        <w:widowControl/>
      </w:pPr>
      <w:r>
        <w:t>plus deductions and losses;</w:t>
      </w:r>
    </w:p>
    <w:p>
      <w:pPr>
        <w:pStyle w:val="ListNumber"/>
        <w:spacing w:after="60"/>
        <w:widowControl/>
      </w:pPr>
      <w:r>
        <w:t>plus capital-gains treatment; and</w:t>
      </w:r>
    </w:p>
    <w:p>
      <w:pPr>
        <w:pStyle w:val="ListNumber"/>
        <w:spacing w:after="60"/>
        <w:widowControl/>
      </w:pPr>
      <w:r>
        <w:t>assessed tax residual.</w:t>
      </w:r>
    </w:p>
    <w:p>
      <w:pPr>
        <w:widowControl/>
      </w:pPr>
      <w:r>
        <w:t>This will show whether the bottom result is genuinely the tax-free threshold, an offset phase-out, Medicare, or their interaction. Report the local bracket-crossing exposure: number of years on each side of every kink, dollars shifted across each kink and the tax contribution of that crossing.</w:t>
      </w:r>
    </w:p>
    <w:p>
      <w:pPr>
        <w:widowControl/>
      </w:pPr>
      <w:r>
        <w:t>Tax-system change should be isolated with a two-way counterfactual:</w:t>
      </w:r>
    </w:p>
    <w:p>
      <w:pPr>
        <w:pStyle w:val="ListBullet"/>
        <w:spacing w:after="60"/>
        <w:widowControl/>
      </w:pPr>
      <w:r>
        <w:t>hold the income path fixed and change the schedule;</w:t>
      </w:r>
    </w:p>
    <w:p>
      <w:pPr>
        <w:pStyle w:val="ListBullet"/>
        <w:spacing w:after="60"/>
        <w:widowControl/>
      </w:pPr>
      <w:r>
        <w:t>hold the schedule fixed and change the path; and</w:t>
      </w:r>
    </w:p>
    <w:p>
      <w:pPr>
        <w:pStyle w:val="ListBullet"/>
        <w:spacing w:after="60"/>
        <w:widowControl/>
      </w:pPr>
      <w:r>
        <w:t>include the interaction.</w:t>
      </w:r>
    </w:p>
    <w:p>
      <w:pPr>
        <w:widowControl/>
      </w:pPr>
      <w:r>
        <w:t>The AgeGenerationTaxRates historical examples show why this is necessary: changing scales can make a retrospective adjustment positive in some years even where a fixed convex schedule guarantees weak tax reduction.</w:t>
      </w:r>
    </w:p>
    <w:p>
      <w:pPr>
        <w:pStyle w:val="Heading2"/>
        <w:widowControl/>
      </w:pPr>
      <w:r>
        <w:t>4.9 Report fiscal incidence, not only average-rate curves</w:t>
      </w:r>
    </w:p>
    <w:p>
      <w:pPr>
        <w:widowControl/>
      </w:pPr>
      <w:r>
        <w:t>For every proposed policy show:</w:t>
      </w:r>
    </w:p>
    <w:p>
      <w:pPr>
        <w:pStyle w:val="ListBullet"/>
        <w:spacing w:after="60"/>
        <w:widowControl/>
      </w:pPr>
      <w:r>
        <w:t>total static revenue effect and present value;</w:t>
      </w:r>
    </w:p>
    <w:p>
      <w:pPr>
        <w:pStyle w:val="ListBullet"/>
        <w:spacing w:after="60"/>
        <w:widowControl/>
      </w:pPr>
      <w:r>
        <w:t>mean, median, p10, p90 and share gaining;</w:t>
      </w:r>
    </w:p>
    <w:p>
      <w:pPr>
        <w:pStyle w:val="ListBullet"/>
        <w:spacing w:after="60"/>
        <w:widowControl/>
      </w:pPr>
      <w:r>
        <w:t>gains by medium-run individual and household income decile;</w:t>
      </w:r>
    </w:p>
    <w:p>
      <w:pPr>
        <w:pStyle w:val="ListBullet"/>
        <w:spacing w:after="60"/>
        <w:widowControl/>
      </w:pPr>
      <w:r>
        <w:t>gains by volatility decile conditional on income;</w:t>
      </w:r>
    </w:p>
    <w:p>
      <w:pPr>
        <w:pStyle w:val="ListBullet"/>
        <w:spacing w:after="60"/>
        <w:widowControl/>
      </w:pPr>
      <w:r>
        <w:t>age, sex, family, employment type and income source;</w:t>
      </w:r>
    </w:p>
    <w:p>
      <w:pPr>
        <w:pStyle w:val="ListBullet"/>
        <w:spacing w:after="60"/>
        <w:widowControl/>
      </w:pPr>
      <w:r>
        <w:t>the top one percent’s share of the fiscal cost;</w:t>
      </w:r>
    </w:p>
    <w:p>
      <w:pPr>
        <w:pStyle w:val="ListBullet"/>
        <w:spacing w:after="60"/>
        <w:widowControl/>
      </w:pPr>
      <w:r>
        <w:t>negative annual liabilities/refunds and their timing;</w:t>
      </w:r>
    </w:p>
    <w:p>
      <w:pPr>
        <w:pStyle w:val="ListBullet"/>
        <w:spacing w:after="60"/>
        <w:widowControl/>
      </w:pPr>
      <w:r>
        <w:t>transition-year cash flow; and</w:t>
      </w:r>
    </w:p>
    <w:p>
      <w:pPr>
        <w:pStyle w:val="ListBullet"/>
        <w:spacing w:after="60"/>
        <w:widowControl/>
      </w:pPr>
      <w:r>
        <w:t>sensitivity to opt-in, caps, floors and source restrictions.</w:t>
      </w:r>
    </w:p>
    <w:p>
      <w:pPr>
        <w:widowControl/>
      </w:pPr>
      <w:r>
        <w:t>A key figure should be a two-dimensional heat map of the tax wedge by medium-run income rank and residual-volatility rank. A one-dimensional income curve cannot distinguish progressivity of the schedule from sorting of volatile paths.</w:t>
      </w:r>
    </w:p>
    <w:p>
      <w:pPr>
        <w:pStyle w:val="Heading2"/>
        <w:widowControl/>
      </w:pPr>
      <w:r>
        <w:t>4.10 Behavioural evidence: either identify it or scale back the promise</w:t>
      </w:r>
    </w:p>
    <w:p>
      <w:pPr>
        <w:widowControl/>
      </w:pPr>
      <w:r>
        <w:t>The draft promises analysis of strategic timing, but no design is yet supplied. Descriptive bunching of gains near retirement will be confounded by genuine portfolio liquidation and labour-income decline. Credible possibilities include:</w:t>
      </w:r>
    </w:p>
    <w:p>
      <w:pPr>
        <w:pStyle w:val="ListBullet"/>
        <w:spacing w:after="60"/>
        <w:widowControl/>
      </w:pPr>
      <w:r>
        <w:t>reforms that changed averaging eligibility or formula for an identifiable group;</w:t>
      </w:r>
    </w:p>
    <w:p>
      <w:pPr>
        <w:pStyle w:val="ListBullet"/>
        <w:spacing w:after="60"/>
        <w:widowControl/>
      </w:pPr>
      <w:r>
        <w:t>comparison of eligible primary producers or special professionals with matched non-eligible groups around formula changes;</w:t>
      </w:r>
    </w:p>
    <w:p>
      <w:pPr>
        <w:pStyle w:val="ListBullet"/>
        <w:spacing w:after="60"/>
        <w:widowControl/>
      </w:pPr>
      <w:r>
        <w:t>tax-rate reforms interacted with predetermined capacity to shift income;</w:t>
      </w:r>
    </w:p>
    <w:p>
      <w:pPr>
        <w:pStyle w:val="ListBullet"/>
        <w:spacing w:after="60"/>
        <w:widowControl/>
      </w:pPr>
      <w:r>
        <w:t>timing around thresholds using a bunching design, if the counterfactual density is credible; or</w:t>
      </w:r>
    </w:p>
    <w:p>
      <w:pPr>
        <w:pStyle w:val="ListBullet"/>
        <w:spacing w:after="60"/>
        <w:widowControl/>
      </w:pPr>
      <w:r>
        <w:t>within-person response to anticipated retirement using income sources with different timing discretion, framed cautiously.</w:t>
      </w:r>
    </w:p>
    <w:p>
      <w:pPr>
        <w:widowControl/>
      </w:pPr>
      <w:r>
        <w:t>If none is feasible, remove behavioural effects as a contribution. Discuss them as an omitted margin and perform elasticity sensitivity in the model. A strong descriptive-and-welfare paper is preferable to a weak causal appendix.</w:t>
      </w:r>
    </w:p>
    <w:p>
      <w:pPr>
        <w:pStyle w:val="Heading2"/>
        <w:widowControl/>
      </w:pPr>
      <w:r>
        <w:t>4.11 Inference, disclosure and reproducibility</w:t>
      </w:r>
    </w:p>
    <w:p>
      <w:pPr>
        <w:widowControl/>
      </w:pPr>
      <w:r>
        <w:t>Population data do not remove sampling uncertainty when outcomes are generated by an estimated benchmark. Use bootstrap or influence-function uncertainty for predicted lifecycle paths and decompositions, clustering by individual and accounting for aggregate-year shocks where relevant.</w:t>
      </w:r>
    </w:p>
    <w:p>
      <w:pPr>
        <w:widowControl/>
      </w:pPr>
      <w:r>
        <w:t>Prepare two replication layers:</w:t>
      </w:r>
    </w:p>
    <w:p>
      <w:pPr>
        <w:pStyle w:val="ListBullet"/>
        <w:spacing w:after="60"/>
        <w:widowControl/>
      </w:pPr>
      <w:r>
        <w:t>a secure-data package that constructs cleared cells from PLIDA; and</w:t>
      </w:r>
    </w:p>
    <w:p>
      <w:pPr>
        <w:pStyle w:val="ListBullet"/>
        <w:spacing w:after="60"/>
        <w:widowControl/>
      </w:pPr>
      <w:r>
        <w:t>a public package that rebuilds every public table and figure from cleared aggregates.</w:t>
      </w:r>
    </w:p>
    <w:p>
      <w:pPr>
        <w:widowControl/>
      </w:pPr>
      <w:r>
        <w:t>The public build should start from an empty output directory and end with a manifest. Fiscal Studies explicitly requires materials sufficient to replicate empirical or numerical results; NTJ also maintains a replication archive. Even where confidentiality prevents microdata release, the transformation code, variable dictionary, synthetic data and cleared aggregates can make the analysis auditable.</w:t>
      </w:r>
    </w:p>
    <w:p>
      <w:pPr>
        <w:pStyle w:val="Heading1"/>
        <w:pBdr>
          <w:bottom w:val="single" w:sz="8" w:space="5" w:color="D9E1E8"/>
        </w:pBdr>
        <w:widowControl/>
      </w:pPr>
      <w:r>
        <w:t>5. Should the paper build a model?</w:t>
      </w:r>
    </w:p>
    <w:p>
      <w:pPr>
        <w:pStyle w:val="Heading2"/>
        <w:widowControl/>
      </w:pPr>
      <w:r>
        <w:t>5.1 Yes—but a small model with a precise job</w:t>
      </w:r>
    </w:p>
    <w:p>
      <w:pPr>
        <w:widowControl/>
      </w:pPr>
      <w:r>
        <w:t>The paper needs a model because the raw accounting result cannot answer whether averaging raises welfare. Without a fiscal closure, cumulative averaging under a fixed convex schedule is simply a tax cut. Without consumption, assets or borrowing constraints, “insurance” is not measured. Without labour supply or income timing, efficiency claims are conjectural.</w:t>
      </w:r>
    </w:p>
    <w:p>
      <w:pPr>
        <w:widowControl/>
      </w:pPr>
      <w:r>
        <w:t>The model should perform four jobs only:</w:t>
      </w:r>
    </w:p>
    <w:p>
      <w:pPr>
        <w:pStyle w:val="ListNumber"/>
        <w:spacing w:after="60"/>
        <w:widowControl/>
      </w:pPr>
      <w:r>
        <w:t>prove the mechanical timing wedge;</w:t>
      </w:r>
    </w:p>
    <w:p>
      <w:pPr>
        <w:pStyle w:val="ListNumber"/>
        <w:spacing w:after="60"/>
        <w:widowControl/>
      </w:pPr>
      <w:r>
        <w:t>separate ex-post equality from ex-ante insurance;</w:t>
      </w:r>
    </w:p>
    <w:p>
      <w:pPr>
        <w:pStyle w:val="ListNumber"/>
        <w:spacing w:after="60"/>
        <w:widowControl/>
      </w:pPr>
      <w:r>
        <w:t>compare administrable assessment rules under equal expected present-value revenue; and</w:t>
      </w:r>
    </w:p>
    <w:p>
      <w:pPr>
        <w:pStyle w:val="ListNumber"/>
        <w:spacing w:after="60"/>
        <w:widowControl/>
      </w:pPr>
      <w:r>
        <w:t>translate the trade-offs into consumption-equivalent welfare by group.</w:t>
      </w:r>
    </w:p>
    <w:p>
      <w:pPr>
        <w:widowControl/>
      </w:pPr>
      <w:r>
        <w:t>Do not begin with a fully optimal, general-equilibrium OLG tax-design exercise. The right first structural object is a finite-horizon heterogeneous-agent lifecycle model in partial equilibrium. It can already measure insurance, liquidity, labour-allocation and welfare effects. Add overlapping cohorts, endogenous prices and a transition path only if those mechanisms are central to the final question; Section 7 explains the evidence and decision rule.</w:t>
      </w:r>
    </w:p>
    <w:p>
      <w:pPr>
        <w:pStyle w:val="Heading2"/>
        <w:widowControl/>
      </w:pPr>
      <w:r>
        <w:t>5.2 Analytic two-period core</w:t>
      </w:r>
    </w:p>
    <w:p>
      <w:pPr>
        <w:widowControl/>
      </w:pPr>
      <w:r>
        <w:t xml:space="preserve">Start with two periods and fixed total income </w:t>
      </w:r>
      <w:r>
        <w:rPr>
          <w:rFonts w:ascii="Consolas" w:hAnsi="Consolas"/>
          <w:color w:val="17365D"/>
          <w:sz w:val="19"/>
        </w:rPr>
        <w:t>y1 + y2 = 2μ</w:t>
      </w:r>
      <w:r>
        <w:t xml:space="preserve">. Under annual assessment with liability function </w:t>
      </w:r>
      <w:r>
        <w:rPr>
          <w:rFonts w:ascii="Consolas" w:hAnsi="Consolas"/>
          <w:color w:val="17365D"/>
          <w:sz w:val="19"/>
        </w:rPr>
        <w:t>T(.)</w:t>
      </w:r>
      <w:r>
        <w:t>, total tax is:</w:t>
      </w:r>
    </w:p>
    <w:p>
      <w:pPr>
        <w:widowControl/>
      </w:pPr>
      <w:r>
        <w:rPr>
          <w:rFonts w:ascii="Consolas" w:hAnsi="Consolas"/>
          <w:color w:val="17365D"/>
          <w:sz w:val="19"/>
        </w:rPr>
        <w:t>L^A = T(y1) + T(y2)</w:t>
      </w:r>
      <w:r>
        <w:t>.</w:t>
      </w:r>
    </w:p>
    <w:p>
      <w:pPr>
        <w:widowControl/>
      </w:pPr>
      <w:r>
        <w:t>Under an ex-post two-period average:</w:t>
      </w:r>
    </w:p>
    <w:p>
      <w:pPr>
        <w:widowControl/>
      </w:pPr>
      <w:r>
        <w:rPr>
          <w:rFonts w:ascii="Consolas" w:hAnsi="Consolas"/>
          <w:color w:val="17365D"/>
          <w:sz w:val="19"/>
        </w:rPr>
        <w:t>L^M = 2T(μ)</w:t>
      </w:r>
      <w:r>
        <w:t>.</w:t>
      </w:r>
    </w:p>
    <w:p>
      <w:pPr>
        <w:widowControl/>
      </w:pPr>
      <w:r>
        <w:t xml:space="preserve">If </w:t>
      </w:r>
      <w:r>
        <w:rPr>
          <w:rFonts w:ascii="Consolas" w:hAnsi="Consolas"/>
          <w:color w:val="17365D"/>
          <w:sz w:val="19"/>
        </w:rPr>
        <w:t>T</w:t>
      </w:r>
      <w:r>
        <w:t xml:space="preserve"> is convex, Jensen’s inequality gives:</w:t>
      </w:r>
    </w:p>
    <w:p>
      <w:pPr>
        <w:widowControl/>
      </w:pPr>
      <w:r>
        <w:rPr>
          <w:rFonts w:ascii="Consolas" w:hAnsi="Consolas"/>
          <w:color w:val="17365D"/>
          <w:sz w:val="19"/>
        </w:rPr>
        <w:t>D(y1,y2) = L^A − L^M ≥ 0</w:t>
      </w:r>
      <w:r>
        <w:t>.</w:t>
      </w:r>
    </w:p>
    <w:p>
      <w:pPr>
        <w:widowControl/>
      </w:pPr>
      <w:r>
        <w:t xml:space="preserve">For a smooth schedule and deviations </w:t>
      </w:r>
      <w:r>
        <w:rPr>
          <w:rFonts w:ascii="Consolas" w:hAnsi="Consolas"/>
          <w:color w:val="17365D"/>
          <w:sz w:val="19"/>
        </w:rPr>
        <w:t>y1 = μ + d</w:t>
      </w:r>
      <w:r>
        <w:t xml:space="preserve">, </w:t>
      </w:r>
      <w:r>
        <w:rPr>
          <w:rFonts w:ascii="Consolas" w:hAnsi="Consolas"/>
          <w:color w:val="17365D"/>
          <w:sz w:val="19"/>
        </w:rPr>
        <w:t>y2 = μ − d</w:t>
      </w:r>
      <w:r>
        <w:t>, the local approximation is:</w:t>
      </w:r>
    </w:p>
    <w:p>
      <w:pPr>
        <w:widowControl/>
      </w:pPr>
      <w:r>
        <w:rPr>
          <w:rFonts w:ascii="Consolas" w:hAnsi="Consolas"/>
          <w:color w:val="17365D"/>
          <w:sz w:val="19"/>
        </w:rPr>
        <w:t>D ≈ T''(μ)d²</w:t>
      </w:r>
      <w:r>
        <w:t>.</w:t>
      </w:r>
    </w:p>
    <w:p>
      <w:pPr>
        <w:widowControl/>
      </w:pPr>
      <w:r>
        <w:t>For a piecewise-linear tax, the wedge is not generated by curvature within brackets; it is the sum of income crossing kinks. This makes the tax-free-threshold result intuitive and connects directly to the empirical kink decomposition.</w:t>
      </w:r>
    </w:p>
    <w:p>
      <w:pPr>
        <w:widowControl/>
      </w:pPr>
      <w:r>
        <w:t>Add three qualifications immediately:</w:t>
      </w:r>
    </w:p>
    <w:p>
      <w:pPr>
        <w:pStyle w:val="ListBullet"/>
        <w:spacing w:after="60"/>
        <w:widowControl/>
      </w:pPr>
      <w:r>
        <w:t>actual net tax may not be globally convex because offsets and levies phase in and out;</w:t>
      </w:r>
    </w:p>
    <w:p>
      <w:pPr>
        <w:pStyle w:val="ListBullet"/>
        <w:spacing w:after="60"/>
        <w:widowControl/>
      </w:pPr>
      <w:r>
        <w:t>changing schedules require comparison in matching units; and</w:t>
      </w:r>
    </w:p>
    <w:p>
      <w:pPr>
        <w:pStyle w:val="ListBullet"/>
        <w:spacing w:after="60"/>
        <w:widowControl/>
      </w:pPr>
      <w:r>
        <w:t>preserving an undiscounted total is not the same as preserving present-value resources.</w:t>
      </w:r>
    </w:p>
    <w:p>
      <w:pPr>
        <w:widowControl/>
      </w:pPr>
      <w:r>
        <w:t>One useful proposition from the cumulative formula in the AgeGenerationTaxRates code is that, with a fixed convex schedule,</w:t>
      </w:r>
    </w:p>
    <w:p>
      <w:pPr>
        <w:widowControl/>
      </w:pPr>
      <w:r>
        <w:rPr>
          <w:rFonts w:ascii="Consolas" w:hAnsi="Consolas"/>
          <w:color w:val="17365D"/>
          <w:sz w:val="19"/>
        </w:rPr>
        <w:t>A_t = tT(ȳ_t) − (t−1)T(ȳ_{t−1}) ≤ T(y_t)</w:t>
      </w:r>
      <w:r>
        <w:t>.</w:t>
      </w:r>
    </w:p>
    <w:p>
      <w:pPr>
        <w:widowControl/>
      </w:pPr>
      <w:r>
        <w:t>Thus the cumulative current-year liability is never above ordinary current-year tax under those restrictive conditions, and it can be negative. This shows why a no-budget comparison is not an insurance-versus-cost experiment: it gives a weak tax reduction in every period. Schedule changes, real-unit conversions and budget balancing break that simple comparison.</w:t>
      </w:r>
    </w:p>
    <w:p>
      <w:pPr>
        <w:pStyle w:val="Heading2"/>
        <w:widowControl/>
      </w:pPr>
      <w:r>
        <w:t>5.3 Minimal dynamic model</w:t>
      </w:r>
    </w:p>
    <w:p>
      <w:pPr>
        <w:widowControl/>
      </w:pPr>
      <w:r>
        <w:t>Use a finite working-life model with heterogeneous households. A practical baseline is:</w:t>
      </w:r>
    </w:p>
    <w:p>
      <w:pPr>
        <w:widowControl/>
      </w:pPr>
      <w:r>
        <w:rPr>
          <w:rFonts w:ascii="Consolas" w:hAnsi="Consolas"/>
          <w:color w:val="17365D"/>
          <w:sz w:val="19"/>
        </w:rPr>
        <w:t>E₀ Σ_t β^t [u(c_t) − ψ h_t^(1+1/η)/(1+1/η)]</w:t>
      </w:r>
      <w:r>
        <w:t>,</w:t>
      </w:r>
    </w:p>
    <w:p>
      <w:pPr>
        <w:widowControl/>
      </w:pPr>
      <w:r>
        <w:t>subject to:</w:t>
      </w:r>
    </w:p>
    <w:p>
      <w:pPr>
        <w:widowControl/>
      </w:pPr>
      <w:r>
        <w:rPr>
          <w:rFonts w:ascii="Consolas" w:hAnsi="Consolas"/>
          <w:color w:val="17365D"/>
          <w:sz w:val="19"/>
        </w:rPr>
        <w:t>a_{t+1} = (1+r)a_t + y_t(h_t,z_t,s_t) − L_t^p + transfers_t − c_t</w:t>
      </w:r>
      <w:r>
        <w:t>,</w:t>
      </w:r>
    </w:p>
    <w:p>
      <w:pPr>
        <w:widowControl/>
      </w:pPr>
      <w:r>
        <w:rPr>
          <w:rFonts w:ascii="Consolas" w:hAnsi="Consolas"/>
          <w:color w:val="17365D"/>
          <w:sz w:val="19"/>
        </w:rPr>
        <w:t>a_{t+1} ≥ ā</w:t>
      </w:r>
      <w:r>
        <w:t>.</w:t>
      </w:r>
    </w:p>
    <w:p>
      <w:pPr>
        <w:widowControl/>
      </w:pPr>
      <w:r>
        <w:t xml:space="preserve">Here </w:t>
      </w:r>
      <w:r>
        <w:rPr>
          <w:rFonts w:ascii="Consolas" w:hAnsi="Consolas"/>
          <w:color w:val="17365D"/>
          <w:sz w:val="19"/>
        </w:rPr>
        <w:t>z_t</w:t>
      </w:r>
      <w:r>
        <w:t xml:space="preserve"> is a persistent/transitory earnings state and </w:t>
      </w:r>
      <w:r>
        <w:rPr>
          <w:rFonts w:ascii="Consolas" w:hAnsi="Consolas"/>
          <w:color w:val="17365D"/>
          <w:sz w:val="19"/>
        </w:rPr>
        <w:t>s_t</w:t>
      </w:r>
      <w:r>
        <w:t xml:space="preserve"> is an extensive-margin or income-source state. Begin with exogenous income and saving. Add labour supply or timing choice only in a second specification.</w:t>
      </w:r>
    </w:p>
    <w:p>
      <w:pPr>
        <w:widowControl/>
      </w:pPr>
      <w:r>
        <w:t>Income can be represented as:</w:t>
      </w:r>
    </w:p>
    <w:p>
      <w:pPr>
        <w:widowControl/>
      </w:pPr>
      <w:r>
        <w:rPr>
          <w:rFonts w:ascii="Consolas" w:hAnsi="Consolas"/>
          <w:color w:val="17365D"/>
          <w:sz w:val="19"/>
        </w:rPr>
        <w:t>asinh(y_it) = m(age_t, type_i) + z_it</w:t>
      </w:r>
      <w:r>
        <w:t>,</w:t>
      </w:r>
    </w:p>
    <w:p>
      <w:pPr>
        <w:widowControl/>
      </w:pPr>
      <w:r>
        <w:rPr>
          <w:rFonts w:ascii="Consolas" w:hAnsi="Consolas"/>
          <w:color w:val="17365D"/>
          <w:sz w:val="19"/>
        </w:rPr>
        <w:t>z_it = ρ(type_i,age_t) z_i,t−1 + σ(type_i,age_t) ε_it</w:t>
      </w:r>
      <w:r>
        <w:t>,</w:t>
      </w:r>
    </w:p>
    <w:p>
      <w:pPr>
        <w:widowControl/>
      </w:pPr>
      <w:r>
        <w:t>with a separate Markov transition for zero or low-income states. Types should capture long-run income rank, household status and source of income. Calibrate these objects directly from PLIDA cells.</w:t>
      </w:r>
    </w:p>
    <w:p>
      <w:pPr>
        <w:widowControl/>
      </w:pPr>
      <w:r>
        <w:t>The model does not need to reproduce every tax item. It should reproduce the effective schedule relevant to the groups driving the results, with robustness using the full tax calculator offline.</w:t>
      </w:r>
    </w:p>
    <w:p>
      <w:pPr>
        <w:pStyle w:val="Heading2"/>
        <w:widowControl/>
      </w:pPr>
      <w:r>
        <w:t>5.4 Policy rules to compare</w:t>
      </w:r>
    </w:p>
    <w:p>
      <w:pPr>
        <w:widowControl/>
      </w:pPr>
      <w:r>
        <w:t>Compare four regimes:</w:t>
      </w:r>
    </w:p>
    <w:p>
      <w:pPr>
        <w:pStyle w:val="ListNumber"/>
        <w:spacing w:after="60"/>
        <w:widowControl/>
      </w:pPr>
      <w:r>
        <w:rPr>
          <w:b/>
        </w:rPr>
        <w:t>Annual assessment:</w:t>
      </w:r>
      <w:r>
        <w:t xml:space="preserve"> contemporaneous tax </w:t>
      </w:r>
      <w:r>
        <w:rPr>
          <w:rFonts w:ascii="Consolas" w:hAnsi="Consolas"/>
          <w:color w:val="17365D"/>
          <w:sz w:val="19"/>
        </w:rPr>
        <w:t>T_t(y_t)</w:t>
      </w:r>
      <w:r>
        <w:t>.</w:t>
      </w:r>
    </w:p>
    <w:p>
      <w:pPr>
        <w:pStyle w:val="ListNumber"/>
        <w:spacing w:after="60"/>
        <w:widowControl/>
      </w:pPr>
      <w:r>
        <w:rPr>
          <w:b/>
        </w:rPr>
        <w:t>Cumulative averaging:</w:t>
      </w:r>
      <w:r>
        <w:t xml:space="preserve"> current liability equals the change in a tax account based only on income observed to date, with explicit interest/indexation of prior balances.</w:t>
      </w:r>
    </w:p>
    <w:p>
      <w:pPr>
        <w:pStyle w:val="ListNumber"/>
        <w:spacing w:after="60"/>
        <w:widowControl/>
      </w:pPr>
      <w:r>
        <w:rPr>
          <w:b/>
        </w:rPr>
        <w:t>Rolling n-year averaging:</w:t>
      </w:r>
      <w:r>
        <w:t xml:space="preserve"> use two-, five- and ten-year past-income windows. This is closer to existing Australian practice and avoids lifetime record keeping.</w:t>
      </w:r>
    </w:p>
    <w:p>
      <w:pPr>
        <w:pStyle w:val="ListNumber"/>
        <w:spacing w:after="60"/>
        <w:widowControl/>
      </w:pPr>
      <w:r>
        <w:rPr>
          <w:b/>
        </w:rPr>
        <w:t>Carryforward credit:</w:t>
      </w:r>
      <w:r>
        <w:t xml:space="preserve"> preserve annual assessment but allow unused tax-free-threshold or bracket capacity to be carried forward, capped and indexed. This may target the lower-income mechanism more directly than full averaging.</w:t>
      </w:r>
    </w:p>
    <w:p>
      <w:pPr>
        <w:widowControl/>
      </w:pPr>
      <w:r>
        <w:t>For each, test mandatory and opt-in versions. Opt-in creates adverse selection and likely larger revenue cost, but it resembles some real concessions. Consider source-restricted policies for labour, business and capital-gain income separately.</w:t>
      </w:r>
    </w:p>
    <w:p>
      <w:pPr>
        <w:widowControl/>
      </w:pPr>
      <w:r>
        <w:t>The model must never use future income to calculate current liability unless the policy explicitly includes end-of-horizon settlement. The ex-post benchmark remains valuable as a lower-bound accounting object.</w:t>
      </w:r>
    </w:p>
    <w:p>
      <w:pPr>
        <w:pStyle w:val="Heading2"/>
        <w:widowControl/>
      </w:pPr>
      <w:r>
        <w:t>5.5 Indexation and the “matching benchmark” principle</w:t>
      </w:r>
    </w:p>
    <w:p>
      <w:pPr>
        <w:widowControl/>
      </w:pPr>
      <w:r>
        <w:t>The AgeGenerationTaxRates simulations should be distilled into a formal principle:</w:t>
      </w:r>
    </w:p>
    <w:p>
      <w:pPr>
        <w:pStyle w:val="ExecutiveCallout"/>
        <w:shd w:fill="EAF2F8"/>
        <w:widowControl/>
      </w:pPr>
      <w:r>
        <w:t>A Jensen comparison is interpretable only after income and tax thresholds are expressed in the same invariant unit.</w:t>
      </w:r>
    </w:p>
    <w:p>
      <w:pPr>
        <w:widowControl/>
      </w:pPr>
      <w:r>
        <w:t>Examples:</w:t>
      </w:r>
    </w:p>
    <w:p>
      <w:pPr>
        <w:pStyle w:val="ListBullet"/>
        <w:spacing w:after="60"/>
        <w:widowControl/>
      </w:pPr>
      <w:r>
        <w:t>CPI-indexed thresholds pair with constant-real income;</w:t>
      </w:r>
    </w:p>
    <w:p>
      <w:pPr>
        <w:pStyle w:val="ListBullet"/>
        <w:spacing w:after="60"/>
        <w:widowControl/>
      </w:pPr>
      <w:r>
        <w:t>average-income-indexed thresholds pair with constant-relative-to-average income; and</w:t>
      </w:r>
    </w:p>
    <w:p>
      <w:pPr>
        <w:pStyle w:val="ListBullet"/>
        <w:spacing w:after="60"/>
        <w:widowControl/>
      </w:pPr>
      <w:r>
        <w:t>nominal thresholds pair with constant nominal income.</w:t>
      </w:r>
    </w:p>
    <w:p>
      <w:pPr>
        <w:widowControl/>
      </w:pPr>
      <w:r>
        <w:t>The existing diagnostics show cross-profile neutrality after smoothing in the matching units to numerical precision. Preserve these as model validation tests, not as a large standalone empirical section.</w:t>
      </w:r>
    </w:p>
    <w:p>
      <w:pPr>
        <w:widowControl/>
      </w:pPr>
      <w:r>
        <w:t>The paper’s five-path illustration is useful, but its exact numerical decomposition—26.97 percent constant nominal, -1.02 points from real adjustment, -0.11 from average-income indexation, +0.48 from lifecycle profile and +1.08 from residual volatility—is one calibrated example. Present it as intuition, never as evidence about the population.</w:t>
      </w:r>
    </w:p>
    <w:p>
      <w:pPr>
        <w:pStyle w:val="Heading2"/>
        <w:widowControl/>
      </w:pPr>
      <w:r>
        <w:t>5.6 Government budget and revenue neutrality</w:t>
      </w:r>
    </w:p>
    <w:p>
      <w:pPr>
        <w:widowControl/>
      </w:pPr>
      <w:r>
        <w:t>Let policy p satisfy:</w:t>
      </w:r>
    </w:p>
    <w:p>
      <w:pPr>
        <w:widowControl/>
      </w:pPr>
      <w:r>
        <w:rPr>
          <w:rFonts w:ascii="Consolas" w:hAnsi="Consolas"/>
          <w:color w:val="17365D"/>
          <w:sz w:val="19"/>
        </w:rPr>
        <w:t>E[Σ_t Q_t L_t^p] = R̄</w:t>
      </w:r>
      <w:r>
        <w:t>,</w:t>
      </w:r>
    </w:p>
    <w:p>
      <w:pPr>
        <w:widowControl/>
      </w:pPr>
      <w:r>
        <w:t xml:space="preserve">where </w:t>
      </w:r>
      <w:r>
        <w:rPr>
          <w:rFonts w:ascii="Consolas" w:hAnsi="Consolas"/>
          <w:color w:val="17365D"/>
          <w:sz w:val="19"/>
        </w:rPr>
        <w:t>Q_t</w:t>
      </w:r>
      <w:r>
        <w:t xml:space="preserve"> discounts nominal liabilities to a common date and </w:t>
      </w:r>
      <w:r>
        <w:rPr>
          <w:rFonts w:ascii="Consolas" w:hAnsi="Consolas"/>
          <w:color w:val="17365D"/>
          <w:sz w:val="19"/>
        </w:rPr>
        <w:t>R̄</w:t>
      </w:r>
      <w:r>
        <w:t xml:space="preserve"> is the same under all regimes. Transitional cohorts and outstanding tax accounts must be included.</w:t>
      </w:r>
    </w:p>
    <w:p>
      <w:pPr>
        <w:widowControl/>
      </w:pPr>
      <w:r>
        <w:t>Use at least three closures:</w:t>
      </w:r>
    </w:p>
    <w:p>
      <w:pPr>
        <w:pStyle w:val="ListBullet"/>
        <w:spacing w:after="60"/>
        <w:widowControl/>
      </w:pPr>
      <w:r>
        <w:t>multiply positive liabilities by a common factor;</w:t>
      </w:r>
    </w:p>
    <w:p>
      <w:pPr>
        <w:pStyle w:val="ListBullet"/>
        <w:spacing w:after="60"/>
        <w:widowControl/>
      </w:pPr>
      <w:r>
        <w:t>adjust one or more marginal rates above the tax-free threshold while preserving the zero band; and</w:t>
      </w:r>
    </w:p>
    <w:p>
      <w:pPr>
        <w:pStyle w:val="ListBullet"/>
        <w:spacing w:after="60"/>
        <w:widowControl/>
      </w:pPr>
      <w:r>
        <w:t>add a common lump-sum tax or demogrant.</w:t>
      </w:r>
    </w:p>
    <w:p>
      <w:pPr>
        <w:widowControl/>
      </w:pPr>
      <w:r>
        <w:t>There is no uniquely neutral closure, and the welfare ranking may depend on it. This is a result, not a nuisance. The preferred closure should preserve the broad vertical-equity profile of the annual schedule while balancing expected present-value revenue.</w:t>
      </w:r>
    </w:p>
    <w:p>
      <w:pPr>
        <w:widowControl/>
      </w:pPr>
      <w:r>
        <w:t>Do not impose revenue neutrality separately in every calendar year for a cumulative scheme. That confuses fiscal cash flow with the intertemporal budget. Instead report annual cash-flow deviations and present-value balance.</w:t>
      </w:r>
    </w:p>
    <w:p>
      <w:pPr>
        <w:pStyle w:val="Heading2"/>
        <w:widowControl/>
      </w:pPr>
      <w:r>
        <w:t>5.7 Welfare objects</w:t>
      </w:r>
    </w:p>
    <w:p>
      <w:pPr>
        <w:widowControl/>
      </w:pPr>
      <w:r>
        <w:t>Report ex-ante consumption-equivalent variation at labour-market entry and conditional welfare for people already in the system. Decompose welfare conceptually into:</w:t>
      </w:r>
    </w:p>
    <w:p>
      <w:pPr>
        <w:pStyle w:val="ListBullet"/>
        <w:spacing w:after="60"/>
        <w:widowControl/>
      </w:pPr>
      <w:r>
        <w:t>lower arbitrary tax variation across timing paths;</w:t>
      </w:r>
    </w:p>
    <w:p>
      <w:pPr>
        <w:pStyle w:val="ListBullet"/>
        <w:spacing w:after="60"/>
        <w:widowControl/>
      </w:pPr>
      <w:r>
        <w:t>altered automatic stabilisation and tax-account refunds;</w:t>
      </w:r>
    </w:p>
    <w:p>
      <w:pPr>
        <w:pStyle w:val="ListBullet"/>
        <w:spacing w:after="60"/>
        <w:widowControl/>
      </w:pPr>
      <w:r>
        <w:t>liquidity effects when settlements arrive after the shock;</w:t>
      </w:r>
    </w:p>
    <w:p>
      <w:pPr>
        <w:pStyle w:val="ListBullet"/>
        <w:spacing w:after="60"/>
        <w:widowControl/>
      </w:pPr>
      <w:r>
        <w:t>redistribution induced by the fiscal closure;</w:t>
      </w:r>
    </w:p>
    <w:p>
      <w:pPr>
        <w:pStyle w:val="ListBullet"/>
        <w:spacing w:after="60"/>
        <w:widowControl/>
      </w:pPr>
      <w:r>
        <w:t>labour-supply and realisation-timing responses; and</w:t>
      </w:r>
    </w:p>
    <w:p>
      <w:pPr>
        <w:pStyle w:val="ListBullet"/>
        <w:spacing w:after="60"/>
        <w:widowControl/>
      </w:pPr>
      <w:r>
        <w:t>administrative or compliance costs, at least in sensitivity analysis.</w:t>
      </w:r>
    </w:p>
    <w:p>
      <w:pPr>
        <w:widowControl/>
      </w:pPr>
      <w:r>
        <w:t>Show welfare by long-run income decile, volatility type, borrowing constraint, age and household status. The average welfare number is insufficient because a policy can improve ex-post horizontal equality while redistributing toward groups with high expected resources.</w:t>
      </w:r>
    </w:p>
    <w:p>
      <w:pPr>
        <w:widowControl/>
      </w:pPr>
      <w:r>
        <w:t>An especially important experiment removes saving and then allows saving. If unconstrained households can privately smooth consumption, the welfare value of assessment-period insurance differs from that for liquidity-constrained households near the tax-free threshold.</w:t>
      </w:r>
    </w:p>
    <w:p>
      <w:pPr>
        <w:pStyle w:val="Heading2"/>
        <w:widowControl/>
      </w:pPr>
      <w:r>
        <w:t>5.8 Calibration and validation sequence</w:t>
      </w:r>
    </w:p>
    <w:p>
      <w:pPr>
        <w:widowControl/>
      </w:pPr>
      <w:r>
        <w:t>Use this sequence:</w:t>
      </w:r>
    </w:p>
    <w:p>
      <w:pPr>
        <w:pStyle w:val="ListNumber"/>
        <w:spacing w:after="60"/>
        <w:widowControl/>
      </w:pPr>
      <w:r>
        <w:t>Estimate age profiles, zero-income transitions, shock persistence and residual distributions from PLIDA.</w:t>
      </w:r>
    </w:p>
    <w:p>
      <w:pPr>
        <w:pStyle w:val="ListNumber"/>
        <w:spacing w:after="60"/>
        <w:widowControl/>
      </w:pPr>
      <w:r>
        <w:t>Match the empirical distribution of ten-year income, volatility, tax and timing wedges.</w:t>
      </w:r>
    </w:p>
    <w:p>
      <w:pPr>
        <w:pStyle w:val="ListNumber"/>
        <w:spacing w:after="60"/>
        <w:widowControl/>
      </w:pPr>
      <w:r>
        <w:t>Calibrate risk aversion, discounting, interest rate and labour elasticity to accepted ranges; do not overfit them to the tax wedge.</w:t>
      </w:r>
    </w:p>
    <w:p>
      <w:pPr>
        <w:pStyle w:val="ListNumber"/>
        <w:spacing w:after="60"/>
        <w:widowControl/>
      </w:pPr>
      <w:r>
        <w:t>Validate the annual model against non-targeted event profiles and household groups.</w:t>
      </w:r>
    </w:p>
    <w:p>
      <w:pPr>
        <w:pStyle w:val="ListNumber"/>
        <w:spacing w:after="60"/>
        <w:widowControl/>
      </w:pPr>
      <w:r>
        <w:t>Compare policies under identical simulated shocks and common random numbers.</w:t>
      </w:r>
    </w:p>
    <w:p>
      <w:pPr>
        <w:pStyle w:val="ListNumber"/>
        <w:spacing w:after="60"/>
        <w:widowControl/>
      </w:pPr>
      <w:r>
        <w:t>Report sensitivity to risk aversion, borrowing limits, shock persistence, window length, indexation, tax timing and fiscal closure.</w:t>
      </w:r>
    </w:p>
    <w:p>
      <w:pPr>
        <w:widowControl/>
      </w:pPr>
      <w:r>
        <w:t>The existing gamma-share simulations are useful code tests, not an empirical income process. They draw random income shares over a fixed lifetime total, so they impose ex-post total resources, omit persistence and lifecycle structure, and generate extreme lumpy paths mechanically. Keep them as unit tests for policy formulas; do not use them for welfare calibration.</w:t>
      </w:r>
    </w:p>
    <w:p>
      <w:pPr>
        <w:pStyle w:val="Heading1"/>
        <w:pBdr>
          <w:bottom w:val="single" w:sz="8" w:space="5" w:color="D9E1E8"/>
        </w:pBdr>
        <w:widowControl/>
      </w:pPr>
      <w:r>
        <w:t>6. How to use the existing AgeGenerationTaxRates work</w:t>
      </w:r>
    </w:p>
    <w:p>
      <w:pPr>
        <w:pStyle w:val="Heading2"/>
        <w:widowControl/>
      </w:pPr>
      <w:r>
        <w:t>6.1 Keep</w:t>
      </w:r>
    </w:p>
    <w:p>
      <w:pPr>
        <w:pStyle w:val="ListBullet"/>
        <w:spacing w:after="60"/>
        <w:widowControl/>
      </w:pPr>
      <w:r>
        <w:t>the cumulative-liability formula and its grid tests;</w:t>
      </w:r>
    </w:p>
    <w:p>
      <w:pPr>
        <w:pStyle w:val="ListBullet"/>
        <w:spacing w:after="60"/>
        <w:widowControl/>
      </w:pPr>
      <w:r>
        <w:t>separate nominal and real averaging modes;</w:t>
      </w:r>
    </w:p>
    <w:p>
      <w:pPr>
        <w:pStyle w:val="ListBullet"/>
        <w:spacing w:after="60"/>
        <w:widowControl/>
      </w:pPr>
      <w:r>
        <w:t>historical tax-scale reconstruction;</w:t>
      </w:r>
    </w:p>
    <w:p>
      <w:pPr>
        <w:pStyle w:val="ListBullet"/>
        <w:spacing w:after="60"/>
        <w:widowControl/>
      </w:pPr>
      <w:r>
        <w:t>matching-unit/Jensen diagnostics;</w:t>
      </w:r>
    </w:p>
    <w:p>
      <w:pPr>
        <w:pStyle w:val="ListBullet"/>
        <w:spacing w:after="60"/>
        <w:widowControl/>
      </w:pPr>
      <w:r>
        <w:t>constant nominal, constant real, average-growth and lifecycle-preserving example paths; and</w:t>
      </w:r>
    </w:p>
    <w:p>
      <w:pPr>
        <w:pStyle w:val="ListBullet"/>
        <w:spacing w:after="60"/>
        <w:widowControl/>
      </w:pPr>
      <w:r>
        <w:t>examples showing that schedule changes can reverse simple fixed-scale intuitions.</w:t>
      </w:r>
    </w:p>
    <w:p>
      <w:pPr>
        <w:pStyle w:val="Heading2"/>
        <w:widowControl/>
      </w:pPr>
      <w:r>
        <w:t>6.2 Reframe</w:t>
      </w:r>
    </w:p>
    <w:p>
      <w:pPr>
        <w:pStyle w:val="ListBullet"/>
        <w:spacing w:after="60"/>
        <w:widowControl/>
      </w:pPr>
      <w:r>
        <w:t>The 30-year hypothetical waterfall should introduce the benchmark taxonomy, not stand in for an empirical decomposition.</w:t>
      </w:r>
    </w:p>
    <w:p>
      <w:pPr>
        <w:pStyle w:val="ListBullet"/>
        <w:spacing w:after="60"/>
        <w:widowControl/>
      </w:pPr>
      <w:r>
        <w:t>The historical example paths should be a short institutional appendix or online supplement.</w:t>
      </w:r>
    </w:p>
    <w:p>
      <w:pPr>
        <w:pStyle w:val="ListBullet"/>
        <w:spacing w:after="60"/>
        <w:widowControl/>
      </w:pPr>
      <w:r>
        <w:t>The “largest excess cases” are diagnostics for formula implementation, not evidence about likely taxpayers.</w:t>
      </w:r>
    </w:p>
    <w:p>
      <w:pPr>
        <w:pStyle w:val="ListBullet"/>
        <w:spacing w:after="60"/>
        <w:widowControl/>
      </w:pPr>
      <w:r>
        <w:t>Negative averaged liabilities should be interpreted as refunds or tax-account credits, with timing and interest made explicit.</w:t>
      </w:r>
    </w:p>
    <w:p>
      <w:pPr>
        <w:pStyle w:val="Heading2"/>
        <w:widowControl/>
      </w:pPr>
      <w:r>
        <w:t>6.3 Add</w:t>
      </w:r>
    </w:p>
    <w:p>
      <w:pPr>
        <w:pStyle w:val="ListBullet"/>
        <w:spacing w:after="60"/>
        <w:widowControl/>
      </w:pPr>
      <w:r>
        <w:t>a single policy interface that takes an income path, tax schedules, index, interest rate, window length and transition rule;</w:t>
      </w:r>
    </w:p>
    <w:p>
      <w:pPr>
        <w:pStyle w:val="ListBullet"/>
        <w:spacing w:after="60"/>
        <w:widowControl/>
      </w:pPr>
      <w:r>
        <w:t>present-value budget accounting;</w:t>
      </w:r>
    </w:p>
    <w:p>
      <w:pPr>
        <w:pStyle w:val="ListBullet"/>
        <w:spacing w:after="60"/>
        <w:widowControl/>
      </w:pPr>
      <w:r>
        <w:t>an Australian-style four-year rolling formula for primary producers/special professionals as an institutional benchmark;</w:t>
      </w:r>
    </w:p>
    <w:p>
      <w:pPr>
        <w:pStyle w:val="ListBullet"/>
        <w:spacing w:after="60"/>
        <w:widowControl/>
      </w:pPr>
      <w:r>
        <w:t>unit tests for constant paths, fixed convex schedules, changing schedules, inflation, average-income growth and zero/negative income;</w:t>
      </w:r>
    </w:p>
    <w:p>
      <w:pPr>
        <w:pStyle w:val="ListBullet"/>
        <w:spacing w:after="60"/>
        <w:widowControl/>
      </w:pPr>
      <w:r>
        <w:t>a welfare module with consumption/saving; and</w:t>
      </w:r>
    </w:p>
    <w:p>
      <w:pPr>
        <w:pStyle w:val="ListBullet"/>
        <w:spacing w:after="60"/>
        <w:widowControl/>
      </w:pPr>
      <w:r>
        <w:t>empirical calibration files exported from PLIDA in disclosure-safe cells.</w:t>
      </w:r>
    </w:p>
    <w:p>
      <w:pPr>
        <w:pStyle w:val="Heading2"/>
        <w:widowControl/>
      </w:pPr>
      <w:r>
        <w:t>6.4 Correct or clarify</w:t>
      </w:r>
    </w:p>
    <w:p>
      <w:pPr>
        <w:widowControl/>
      </w:pPr>
      <w:r>
        <w:t>The simple “Medicare” option in the simulation adds two percentage points to every marginal rate, including income below the ordinary threshold. That is not the Medicare levy. Rename it a generic surcharge or implement the actual threshold, family threshold and phase-in rules.</w:t>
      </w:r>
    </w:p>
    <w:p>
      <w:pPr>
        <w:widowControl/>
      </w:pPr>
      <w:r>
        <w:t>The actual Australian special-professional regime taxes an above-average component using a formula based on preceding years; it is not identical to cumulative full-income averaging. The paper should reproduce the statutory logic before referring to any hypothetical as “the application of averaging in the tax system.”</w:t>
      </w:r>
    </w:p>
    <w:p>
      <w:pPr>
        <w:pStyle w:val="Heading1"/>
        <w:pageBreakBefore/>
      </w:pPr>
      <w:r>
        <w:t>7. Could a heterogeneous-agent OLG model deepen the analysis?</w:t>
      </w:r>
    </w:p>
    <w:p>
      <w:pPr>
        <w:pStyle w:val="Heading2"/>
      </w:pPr>
      <w:r>
        <w:t>7.1 Direct answer and strategic recommendation</w:t>
      </w:r>
    </w:p>
    <w:p>
      <w:r>
        <w:t>Yes. A lifecycle or overlapping-generations model with heterogeneous earnings profiles could materially deepen the paper because it would turn the descriptive timing wedge into statements about insurance, liquidity, behavioural distortions, redistribution and welfare. But it would not, by itself, be a new idea. The direct structural literature is thin, yet it now contains papers very close to the proposed exercise—most importantly Krueger and Wu’s Taxes on Lifetime Income: A Good Idea?, first circulated in 2025 and revised in March 2026.</w:t>
      </w:r>
    </w:p>
    <w:p>
      <w:r>
        <w:t>The implication is constructive rather than discouraging. The paper should not claim to be the first heterogeneous-agent lifecycle analysis of annual versus lifetime taxation. Its distinctive contribution can instead be an Australian, administratively realistic and empirically disciplined answer to a question the existing structural papers do not settle: which observed earnings-profile types gain from feasible partial averaging, why, and how much of the apparent gain survives private saving, actual tax-system kinks, a common revenue requirement and reform transition?</w:t>
      </w:r>
    </w:p>
    <w:p>
      <w:pPr>
        <w:pStyle w:val="ExecutiveCallout"/>
      </w:pPr>
      <w:r>
        <w:t>Recommended decision: build the partial-equilibrium heterogeneous-agent lifecycle model first. Treat a full general-equilibrium OLG model as a gated extension, not the entry ticket. It is warranted only if the paper wants to make intergenerational incidence, fiscal transition or wage/interest-rate feedback a core result. A generic Australian recalibration of the newest U.S. lifetime-tax model would be too derivative; a model disciplined by PLIDA profile heterogeneity and actual Australian policy rules could be genuinely new.</w:t>
      </w:r>
    </w:p>
    <w:p>
      <w:pPr>
        <w:pStyle w:val="Heading2"/>
      </w:pPr>
      <w:r>
        <w:t>7.2 Literature review: has this already been done?</w:t>
      </w:r>
    </w:p>
    <w:p>
      <w:r>
        <w:t>The accurate answer is “yes, in important respects, but not in the precise Australian form proposed here.” The literature falls into four groups: direct income-averaging mechanisms; quantitative lifetime or history-dependent taxation; broader lifecycle heterogeneous-agent tax models; and dynamic optimal-tax theory. The table separates these because citing the broad lifecycle literature alone would miss the closest prior work.</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trPr>
        <w:tc>
          <w:tcPr>
            <w:tcW w:type="dxa" w:w="1531"/>
            <w:vAlign w:val="center"/>
            <w:tcMar>
              <w:top w:w="90" w:type="dxa"/>
              <w:start w:w="100" w:type="dxa"/>
              <w:bottom w:w="90" w:type="dxa"/>
              <w:end w:w="100" w:type="dxa"/>
            </w:tcMar>
            <w:shd w:fill="176B87"/>
          </w:tcPr>
          <w:p>
            <w:pPr>
              <w:spacing w:after="0"/>
            </w:pPr>
            <w:r/>
            <w:r>
              <w:rPr>
                <w:b/>
                <w:color w:val="FFFFFF"/>
                <w:sz w:val="16"/>
              </w:rPr>
              <w:t>Work</w:t>
            </w:r>
          </w:p>
        </w:tc>
        <w:tc>
          <w:tcPr>
            <w:tcW w:type="dxa" w:w="1701"/>
            <w:vAlign w:val="center"/>
            <w:tcMar>
              <w:top w:w="90" w:type="dxa"/>
              <w:start w:w="100" w:type="dxa"/>
              <w:bottom w:w="90" w:type="dxa"/>
              <w:end w:w="100" w:type="dxa"/>
            </w:tcMar>
            <w:shd w:fill="176B87"/>
          </w:tcPr>
          <w:p>
            <w:pPr>
              <w:spacing w:after="0"/>
            </w:pPr>
            <w:r/>
            <w:r>
              <w:rPr>
                <w:b/>
                <w:color w:val="FFFFFF"/>
                <w:sz w:val="16"/>
              </w:rPr>
              <w:t>Environment</w:t>
            </w:r>
          </w:p>
        </w:tc>
        <w:tc>
          <w:tcPr>
            <w:tcW w:type="dxa" w:w="3231"/>
            <w:vAlign w:val="center"/>
            <w:tcMar>
              <w:top w:w="90" w:type="dxa"/>
              <w:start w:w="100" w:type="dxa"/>
              <w:bottom w:w="90" w:type="dxa"/>
              <w:end w:w="100" w:type="dxa"/>
            </w:tcMar>
            <w:shd w:fill="176B87"/>
          </w:tcPr>
          <w:p>
            <w:pPr>
              <w:spacing w:after="0"/>
            </w:pPr>
            <w:r/>
            <w:r>
              <w:rPr>
                <w:b/>
                <w:color w:val="FFFFFF"/>
                <w:sz w:val="16"/>
              </w:rPr>
              <w:t>Main result for this question</w:t>
            </w:r>
          </w:p>
        </w:tc>
        <w:tc>
          <w:tcPr>
            <w:tcW w:type="dxa" w:w="3005"/>
            <w:vAlign w:val="center"/>
            <w:tcMar>
              <w:top w:w="90" w:type="dxa"/>
              <w:start w:w="100" w:type="dxa"/>
              <w:bottom w:w="90" w:type="dxa"/>
              <w:end w:w="100" w:type="dxa"/>
            </w:tcMar>
            <w:shd w:fill="176B87"/>
          </w:tcPr>
          <w:p>
            <w:pPr>
              <w:spacing w:after="0"/>
            </w:pPr>
            <w:r/>
            <w:r>
              <w:rPr>
                <w:b/>
                <w:color w:val="FFFFFF"/>
                <w:sz w:val="16"/>
              </w:rPr>
              <w:t>Implication for this paper</w:t>
            </w:r>
          </w:p>
        </w:tc>
      </w:tr>
      <w:tr>
        <w:trPr>
          <w:cantSplit/>
        </w:trPr>
        <w:tc>
          <w:tcPr>
            <w:tcW w:type="dxa" w:w="1531"/>
            <w:vAlign w:val="center"/>
            <w:tcMar>
              <w:top w:w="90" w:type="dxa"/>
              <w:start w:w="100" w:type="dxa"/>
              <w:bottom w:w="90" w:type="dxa"/>
              <w:end w:w="100" w:type="dxa"/>
            </w:tcMar>
          </w:tcPr>
          <w:p>
            <w:pPr>
              <w:spacing w:after="0"/>
            </w:pPr>
            <w:r/>
            <w:r>
              <w:rPr>
                <w:b w:val="0"/>
                <w:sz w:val="15"/>
              </w:rPr>
              <w:t>Vickrey (1939); Creedy (1979)</w:t>
            </w:r>
          </w:p>
        </w:tc>
        <w:tc>
          <w:tcPr>
            <w:tcW w:type="dxa" w:w="1701"/>
            <w:vAlign w:val="center"/>
            <w:tcMar>
              <w:top w:w="90" w:type="dxa"/>
              <w:start w:w="100" w:type="dxa"/>
              <w:bottom w:w="90" w:type="dxa"/>
              <w:end w:w="100" w:type="dxa"/>
            </w:tcMar>
          </w:tcPr>
          <w:p>
            <w:pPr>
              <w:spacing w:after="0"/>
            </w:pPr>
            <w:r/>
            <w:r>
              <w:rPr>
                <w:b w:val="0"/>
                <w:sz w:val="15"/>
              </w:rPr>
              <w:t>Mechanism and longitudinal accounting/simulation</w:t>
            </w:r>
          </w:p>
        </w:tc>
        <w:tc>
          <w:tcPr>
            <w:tcW w:type="dxa" w:w="3231"/>
            <w:vAlign w:val="center"/>
            <w:tcMar>
              <w:top w:w="90" w:type="dxa"/>
              <w:start w:w="100" w:type="dxa"/>
              <w:bottom w:w="90" w:type="dxa"/>
              <w:end w:w="100" w:type="dxa"/>
            </w:tcMar>
          </w:tcPr>
          <w:p>
            <w:pPr>
              <w:spacing w:after="0"/>
            </w:pPr>
            <w:r/>
            <w:r>
              <w:rPr>
                <w:b w:val="0"/>
                <w:sz w:val="15"/>
              </w:rPr>
              <w:t>Vickrey introduced cumulative averaging. Creedy examined a three-year rule, liquidity, revenue and inequality using U.K. longitudinal data.</w:t>
            </w:r>
          </w:p>
        </w:tc>
        <w:tc>
          <w:tcPr>
            <w:tcW w:type="dxa" w:w="3005"/>
            <w:vAlign w:val="center"/>
            <w:tcMar>
              <w:top w:w="90" w:type="dxa"/>
              <w:start w:w="100" w:type="dxa"/>
              <w:bottom w:w="90" w:type="dxa"/>
              <w:end w:w="100" w:type="dxa"/>
            </w:tcMar>
          </w:tcPr>
          <w:p>
            <w:pPr>
              <w:spacing w:after="0"/>
            </w:pPr>
            <w:r/>
            <w:r>
              <w:rPr>
                <w:b w:val="0"/>
                <w:sz w:val="15"/>
              </w:rPr>
              <w:t>Foundational and directly relevant, but not a modern heterogeneous-agent welfare model.</w:t>
            </w:r>
          </w:p>
        </w:tc>
      </w:tr>
      <w:tr>
        <w:trPr>
          <w:cantSplit/>
        </w:trPr>
        <w:tc>
          <w:tcPr>
            <w:tcW w:type="dxa" w:w="1531"/>
            <w:vAlign w:val="center"/>
            <w:tcMar>
              <w:top w:w="90" w:type="dxa"/>
              <w:start w:w="100" w:type="dxa"/>
              <w:bottom w:w="90" w:type="dxa"/>
              <w:end w:w="100" w:type="dxa"/>
            </w:tcMar>
            <w:shd w:fill="F1F6F8"/>
          </w:tcPr>
          <w:p>
            <w:pPr>
              <w:spacing w:after="0"/>
            </w:pPr>
            <w:r/>
            <w:r>
              <w:rPr>
                <w:b w:val="0"/>
                <w:sz w:val="15"/>
              </w:rPr>
              <w:t>Steinerberger &amp; Tsyvinski (2020); Sato (2021)</w:t>
            </w:r>
          </w:p>
        </w:tc>
        <w:tc>
          <w:tcPr>
            <w:tcW w:type="dxa" w:w="1701"/>
            <w:vAlign w:val="center"/>
            <w:tcMar>
              <w:top w:w="90" w:type="dxa"/>
              <w:start w:w="100" w:type="dxa"/>
              <w:bottom w:w="90" w:type="dxa"/>
              <w:end w:w="100" w:type="dxa"/>
            </w:tcMar>
            <w:shd w:fill="F1F6F8"/>
          </w:tcPr>
          <w:p>
            <w:pPr>
              <w:spacing w:after="0"/>
            </w:pPr>
            <w:r/>
            <w:r>
              <w:rPr>
                <w:b w:val="0"/>
                <w:sz w:val="15"/>
              </w:rPr>
              <w:t>Axiomatic weighting and formal lifetime-tax mechanism</w:t>
            </w:r>
          </w:p>
        </w:tc>
        <w:tc>
          <w:tcPr>
            <w:tcW w:type="dxa" w:w="3231"/>
            <w:vAlign w:val="center"/>
            <w:tcMar>
              <w:top w:w="90" w:type="dxa"/>
              <w:start w:w="100" w:type="dxa"/>
              <w:bottom w:w="90" w:type="dxa"/>
              <w:end w:w="100" w:type="dxa"/>
            </w:tcMar>
            <w:shd w:fill="F1F6F8"/>
          </w:tcPr>
          <w:p>
            <w:pPr>
              <w:spacing w:after="0"/>
            </w:pPr>
            <w:r/>
            <w:r>
              <w:rPr>
                <w:b w:val="0"/>
                <w:sz w:val="15"/>
              </w:rPr>
              <w:t>Clarify recursive weights and how a Vickrey-style account can implement lifetime taxation.</w:t>
            </w:r>
          </w:p>
        </w:tc>
        <w:tc>
          <w:tcPr>
            <w:tcW w:type="dxa" w:w="3005"/>
            <w:vAlign w:val="center"/>
            <w:tcMar>
              <w:top w:w="90" w:type="dxa"/>
              <w:start w:w="100" w:type="dxa"/>
              <w:bottom w:w="90" w:type="dxa"/>
              <w:end w:w="100" w:type="dxa"/>
            </w:tcMar>
            <w:shd w:fill="F1F6F8"/>
          </w:tcPr>
          <w:p>
            <w:pPr>
              <w:spacing w:after="0"/>
            </w:pPr>
            <w:r/>
            <w:r>
              <w:rPr>
                <w:b w:val="0"/>
                <w:sz w:val="15"/>
              </w:rPr>
              <w:t>Useful for policy design and formulas; they do not provide the required calibrated OLG incidence exercise.</w:t>
            </w:r>
          </w:p>
        </w:tc>
      </w:tr>
      <w:tr>
        <w:trPr>
          <w:cantSplit/>
        </w:trPr>
        <w:tc>
          <w:tcPr>
            <w:tcW w:type="dxa" w:w="1531"/>
            <w:vAlign w:val="center"/>
            <w:tcMar>
              <w:top w:w="90" w:type="dxa"/>
              <w:start w:w="100" w:type="dxa"/>
              <w:bottom w:w="90" w:type="dxa"/>
              <w:end w:w="100" w:type="dxa"/>
            </w:tcMar>
          </w:tcPr>
          <w:p>
            <w:pPr>
              <w:spacing w:after="0"/>
            </w:pPr>
            <w:r/>
            <w:r>
              <w:rPr>
                <w:b w:val="0"/>
                <w:sz w:val="15"/>
              </w:rPr>
              <w:t>Huggett &amp; Parra (2010)</w:t>
            </w:r>
          </w:p>
        </w:tc>
        <w:tc>
          <w:tcPr>
            <w:tcW w:type="dxa" w:w="1701"/>
            <w:vAlign w:val="center"/>
            <w:tcMar>
              <w:top w:w="90" w:type="dxa"/>
              <w:start w:w="100" w:type="dxa"/>
              <w:bottom w:w="90" w:type="dxa"/>
              <w:end w:w="100" w:type="dxa"/>
            </w:tcMar>
          </w:tcPr>
          <w:p>
            <w:pPr>
              <w:spacing w:after="0"/>
            </w:pPr>
            <w:r/>
            <w:r>
              <w:rPr>
                <w:b w:val="0"/>
                <w:sz w:val="15"/>
              </w:rPr>
              <w:t>Lifecycle model with privately observed wage shocks</w:t>
            </w:r>
          </w:p>
        </w:tc>
        <w:tc>
          <w:tcPr>
            <w:tcW w:type="dxa" w:w="3231"/>
            <w:vAlign w:val="center"/>
            <w:tcMar>
              <w:top w:w="90" w:type="dxa"/>
              <w:start w:w="100" w:type="dxa"/>
              <w:bottom w:w="90" w:type="dxa"/>
              <w:end w:w="100" w:type="dxa"/>
            </w:tcMar>
          </w:tcPr>
          <w:p>
            <w:pPr>
              <w:spacing w:after="0"/>
            </w:pPr>
            <w:r/>
            <w:r>
              <w:rPr>
                <w:b w:val="0"/>
                <w:sz w:val="15"/>
              </w:rPr>
              <w:t>Compares U.S. social insurance reforms, including replacement by an optimal tax on lifetime earnings. With empirically persistent/transitory shocks, the radical lifetime-tax reform is not uniformly superior.</w:t>
            </w:r>
          </w:p>
        </w:tc>
        <w:tc>
          <w:tcPr>
            <w:tcW w:type="dxa" w:w="3005"/>
            <w:vAlign w:val="center"/>
            <w:tcMar>
              <w:top w:w="90" w:type="dxa"/>
              <w:start w:w="100" w:type="dxa"/>
              <w:bottom w:w="90" w:type="dxa"/>
              <w:end w:w="100" w:type="dxa"/>
            </w:tcMar>
          </w:tcPr>
          <w:p>
            <w:pPr>
              <w:spacing w:after="0"/>
            </w:pPr>
            <w:r/>
            <w:r>
              <w:rPr>
                <w:b w:val="0"/>
                <w:sz w:val="15"/>
              </w:rPr>
              <w:t>A direct warning that the result depends on the earnings process and the surrounding transfer system.</w:t>
            </w:r>
          </w:p>
        </w:tc>
      </w:tr>
      <w:tr>
        <w:trPr>
          <w:cantSplit/>
        </w:trPr>
        <w:tc>
          <w:tcPr>
            <w:tcW w:type="dxa" w:w="1531"/>
            <w:vAlign w:val="center"/>
            <w:tcMar>
              <w:top w:w="90" w:type="dxa"/>
              <w:start w:w="100" w:type="dxa"/>
              <w:bottom w:w="90" w:type="dxa"/>
              <w:end w:w="100" w:type="dxa"/>
            </w:tcMar>
            <w:shd w:fill="F1F6F8"/>
          </w:tcPr>
          <w:p>
            <w:pPr>
              <w:spacing w:after="0"/>
            </w:pPr>
            <w:r/>
            <w:r>
              <w:rPr>
                <w:b w:val="0"/>
                <w:sz w:val="15"/>
              </w:rPr>
              <w:t>Kapička (2020a, 2020b, working papers)</w:t>
            </w:r>
          </w:p>
        </w:tc>
        <w:tc>
          <w:tcPr>
            <w:tcW w:type="dxa" w:w="1701"/>
            <w:vAlign w:val="center"/>
            <w:tcMar>
              <w:top w:w="90" w:type="dxa"/>
              <w:start w:w="100" w:type="dxa"/>
              <w:bottom w:w="90" w:type="dxa"/>
              <w:end w:w="100" w:type="dxa"/>
            </w:tcMar>
            <w:shd w:fill="F1F6F8"/>
          </w:tcPr>
          <w:p>
            <w:pPr>
              <w:spacing w:after="0"/>
            </w:pPr>
            <w:r/>
            <w:r>
              <w:rPr>
                <w:b w:val="0"/>
                <w:sz w:val="15"/>
              </w:rPr>
              <w:t>Incomplete-markets and OLG history-dependent taxation</w:t>
            </w:r>
          </w:p>
        </w:tc>
        <w:tc>
          <w:tcPr>
            <w:tcW w:type="dxa" w:w="3231"/>
            <w:vAlign w:val="center"/>
            <w:tcMar>
              <w:top w:w="90" w:type="dxa"/>
              <w:start w:w="100" w:type="dxa"/>
              <w:bottom w:w="90" w:type="dxa"/>
              <w:end w:w="100" w:type="dxa"/>
            </w:tcMar>
            <w:shd w:fill="F1F6F8"/>
          </w:tcPr>
          <w:p>
            <w:pPr>
              <w:spacing w:after="0"/>
            </w:pPr>
            <w:r/>
            <w:r>
              <w:rPr>
                <w:b w:val="0"/>
                <w:sz w:val="15"/>
              </w:rPr>
              <w:t>Lets tax depend on geometrically weighted past earnings; studies optimal weights, insurance across ages/cohorts and the distinction between history and age dependence. Reported gains are roughly 1.7–3.0% of consumption; five lags capture about half of full-history gains in the OLG paper.</w:t>
            </w:r>
          </w:p>
        </w:tc>
        <w:tc>
          <w:tcPr>
            <w:tcW w:type="dxa" w:w="3005"/>
            <w:vAlign w:val="center"/>
            <w:tcMar>
              <w:top w:w="90" w:type="dxa"/>
              <w:start w:w="100" w:type="dxa"/>
              <w:bottom w:w="90" w:type="dxa"/>
              <w:end w:w="100" w:type="dxa"/>
            </w:tcMar>
            <w:shd w:fill="F1F6F8"/>
          </w:tcPr>
          <w:p>
            <w:pPr>
              <w:spacing w:after="0"/>
            </w:pPr>
            <w:r/>
            <w:r>
              <w:rPr>
                <w:b w:val="0"/>
                <w:sz w:val="15"/>
              </w:rPr>
              <w:t>Extremely close conceptually. Equal averaging is only one restricted form of history dependence.</w:t>
            </w:r>
          </w:p>
        </w:tc>
      </w:tr>
      <w:tr>
        <w:trPr>
          <w:cantSplit/>
        </w:trPr>
        <w:tc>
          <w:tcPr>
            <w:tcW w:type="dxa" w:w="1531"/>
            <w:vAlign w:val="center"/>
            <w:tcMar>
              <w:top w:w="90" w:type="dxa"/>
              <w:start w:w="100" w:type="dxa"/>
              <w:bottom w:w="90" w:type="dxa"/>
              <w:end w:w="100" w:type="dxa"/>
            </w:tcMar>
          </w:tcPr>
          <w:p>
            <w:pPr>
              <w:spacing w:after="0"/>
            </w:pPr>
            <w:r/>
            <w:r>
              <w:rPr>
                <w:b w:val="0"/>
                <w:sz w:val="15"/>
              </w:rPr>
              <w:t>Batzer (2022 dissertation chapter)</w:t>
            </w:r>
          </w:p>
        </w:tc>
        <w:tc>
          <w:tcPr>
            <w:tcW w:type="dxa" w:w="1701"/>
            <w:vAlign w:val="center"/>
            <w:tcMar>
              <w:top w:w="90" w:type="dxa"/>
              <w:start w:w="100" w:type="dxa"/>
              <w:bottom w:w="90" w:type="dxa"/>
              <w:end w:w="100" w:type="dxa"/>
            </w:tcMar>
          </w:tcPr>
          <w:p>
            <w:pPr>
              <w:spacing w:after="0"/>
            </w:pPr>
            <w:r/>
            <w:r>
              <w:rPr>
                <w:b w:val="0"/>
                <w:sz w:val="15"/>
              </w:rPr>
              <w:t>Lifecycle general equilibrium with differentiated worker types</w:t>
            </w:r>
          </w:p>
        </w:tc>
        <w:tc>
          <w:tcPr>
            <w:tcW w:type="dxa" w:w="3231"/>
            <w:vAlign w:val="center"/>
            <w:tcMar>
              <w:top w:w="90" w:type="dxa"/>
              <w:start w:w="100" w:type="dxa"/>
              <w:bottom w:w="90" w:type="dxa"/>
              <w:end w:w="100" w:type="dxa"/>
            </w:tcMar>
          </w:tcPr>
          <w:p>
            <w:pPr>
              <w:spacing w:after="0"/>
            </w:pPr>
            <w:r/>
            <w:r>
              <w:rPr>
                <w:b w:val="0"/>
                <w:sz w:val="15"/>
              </w:rPr>
              <w:t>Allows history-dependent taxes and imperfect substitution across skills; reports welfare gains around 2% relative to an optimal current-income tax.</w:t>
            </w:r>
          </w:p>
        </w:tc>
        <w:tc>
          <w:tcPr>
            <w:tcW w:type="dxa" w:w="3005"/>
            <w:vAlign w:val="center"/>
            <w:tcMar>
              <w:top w:w="90" w:type="dxa"/>
              <w:start w:w="100" w:type="dxa"/>
              <w:bottom w:w="90" w:type="dxa"/>
              <w:end w:w="100" w:type="dxa"/>
            </w:tcMar>
          </w:tcPr>
          <w:p>
            <w:pPr>
              <w:spacing w:after="0"/>
            </w:pPr>
            <w:r/>
            <w:r>
              <w:rPr>
                <w:b w:val="0"/>
                <w:sz w:val="15"/>
              </w:rPr>
              <w:t>Closest precedent for heterogeneous earnings/skill types, but presently a dissertation/working-paper contribution rather than a settled benchmark.</w:t>
            </w:r>
          </w:p>
        </w:tc>
      </w:tr>
      <w:tr>
        <w:trPr>
          <w:cantSplit/>
        </w:trPr>
        <w:tc>
          <w:tcPr>
            <w:tcW w:type="dxa" w:w="1531"/>
            <w:vAlign w:val="center"/>
            <w:tcMar>
              <w:top w:w="90" w:type="dxa"/>
              <w:start w:w="100" w:type="dxa"/>
              <w:bottom w:w="90" w:type="dxa"/>
              <w:end w:w="100" w:type="dxa"/>
            </w:tcMar>
            <w:shd w:fill="F1F6F8"/>
          </w:tcPr>
          <w:p>
            <w:pPr>
              <w:spacing w:after="0"/>
            </w:pPr>
            <w:r/>
            <w:r>
              <w:rPr>
                <w:b w:val="0"/>
                <w:sz w:val="15"/>
              </w:rPr>
              <w:t>Krueger &amp; Wu (2025; rev. 2026)</w:t>
            </w:r>
          </w:p>
        </w:tc>
        <w:tc>
          <w:tcPr>
            <w:tcW w:type="dxa" w:w="1701"/>
            <w:vAlign w:val="center"/>
            <w:tcMar>
              <w:top w:w="90" w:type="dxa"/>
              <w:start w:w="100" w:type="dxa"/>
              <w:bottom w:w="90" w:type="dxa"/>
              <w:end w:w="100" w:type="dxa"/>
            </w:tcMar>
            <w:shd w:fill="F1F6F8"/>
          </w:tcPr>
          <w:p>
            <w:pPr>
              <w:spacing w:after="0"/>
            </w:pPr>
            <w:r/>
            <w:r>
              <w:rPr>
                <w:b w:val="0"/>
                <w:sz w:val="15"/>
              </w:rPr>
              <w:t>Quantitative incomplete-markets lifecycle model; heterogeneous households, wage risk, saving and endogenous labour</w:t>
            </w:r>
          </w:p>
        </w:tc>
        <w:tc>
          <w:tcPr>
            <w:tcW w:type="dxa" w:w="3231"/>
            <w:vAlign w:val="center"/>
            <w:tcMar>
              <w:top w:w="90" w:type="dxa"/>
              <w:start w:w="100" w:type="dxa"/>
              <w:bottom w:w="90" w:type="dxa"/>
              <w:end w:w="100" w:type="dxa"/>
            </w:tcMar>
            <w:shd w:fill="F1F6F8"/>
          </w:tcPr>
          <w:p>
            <w:pPr>
              <w:spacing w:after="0"/>
            </w:pPr>
            <w:r/>
            <w:r>
              <w:rPr>
                <w:b w:val="0"/>
                <w:sz w:val="15"/>
              </w:rPr>
              <w:t>Directly compares annual and lifetime income taxes. At unchanged progressivity, lifetime taxation raises reported welfare by 0.63% of lifetime consumption; jointly optimal lifetime taxation yields 1.27%, versus 0.19% for the optimal annual tax in the partial-equilibrium benchmark.</w:t>
            </w:r>
          </w:p>
        </w:tc>
        <w:tc>
          <w:tcPr>
            <w:tcW w:type="dxa" w:w="3005"/>
            <w:vAlign w:val="center"/>
            <w:tcMar>
              <w:top w:w="90" w:type="dxa"/>
              <w:start w:w="100" w:type="dxa"/>
              <w:bottom w:w="90" w:type="dxa"/>
              <w:end w:w="100" w:type="dxa"/>
            </w:tcMar>
            <w:shd w:fill="F1F6F8"/>
          </w:tcPr>
          <w:p>
            <w:pPr>
              <w:spacing w:after="0"/>
            </w:pPr>
            <w:r/>
            <w:r>
              <w:rPr>
                <w:b w:val="0"/>
                <w:sz w:val="15"/>
              </w:rPr>
              <w:t>The nearest benchmark. It removes any plausible “first OLG model of averaging” claim and raises the novelty bar for a calibration-only exercise.</w:t>
            </w:r>
          </w:p>
        </w:tc>
      </w:tr>
      <w:tr>
        <w:trPr>
          <w:cantSplit/>
        </w:trPr>
        <w:tc>
          <w:tcPr>
            <w:tcW w:type="dxa" w:w="1531"/>
            <w:vAlign w:val="center"/>
            <w:tcMar>
              <w:top w:w="90" w:type="dxa"/>
              <w:start w:w="100" w:type="dxa"/>
              <w:bottom w:w="90" w:type="dxa"/>
              <w:end w:w="100" w:type="dxa"/>
            </w:tcMar>
          </w:tcPr>
          <w:p>
            <w:pPr>
              <w:spacing w:after="0"/>
            </w:pPr>
            <w:r/>
            <w:r>
              <w:rPr>
                <w:b w:val="0"/>
                <w:sz w:val="15"/>
              </w:rPr>
              <w:t>Dynamic Mirrlees and age-dependent taxation</w:t>
            </w:r>
          </w:p>
        </w:tc>
        <w:tc>
          <w:tcPr>
            <w:tcW w:type="dxa" w:w="1701"/>
            <w:vAlign w:val="center"/>
            <w:tcMar>
              <w:top w:w="90" w:type="dxa"/>
              <w:start w:w="100" w:type="dxa"/>
              <w:bottom w:w="90" w:type="dxa"/>
              <w:end w:w="100" w:type="dxa"/>
            </w:tcMar>
          </w:tcPr>
          <w:p>
            <w:pPr>
              <w:spacing w:after="0"/>
            </w:pPr>
            <w:r/>
            <w:r>
              <w:rPr>
                <w:b w:val="0"/>
                <w:sz w:val="15"/>
              </w:rPr>
              <w:t>Private productivity histories and implementable simplifications</w:t>
            </w:r>
          </w:p>
        </w:tc>
        <w:tc>
          <w:tcPr>
            <w:tcW w:type="dxa" w:w="3231"/>
            <w:vAlign w:val="center"/>
            <w:tcMar>
              <w:top w:w="90" w:type="dxa"/>
              <w:start w:w="100" w:type="dxa"/>
              <w:bottom w:w="90" w:type="dxa"/>
              <w:end w:w="100" w:type="dxa"/>
            </w:tcMar>
          </w:tcPr>
          <w:p>
            <w:pPr>
              <w:spacing w:after="0"/>
            </w:pPr>
            <w:r/>
            <w:r>
              <w:rPr>
                <w:b w:val="0"/>
                <w:sz w:val="15"/>
              </w:rPr>
              <w:t>Optimal allocations generally imply history-dependent wedges; age-dependent tax schedules can capture part of the gain from full history dependence.</w:t>
            </w:r>
          </w:p>
        </w:tc>
        <w:tc>
          <w:tcPr>
            <w:tcW w:type="dxa" w:w="3005"/>
            <w:vAlign w:val="center"/>
            <w:tcMar>
              <w:top w:w="90" w:type="dxa"/>
              <w:start w:w="100" w:type="dxa"/>
              <w:bottom w:w="90" w:type="dxa"/>
              <w:end w:w="100" w:type="dxa"/>
            </w:tcMar>
          </w:tcPr>
          <w:p>
            <w:pPr>
              <w:spacing w:after="0"/>
            </w:pPr>
            <w:r/>
            <w:r>
              <w:rPr>
                <w:b w:val="0"/>
                <w:sz w:val="15"/>
              </w:rPr>
              <w:t>Averaging must be compared with—not casually equated to—optimal history dependence and age tagging.</w:t>
            </w:r>
          </w:p>
        </w:tc>
      </w:tr>
      <w:tr>
        <w:trPr>
          <w:cantSplit/>
        </w:trPr>
        <w:tc>
          <w:tcPr>
            <w:tcW w:type="dxa" w:w="1531"/>
            <w:vAlign w:val="center"/>
            <w:tcMar>
              <w:top w:w="90" w:type="dxa"/>
              <w:start w:w="100" w:type="dxa"/>
              <w:bottom w:w="90" w:type="dxa"/>
              <w:end w:w="100" w:type="dxa"/>
            </w:tcMar>
            <w:shd w:fill="F1F6F8"/>
          </w:tcPr>
          <w:p>
            <w:pPr>
              <w:spacing w:after="0"/>
            </w:pPr>
            <w:r/>
            <w:r>
              <w:rPr>
                <w:b w:val="0"/>
                <w:sz w:val="15"/>
              </w:rPr>
              <w:t>Ramsey heterogeneous-agent lifecycle taxation</w:t>
            </w:r>
          </w:p>
        </w:tc>
        <w:tc>
          <w:tcPr>
            <w:tcW w:type="dxa" w:w="1701"/>
            <w:vAlign w:val="center"/>
            <w:tcMar>
              <w:top w:w="90" w:type="dxa"/>
              <w:start w:w="100" w:type="dxa"/>
              <w:bottom w:w="90" w:type="dxa"/>
              <w:end w:w="100" w:type="dxa"/>
            </w:tcMar>
            <w:shd w:fill="F1F6F8"/>
          </w:tcPr>
          <w:p>
            <w:pPr>
              <w:spacing w:after="0"/>
            </w:pPr>
            <w:r/>
            <w:r>
              <w:rPr>
                <w:b w:val="0"/>
                <w:sz w:val="15"/>
              </w:rPr>
              <w:t>Incomplete markets, saving, labour supply, permanent types and general equilibrium</w:t>
            </w:r>
          </w:p>
        </w:tc>
        <w:tc>
          <w:tcPr>
            <w:tcW w:type="dxa" w:w="3231"/>
            <w:vAlign w:val="center"/>
            <w:tcMar>
              <w:top w:w="90" w:type="dxa"/>
              <w:start w:w="100" w:type="dxa"/>
              <w:bottom w:w="90" w:type="dxa"/>
              <w:end w:w="100" w:type="dxa"/>
            </w:tcMar>
            <w:shd w:fill="F1F6F8"/>
          </w:tcPr>
          <w:p>
            <w:pPr>
              <w:spacing w:after="0"/>
            </w:pPr>
            <w:r/>
            <w:r>
              <w:rPr>
                <w:b w:val="0"/>
                <w:sz w:val="15"/>
              </w:rPr>
              <w:t>Quantifies the insurance–incentive trade-off in progressive taxation and supplies the computational architecture.</w:t>
            </w:r>
          </w:p>
        </w:tc>
        <w:tc>
          <w:tcPr>
            <w:tcW w:type="dxa" w:w="3005"/>
            <w:vAlign w:val="center"/>
            <w:tcMar>
              <w:top w:w="90" w:type="dxa"/>
              <w:start w:w="100" w:type="dxa"/>
              <w:bottom w:w="90" w:type="dxa"/>
              <w:end w:w="100" w:type="dxa"/>
            </w:tcMar>
            <w:shd w:fill="F1F6F8"/>
          </w:tcPr>
          <w:p>
            <w:pPr>
              <w:spacing w:after="0"/>
            </w:pPr>
            <w:r/>
            <w:r>
              <w:rPr>
                <w:b w:val="0"/>
                <w:sz w:val="15"/>
              </w:rPr>
              <w:t>Provides machinery, but most of this literature taxes current annual income rather than an earnings history.</w:t>
            </w:r>
          </w:p>
        </w:tc>
      </w:tr>
    </w:tbl>
    <w:p>
      <w:pPr>
        <w:pStyle w:val="Heading3"/>
      </w:pPr>
      <w:r>
        <w:t>The closest direct benchmark: Krueger and Wu</w:t>
      </w:r>
    </w:p>
    <w:p>
      <w:r>
        <w:t>Krueger and Wu build an incomplete-markets lifecycle economy with initial wealth and preference heterogeneity, idiosyncratic wage risk, borrowing constraints, saving, consumption and endogenous hours. Their lifetime tax is implementable during life through the incremental change in the liability attached to accumulated earnings, rather than by waiting until death to settle the entire bill. The model therefore already contains the key logic an Australian model would need: the tax base is a state variable and the current marginal tax depends on the earnings history.</w:t>
      </w:r>
    </w:p>
    <w:p>
      <w:r>
        <w:t>Their mechanism is not simply that averaging lowers tax on volatile earnings. A lifetime base makes the marginal tax rate less responsive to the current wage state, improving the allocation of hours across ages and productivity states. At the same time, annual progressivity provides more contemporaneous insurance late in life. Their quantitative ranking favours lifetime taxation, but the trade-off—not a mechanical Jensen tax cut—is the important lesson.</w:t>
      </w:r>
    </w:p>
    <w:p>
      <w:r>
        <w:t>A crucial detail for this project is their fiscal experiment. Their main welfare comparison holds net revenue constant within each cohort in order to exclude transfers between generations. In a robustness exercise using a within-period, across-cohort budget, the reported gain for the optimal lifetime tax jumps from 1.27% to 21.23% of lifetime consumption; they attribute the exceptional increase to intergenerational transfers and examine the transition. This is a powerful warning: an OLG model can manufacture a very large “averaging gain” through its budget convention unless cohort accounts and transition incidence are explicit.</w:t>
      </w:r>
    </w:p>
    <w:p>
      <w:pPr>
        <w:pStyle w:val="Heading3"/>
      </w:pPr>
      <w:r>
        <w:t>Other direct precedents</w:t>
      </w:r>
    </w:p>
    <w:p>
      <w:r>
        <w:t>Huggett and Parra study social insurance rather than a narrow income-tax reform. Their optimal lifetime-earnings tax can perform well when wage heterogeneity is permanent, but their empirically calibrated persistent/transitory shock specification makes piecemeal social-security reform more attractive. This result makes the proposed PLIDA earnings-process work central: averaging is likely to treat persistent ability, temporary shocks and career interruptions very differently.</w:t>
      </w:r>
    </w:p>
    <w:p>
      <w:r>
        <w:t>Kapička’s two closely related working papers study taxes conditioned on a geometrically weighted history. One emphasises optimal weights and the insurance–efficiency decomposition; the OLG version shows how history dependence can move consumption insurance across ages and cohorts and why history dependence is not the same instrument as age dependence. The reported welfare magnitudes are material, but the central lesson for this paper is about design: the welfare-improving weight on prior income need not be an equal two-, five- or ten-year average. An “optimal geometric history” should therefore be a theoretical benchmark, not the administratively preferred policy.</w:t>
      </w:r>
    </w:p>
    <w:p>
      <w:r>
        <w:t>Batzer is the closest match to the user’s proposed heterogeneity in earnings profiles. Differentiated worker types are imperfect substitutes, so the tax system changes relative wages in general equilibrium. That mechanism can be interesting, but it should not be added automatically: it requires credible skill-type definitions and substitution elasticities and is unlikely to be identified by tax records alone.</w:t>
      </w:r>
    </w:p>
    <w:p>
      <w:r>
        <w:t>Bottom line from the literature search: a claim that no one has put income history into a heterogeneous-agent lifecycle or OLG tax model would be wrong. The direct quantitative literature is nevertheless sparse, much of the closest history-dependent work remains in working-paper or dissertation form, and none of these papers combines population Australian tax records, actual Australian tax kinks, empirically classified earnings profiles and a menu of administrable partial-averaging rules. That combination is the remaining space.</w:t>
      </w:r>
    </w:p>
    <w:p>
      <w:pPr>
        <w:pStyle w:val="Heading2"/>
      </w:pPr>
      <w:r>
        <w:t>7.3 The broader literature behind the approach</w:t>
      </w:r>
    </w:p>
    <w:p>
      <w:pPr>
        <w:pStyle w:val="Heading3"/>
      </w:pPr>
      <w:r>
        <w:t>Heterogeneous-agent Ramsey taxation</w:t>
      </w:r>
    </w:p>
    <w:p>
      <w:r>
        <w:t>Conesa and Krueger (2006) provide the canonical quantitative framework in which progressive income tax is both distortionary and a substitute for missing insurance markets. Conesa, Kitao and Krueger (2009) add a full OLG structure with permanent ability differences and idiosyncratic risk. Heathcote, Storesletten and Violante (2017) supply a parsimonious two-parameter tax function; their 2020 Journal of Public Economics paper adds age-dependent progressivity, skill investment, ex-ante heterogeneity, wage risk, labour supply, saving and borrowing. This is the natural modelling family for a tractable Australian quantitative exercise.</w:t>
      </w:r>
    </w:p>
    <w:p>
      <w:pPr>
        <w:pStyle w:val="Heading3"/>
      </w:pPr>
      <w:r>
        <w:t>Dynamic optimal taxation and history dependence</w:t>
      </w:r>
    </w:p>
    <w:p>
      <w:r>
        <w:t>The new dynamic public-finance literature—Golosov, Kocherlakota and Tsyvinski; Kocherlakota; Albanesi and Sleet; Farhi and Werning; and subsequent work—shows why an optimal system may condition current wedges on the entire reported-income history when productivity is private information and persistent. This literature is the theoretical reason to consider a tax-history state, but it does not imply that arithmetic averaging is optimal. Past earnings reveal permanent ability, predict future productivity and proxy accumulated resources. Depending on the environment, optimal current tax progressivity with respect to past income can have a different sign from progressivity with respect to current income.</w:t>
      </w:r>
    </w:p>
    <w:p>
      <w:r>
        <w:t>For this paper, the right use of dynamic Mirrlees theory is disciplined interpretation rather than a full mechanism-design solution. Equal averaging, rolling averaging and carryforward threshold capacity are simple, legible restrictions on history dependence. Their welfare performance can be compared with a flexible geometric-weight benchmark to measure how much is lost by administrative simplicity.</w:t>
      </w:r>
    </w:p>
    <w:p>
      <w:pPr>
        <w:pStyle w:val="Heading3"/>
      </w:pPr>
      <w:r>
        <w:t>Age-dependent taxation as a rival policy</w:t>
      </w:r>
    </w:p>
    <w:p>
      <w:r>
        <w:t>Age is observable and highly predictive of the deterministic component of earnings. Erosa and Gervais (2002), Weinzierl (2011), Farhi and Werning (2013) and Heathcote, Storesletten and Violante (2020) show why tax parameters may vary by age and how a simple age tag can capture part of the value of richer dynamic taxes. This is a serious counterfactual for the Australian paper. If most of the measured wedge comes from predictable age–earnings profiles rather than shocks, an age-adjusted annual schedule may achieve much of the benefit without individual tax accounts. The model should therefore compare averaging with a modest age-dependent benchmark, while recognising the political and legal issues of age tagging.</w:t>
      </w:r>
    </w:p>
    <w:p>
      <w:pPr>
        <w:pStyle w:val="Heading3"/>
      </w:pPr>
      <w:r>
        <w:t>Earnings dynamics and heterogeneous profiles</w:t>
      </w:r>
    </w:p>
    <w:p>
      <w:r>
        <w:t>Storesletten, Telmer and Yaron (2004) established the importance of persistent lifecycle risk and partial self-insurance. More recent administrative-data evidence rejects a single linear-Gaussian process. Arellano, Blundell and Bonhomme (2017) allow nonlinear, history-dependent persistence; Guvenen, Karahan, Ozkan and Song (2021) document strong non-normality, age/rank variation, asymmetric persistence and long non-employment spells. Krueger and Wu explicitly import this richer approach into their lifetime-tax calibration. The PLIDA advantage is precisely that Australia can estimate these moments on a population panel rather than inherit a U.S. process.</w:t>
      </w:r>
    </w:p>
    <w:p>
      <w:pPr>
        <w:pStyle w:val="Heading2"/>
      </w:pPr>
      <w:r>
        <w:t>7.4 What the model would add—and what requires a full OLG</w:t>
      </w:r>
    </w:p>
    <w:p>
      <w:r>
        <w:t>A finite lifecycle heterogeneous-agent model and a full OLG general-equilibrium model answer different questions. They should not be treated as synonyms. Most of the economically important questions in this paper do not require endogenous factor prices.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trPr>
        <w:tc>
          <w:tcPr>
            <w:tcW w:type="dxa" w:w="1984"/>
            <w:vAlign w:val="center"/>
            <w:tcMar>
              <w:top w:w="90" w:type="dxa"/>
              <w:start w:w="100" w:type="dxa"/>
              <w:bottom w:w="90" w:type="dxa"/>
              <w:end w:w="100" w:type="dxa"/>
            </w:tcMar>
            <w:shd w:fill="176B87"/>
          </w:tcPr>
          <w:p>
            <w:pPr>
              <w:spacing w:after="0"/>
            </w:pPr>
            <w:r/>
            <w:r>
              <w:rPr>
                <w:b/>
                <w:color w:val="FFFFFF"/>
                <w:sz w:val="16"/>
              </w:rPr>
              <w:t>Question</w:t>
            </w:r>
          </w:p>
        </w:tc>
        <w:tc>
          <w:tcPr>
            <w:tcW w:type="dxa" w:w="1077"/>
            <w:vAlign w:val="center"/>
            <w:tcMar>
              <w:top w:w="90" w:type="dxa"/>
              <w:start w:w="100" w:type="dxa"/>
              <w:bottom w:w="90" w:type="dxa"/>
              <w:end w:w="100" w:type="dxa"/>
            </w:tcMar>
            <w:shd w:fill="176B87"/>
          </w:tcPr>
          <w:p>
            <w:pPr>
              <w:spacing w:after="0"/>
            </w:pPr>
            <w:r/>
            <w:r>
              <w:rPr>
                <w:b/>
                <w:color w:val="FFFFFF"/>
                <w:sz w:val="16"/>
              </w:rPr>
              <w:t>Lifecycle PE</w:t>
            </w:r>
          </w:p>
        </w:tc>
        <w:tc>
          <w:tcPr>
            <w:tcW w:type="dxa" w:w="1191"/>
            <w:vAlign w:val="center"/>
            <w:tcMar>
              <w:top w:w="90" w:type="dxa"/>
              <w:start w:w="100" w:type="dxa"/>
              <w:bottom w:w="90" w:type="dxa"/>
              <w:end w:w="100" w:type="dxa"/>
            </w:tcMar>
            <w:shd w:fill="176B87"/>
          </w:tcPr>
          <w:p>
            <w:pPr>
              <w:spacing w:after="0"/>
            </w:pPr>
            <w:r/>
            <w:r>
              <w:rPr>
                <w:b/>
                <w:color w:val="FFFFFF"/>
                <w:sz w:val="16"/>
              </w:rPr>
              <w:t>Full OLG/GE</w:t>
            </w:r>
          </w:p>
        </w:tc>
        <w:tc>
          <w:tcPr>
            <w:tcW w:type="dxa" w:w="5216"/>
            <w:vAlign w:val="center"/>
            <w:tcMar>
              <w:top w:w="90" w:type="dxa"/>
              <w:start w:w="100" w:type="dxa"/>
              <w:bottom w:w="90" w:type="dxa"/>
              <w:end w:w="100" w:type="dxa"/>
            </w:tcMar>
            <w:shd w:fill="176B87"/>
          </w:tcPr>
          <w:p>
            <w:pPr>
              <w:spacing w:after="0"/>
            </w:pPr>
            <w:r/>
            <w:r>
              <w:rPr>
                <w:b/>
                <w:color w:val="FFFFFF"/>
                <w:sz w:val="16"/>
              </w:rPr>
              <w:t>Interpretation</w:t>
            </w:r>
          </w:p>
        </w:tc>
      </w:tr>
      <w:tr>
        <w:trPr>
          <w:cantSplit/>
        </w:trPr>
        <w:tc>
          <w:tcPr>
            <w:tcW w:type="dxa" w:w="1984"/>
            <w:vAlign w:val="center"/>
            <w:tcMar>
              <w:top w:w="90" w:type="dxa"/>
              <w:start w:w="100" w:type="dxa"/>
              <w:bottom w:w="90" w:type="dxa"/>
              <w:end w:w="100" w:type="dxa"/>
            </w:tcMar>
          </w:tcPr>
          <w:p>
            <w:pPr>
              <w:spacing w:after="0"/>
            </w:pPr>
            <w:r/>
            <w:r>
              <w:rPr>
                <w:b w:val="0"/>
                <w:sz w:val="15"/>
              </w:rPr>
              <w:t>Ex-ante profile heterogeneity</w:t>
            </w:r>
          </w:p>
        </w:tc>
        <w:tc>
          <w:tcPr>
            <w:tcW w:type="dxa" w:w="1077"/>
            <w:vAlign w:val="center"/>
            <w:tcMar>
              <w:top w:w="90" w:type="dxa"/>
              <w:start w:w="100" w:type="dxa"/>
              <w:bottom w:w="90" w:type="dxa"/>
              <w:end w:w="100" w:type="dxa"/>
            </w:tcMar>
          </w:tcPr>
          <w:p>
            <w:pPr>
              <w:spacing w:after="0"/>
            </w:pPr>
            <w:r/>
            <w:r>
              <w:rPr>
                <w:b w:val="0"/>
                <w:sz w:val="15"/>
              </w:rPr>
              <w:t>Yes</w:t>
            </w:r>
          </w:p>
        </w:tc>
        <w:tc>
          <w:tcPr>
            <w:tcW w:type="dxa" w:w="1191"/>
            <w:vAlign w:val="center"/>
            <w:tcMar>
              <w:top w:w="90" w:type="dxa"/>
              <w:start w:w="100" w:type="dxa"/>
              <w:bottom w:w="90" w:type="dxa"/>
              <w:end w:w="100" w:type="dxa"/>
            </w:tcMar>
          </w:tcPr>
          <w:p>
            <w:pPr>
              <w:spacing w:after="0"/>
            </w:pPr>
            <w:r/>
            <w:r>
              <w:rPr>
                <w:b w:val="0"/>
                <w:sz w:val="15"/>
              </w:rPr>
              <w:t>Yes</w:t>
            </w:r>
          </w:p>
        </w:tc>
        <w:tc>
          <w:tcPr>
            <w:tcW w:type="dxa" w:w="5216"/>
            <w:vAlign w:val="center"/>
            <w:tcMar>
              <w:top w:w="90" w:type="dxa"/>
              <w:start w:w="100" w:type="dxa"/>
              <w:bottom w:w="90" w:type="dxa"/>
              <w:end w:w="100" w:type="dxa"/>
            </w:tcMar>
          </w:tcPr>
          <w:p>
            <w:pPr>
              <w:spacing w:after="0"/>
            </w:pPr>
            <w:r/>
            <w:r>
              <w:rPr>
                <w:b w:val="0"/>
                <w:sz w:val="15"/>
              </w:rPr>
              <w:t>A lifecycle model can compare stable, steep, interrupted and lumpy paths while holding expected resources fixed.</w:t>
            </w:r>
          </w:p>
        </w:tc>
      </w:tr>
      <w:tr>
        <w:trPr>
          <w:cantSplit/>
        </w:trPr>
        <w:tc>
          <w:tcPr>
            <w:tcW w:type="dxa" w:w="1984"/>
            <w:vAlign w:val="center"/>
            <w:tcMar>
              <w:top w:w="90" w:type="dxa"/>
              <w:start w:w="100" w:type="dxa"/>
              <w:bottom w:w="90" w:type="dxa"/>
              <w:end w:w="100" w:type="dxa"/>
            </w:tcMar>
            <w:shd w:fill="F1F6F8"/>
          </w:tcPr>
          <w:p>
            <w:pPr>
              <w:spacing w:after="0"/>
            </w:pPr>
            <w:r/>
            <w:r>
              <w:rPr>
                <w:b w:val="0"/>
                <w:sz w:val="15"/>
              </w:rPr>
              <w:t>Idiosyncratic earnings risk and insurance</w:t>
            </w:r>
          </w:p>
        </w:tc>
        <w:tc>
          <w:tcPr>
            <w:tcW w:type="dxa" w:w="1077"/>
            <w:vAlign w:val="center"/>
            <w:tcMar>
              <w:top w:w="90" w:type="dxa"/>
              <w:start w:w="100" w:type="dxa"/>
              <w:bottom w:w="90" w:type="dxa"/>
              <w:end w:w="100" w:type="dxa"/>
            </w:tcMar>
            <w:shd w:fill="F1F6F8"/>
          </w:tcPr>
          <w:p>
            <w:pPr>
              <w:spacing w:after="0"/>
            </w:pPr>
            <w:r/>
            <w:r>
              <w:rPr>
                <w:b w:val="0"/>
                <w:sz w:val="15"/>
              </w:rPr>
              <w:t>Yes</w:t>
            </w:r>
          </w:p>
        </w:tc>
        <w:tc>
          <w:tcPr>
            <w:tcW w:type="dxa" w:w="1191"/>
            <w:vAlign w:val="center"/>
            <w:tcMar>
              <w:top w:w="90" w:type="dxa"/>
              <w:start w:w="100" w:type="dxa"/>
              <w:bottom w:w="90" w:type="dxa"/>
              <w:end w:w="100" w:type="dxa"/>
            </w:tcMar>
            <w:shd w:fill="F1F6F8"/>
          </w:tcPr>
          <w:p>
            <w:pPr>
              <w:spacing w:after="0"/>
            </w:pPr>
            <w:r/>
            <w:r>
              <w:rPr>
                <w:b w:val="0"/>
                <w:sz w:val="15"/>
              </w:rPr>
              <w:t>Yes</w:t>
            </w:r>
          </w:p>
        </w:tc>
        <w:tc>
          <w:tcPr>
            <w:tcW w:type="dxa" w:w="5216"/>
            <w:vAlign w:val="center"/>
            <w:tcMar>
              <w:top w:w="90" w:type="dxa"/>
              <w:start w:w="100" w:type="dxa"/>
              <w:bottom w:w="90" w:type="dxa"/>
              <w:end w:w="100" w:type="dxa"/>
            </w:tcMar>
            <w:shd w:fill="F1F6F8"/>
          </w:tcPr>
          <w:p>
            <w:pPr>
              <w:spacing w:after="0"/>
            </w:pPr>
            <w:r/>
            <w:r>
              <w:rPr>
                <w:b w:val="0"/>
                <w:sz w:val="15"/>
              </w:rPr>
              <w:t>Needs shocks, consumption and welfare—not overlapping cohorts.</w:t>
            </w:r>
          </w:p>
        </w:tc>
      </w:tr>
      <w:tr>
        <w:trPr>
          <w:cantSplit/>
        </w:trPr>
        <w:tc>
          <w:tcPr>
            <w:tcW w:type="dxa" w:w="1984"/>
            <w:vAlign w:val="center"/>
            <w:tcMar>
              <w:top w:w="90" w:type="dxa"/>
              <w:start w:w="100" w:type="dxa"/>
              <w:bottom w:w="90" w:type="dxa"/>
              <w:end w:w="100" w:type="dxa"/>
            </w:tcMar>
          </w:tcPr>
          <w:p>
            <w:pPr>
              <w:spacing w:after="0"/>
            </w:pPr>
            <w:r/>
            <w:r>
              <w:rPr>
                <w:b w:val="0"/>
                <w:sz w:val="15"/>
              </w:rPr>
              <w:t>Saving, borrowing constraints and liquidity</w:t>
            </w:r>
          </w:p>
        </w:tc>
        <w:tc>
          <w:tcPr>
            <w:tcW w:type="dxa" w:w="1077"/>
            <w:vAlign w:val="center"/>
            <w:tcMar>
              <w:top w:w="90" w:type="dxa"/>
              <w:start w:w="100" w:type="dxa"/>
              <w:bottom w:w="90" w:type="dxa"/>
              <w:end w:w="100" w:type="dxa"/>
            </w:tcMar>
          </w:tcPr>
          <w:p>
            <w:pPr>
              <w:spacing w:after="0"/>
            </w:pPr>
            <w:r/>
            <w:r>
              <w:rPr>
                <w:b w:val="0"/>
                <w:sz w:val="15"/>
              </w:rPr>
              <w:t>Yes</w:t>
            </w:r>
          </w:p>
        </w:tc>
        <w:tc>
          <w:tcPr>
            <w:tcW w:type="dxa" w:w="1191"/>
            <w:vAlign w:val="center"/>
            <w:tcMar>
              <w:top w:w="90" w:type="dxa"/>
              <w:start w:w="100" w:type="dxa"/>
              <w:bottom w:w="90" w:type="dxa"/>
              <w:end w:w="100" w:type="dxa"/>
            </w:tcMar>
          </w:tcPr>
          <w:p>
            <w:pPr>
              <w:spacing w:after="0"/>
            </w:pPr>
            <w:r/>
            <w:r>
              <w:rPr>
                <w:b w:val="0"/>
                <w:sz w:val="15"/>
              </w:rPr>
              <w:t>Yes</w:t>
            </w:r>
          </w:p>
        </w:tc>
        <w:tc>
          <w:tcPr>
            <w:tcW w:type="dxa" w:w="5216"/>
            <w:vAlign w:val="center"/>
            <w:tcMar>
              <w:top w:w="90" w:type="dxa"/>
              <w:start w:w="100" w:type="dxa"/>
              <w:bottom w:w="90" w:type="dxa"/>
              <w:end w:w="100" w:type="dxa"/>
            </w:tcMar>
          </w:tcPr>
          <w:p>
            <w:pPr>
              <w:spacing w:after="0"/>
            </w:pPr>
            <w:r/>
            <w:r>
              <w:rPr>
                <w:b w:val="0"/>
                <w:sz w:val="15"/>
              </w:rPr>
              <w:t>Central because private self-insurance may crowd out the value of averaging.</w:t>
            </w:r>
          </w:p>
        </w:tc>
      </w:tr>
      <w:tr>
        <w:trPr>
          <w:cantSplit/>
        </w:trPr>
        <w:tc>
          <w:tcPr>
            <w:tcW w:type="dxa" w:w="1984"/>
            <w:vAlign w:val="center"/>
            <w:tcMar>
              <w:top w:w="90" w:type="dxa"/>
              <w:start w:w="100" w:type="dxa"/>
              <w:bottom w:w="90" w:type="dxa"/>
              <w:end w:w="100" w:type="dxa"/>
            </w:tcMar>
            <w:shd w:fill="F1F6F8"/>
          </w:tcPr>
          <w:p>
            <w:pPr>
              <w:spacing w:after="0"/>
            </w:pPr>
            <w:r/>
            <w:r>
              <w:rPr>
                <w:b w:val="0"/>
                <w:sz w:val="15"/>
              </w:rPr>
              <w:t>Labour supply or realisation timing</w:t>
            </w:r>
          </w:p>
        </w:tc>
        <w:tc>
          <w:tcPr>
            <w:tcW w:type="dxa" w:w="1077"/>
            <w:vAlign w:val="center"/>
            <w:tcMar>
              <w:top w:w="90" w:type="dxa"/>
              <w:start w:w="100" w:type="dxa"/>
              <w:bottom w:w="90" w:type="dxa"/>
              <w:end w:w="100" w:type="dxa"/>
            </w:tcMar>
            <w:shd w:fill="F1F6F8"/>
          </w:tcPr>
          <w:p>
            <w:pPr>
              <w:spacing w:after="0"/>
            </w:pPr>
            <w:r/>
            <w:r>
              <w:rPr>
                <w:b w:val="0"/>
                <w:sz w:val="15"/>
              </w:rPr>
              <w:t>Yes</w:t>
            </w:r>
          </w:p>
        </w:tc>
        <w:tc>
          <w:tcPr>
            <w:tcW w:type="dxa" w:w="1191"/>
            <w:vAlign w:val="center"/>
            <w:tcMar>
              <w:top w:w="90" w:type="dxa"/>
              <w:start w:w="100" w:type="dxa"/>
              <w:bottom w:w="90" w:type="dxa"/>
              <w:end w:w="100" w:type="dxa"/>
            </w:tcMar>
            <w:shd w:fill="F1F6F8"/>
          </w:tcPr>
          <w:p>
            <w:pPr>
              <w:spacing w:after="0"/>
            </w:pPr>
            <w:r/>
            <w:r>
              <w:rPr>
                <w:b w:val="0"/>
                <w:sz w:val="15"/>
              </w:rPr>
              <w:t>Yes</w:t>
            </w:r>
          </w:p>
        </w:tc>
        <w:tc>
          <w:tcPr>
            <w:tcW w:type="dxa" w:w="5216"/>
            <w:vAlign w:val="center"/>
            <w:tcMar>
              <w:top w:w="90" w:type="dxa"/>
              <w:start w:w="100" w:type="dxa"/>
              <w:bottom w:w="90" w:type="dxa"/>
              <w:end w:w="100" w:type="dxa"/>
            </w:tcMar>
            <w:shd w:fill="F1F6F8"/>
          </w:tcPr>
          <w:p>
            <w:pPr>
              <w:spacing w:after="0"/>
            </w:pPr>
            <w:r/>
            <w:r>
              <w:rPr>
                <w:b w:val="0"/>
                <w:sz w:val="15"/>
              </w:rPr>
              <w:t>Can be added in partial equilibrium using exogenous wages/returns.</w:t>
            </w:r>
          </w:p>
        </w:tc>
      </w:tr>
      <w:tr>
        <w:trPr>
          <w:cantSplit/>
        </w:trPr>
        <w:tc>
          <w:tcPr>
            <w:tcW w:type="dxa" w:w="1984"/>
            <w:vAlign w:val="center"/>
            <w:tcMar>
              <w:top w:w="90" w:type="dxa"/>
              <w:start w:w="100" w:type="dxa"/>
              <w:bottom w:w="90" w:type="dxa"/>
              <w:end w:w="100" w:type="dxa"/>
            </w:tcMar>
          </w:tcPr>
          <w:p>
            <w:pPr>
              <w:spacing w:after="0"/>
            </w:pPr>
            <w:r/>
            <w:r>
              <w:rPr>
                <w:b w:val="0"/>
                <w:sz w:val="15"/>
              </w:rPr>
              <w:t>Current versus newborn cohorts</w:t>
            </w:r>
          </w:p>
        </w:tc>
        <w:tc>
          <w:tcPr>
            <w:tcW w:type="dxa" w:w="1077"/>
            <w:vAlign w:val="center"/>
            <w:tcMar>
              <w:top w:w="90" w:type="dxa"/>
              <w:start w:w="100" w:type="dxa"/>
              <w:bottom w:w="90" w:type="dxa"/>
              <w:end w:w="100" w:type="dxa"/>
            </w:tcMar>
          </w:tcPr>
          <w:p>
            <w:pPr>
              <w:spacing w:after="0"/>
            </w:pPr>
            <w:r/>
            <w:r>
              <w:rPr>
                <w:b w:val="0"/>
                <w:sz w:val="15"/>
              </w:rPr>
              <w:t>Limited</w:t>
            </w:r>
          </w:p>
        </w:tc>
        <w:tc>
          <w:tcPr>
            <w:tcW w:type="dxa" w:w="1191"/>
            <w:vAlign w:val="center"/>
            <w:tcMar>
              <w:top w:w="90" w:type="dxa"/>
              <w:start w:w="100" w:type="dxa"/>
              <w:bottom w:w="90" w:type="dxa"/>
              <w:end w:w="100" w:type="dxa"/>
            </w:tcMar>
          </w:tcPr>
          <w:p>
            <w:pPr>
              <w:spacing w:after="0"/>
            </w:pPr>
            <w:r/>
            <w:r>
              <w:rPr>
                <w:b w:val="0"/>
                <w:sz w:val="15"/>
              </w:rPr>
              <w:t>Yes</w:t>
            </w:r>
          </w:p>
        </w:tc>
        <w:tc>
          <w:tcPr>
            <w:tcW w:type="dxa" w:w="5216"/>
            <w:vAlign w:val="center"/>
            <w:tcMar>
              <w:top w:w="90" w:type="dxa"/>
              <w:start w:w="100" w:type="dxa"/>
              <w:bottom w:w="90" w:type="dxa"/>
              <w:end w:w="100" w:type="dxa"/>
            </w:tcMar>
          </w:tcPr>
          <w:p>
            <w:pPr>
              <w:spacing w:after="0"/>
            </w:pPr>
            <w:r/>
            <w:r>
              <w:rPr>
                <w:b w:val="0"/>
                <w:sz w:val="15"/>
              </w:rPr>
              <w:t>A true transition model is needed to show who bears legacy tax-account balances and rate adjustments.</w:t>
            </w:r>
          </w:p>
        </w:tc>
      </w:tr>
      <w:tr>
        <w:trPr>
          <w:cantSplit/>
        </w:trPr>
        <w:tc>
          <w:tcPr>
            <w:tcW w:type="dxa" w:w="1984"/>
            <w:vAlign w:val="center"/>
            <w:tcMar>
              <w:top w:w="90" w:type="dxa"/>
              <w:start w:w="100" w:type="dxa"/>
              <w:bottom w:w="90" w:type="dxa"/>
              <w:end w:w="100" w:type="dxa"/>
            </w:tcMar>
            <w:shd w:fill="F1F6F8"/>
          </w:tcPr>
          <w:p>
            <w:pPr>
              <w:spacing w:after="0"/>
            </w:pPr>
            <w:r/>
            <w:r>
              <w:rPr>
                <w:b w:val="0"/>
                <w:sz w:val="15"/>
              </w:rPr>
              <w:t>Intergenerational fiscal incidence</w:t>
            </w:r>
          </w:p>
        </w:tc>
        <w:tc>
          <w:tcPr>
            <w:tcW w:type="dxa" w:w="1077"/>
            <w:vAlign w:val="center"/>
            <w:tcMar>
              <w:top w:w="90" w:type="dxa"/>
              <w:start w:w="100" w:type="dxa"/>
              <w:bottom w:w="90" w:type="dxa"/>
              <w:end w:w="100" w:type="dxa"/>
            </w:tcMar>
            <w:shd w:fill="F1F6F8"/>
          </w:tcPr>
          <w:p>
            <w:pPr>
              <w:spacing w:after="0"/>
            </w:pPr>
            <w:r/>
            <w:r>
              <w:rPr>
                <w:b w:val="0"/>
                <w:sz w:val="15"/>
              </w:rPr>
              <w:t>No</w:t>
            </w:r>
          </w:p>
        </w:tc>
        <w:tc>
          <w:tcPr>
            <w:tcW w:type="dxa" w:w="1191"/>
            <w:vAlign w:val="center"/>
            <w:tcMar>
              <w:top w:w="90" w:type="dxa"/>
              <w:start w:w="100" w:type="dxa"/>
              <w:bottom w:w="90" w:type="dxa"/>
              <w:end w:w="100" w:type="dxa"/>
            </w:tcMar>
            <w:shd w:fill="F1F6F8"/>
          </w:tcPr>
          <w:p>
            <w:pPr>
              <w:spacing w:after="0"/>
            </w:pPr>
            <w:r/>
            <w:r>
              <w:rPr>
                <w:b w:val="0"/>
                <w:sz w:val="15"/>
              </w:rPr>
              <w:t>Yes</w:t>
            </w:r>
          </w:p>
        </w:tc>
        <w:tc>
          <w:tcPr>
            <w:tcW w:type="dxa" w:w="5216"/>
            <w:vAlign w:val="center"/>
            <w:tcMar>
              <w:top w:w="90" w:type="dxa"/>
              <w:start w:w="100" w:type="dxa"/>
              <w:bottom w:w="90" w:type="dxa"/>
              <w:end w:w="100" w:type="dxa"/>
            </w:tcMar>
            <w:shd w:fill="F1F6F8"/>
          </w:tcPr>
          <w:p>
            <w:pPr>
              <w:spacing w:after="0"/>
            </w:pPr>
            <w:r/>
            <w:r>
              <w:rPr>
                <w:b w:val="0"/>
                <w:sz w:val="15"/>
              </w:rPr>
              <w:t>Requires overlapping cohorts, an explicit government balance sheet and a social-welfare criterion across cohorts.</w:t>
            </w:r>
          </w:p>
        </w:tc>
      </w:tr>
      <w:tr>
        <w:trPr>
          <w:cantSplit/>
        </w:trPr>
        <w:tc>
          <w:tcPr>
            <w:tcW w:type="dxa" w:w="1984"/>
            <w:vAlign w:val="center"/>
            <w:tcMar>
              <w:top w:w="90" w:type="dxa"/>
              <w:start w:w="100" w:type="dxa"/>
              <w:bottom w:w="90" w:type="dxa"/>
              <w:end w:w="100" w:type="dxa"/>
            </w:tcMar>
          </w:tcPr>
          <w:p>
            <w:pPr>
              <w:spacing w:after="0"/>
            </w:pPr>
            <w:r/>
            <w:r>
              <w:rPr>
                <w:b w:val="0"/>
                <w:sz w:val="15"/>
              </w:rPr>
              <w:t>Wage, interest-rate and capital feedback</w:t>
            </w:r>
          </w:p>
        </w:tc>
        <w:tc>
          <w:tcPr>
            <w:tcW w:type="dxa" w:w="1077"/>
            <w:vAlign w:val="center"/>
            <w:tcMar>
              <w:top w:w="90" w:type="dxa"/>
              <w:start w:w="100" w:type="dxa"/>
              <w:bottom w:w="90" w:type="dxa"/>
              <w:end w:w="100" w:type="dxa"/>
            </w:tcMar>
          </w:tcPr>
          <w:p>
            <w:pPr>
              <w:spacing w:after="0"/>
            </w:pPr>
            <w:r/>
            <w:r>
              <w:rPr>
                <w:b w:val="0"/>
                <w:sz w:val="15"/>
              </w:rPr>
              <w:t>No</w:t>
            </w:r>
          </w:p>
        </w:tc>
        <w:tc>
          <w:tcPr>
            <w:tcW w:type="dxa" w:w="1191"/>
            <w:vAlign w:val="center"/>
            <w:tcMar>
              <w:top w:w="90" w:type="dxa"/>
              <w:start w:w="100" w:type="dxa"/>
              <w:bottom w:w="90" w:type="dxa"/>
              <w:end w:w="100" w:type="dxa"/>
            </w:tcMar>
          </w:tcPr>
          <w:p>
            <w:pPr>
              <w:spacing w:after="0"/>
            </w:pPr>
            <w:r/>
            <w:r>
              <w:rPr>
                <w:b w:val="0"/>
                <w:sz w:val="15"/>
              </w:rPr>
              <w:t>Yes</w:t>
            </w:r>
          </w:p>
        </w:tc>
        <w:tc>
          <w:tcPr>
            <w:tcW w:type="dxa" w:w="5216"/>
            <w:vAlign w:val="center"/>
            <w:tcMar>
              <w:top w:w="90" w:type="dxa"/>
              <w:start w:w="100" w:type="dxa"/>
              <w:bottom w:w="90" w:type="dxa"/>
              <w:end w:w="100" w:type="dxa"/>
            </w:tcMar>
          </w:tcPr>
          <w:p>
            <w:pPr>
              <w:spacing w:after="0"/>
            </w:pPr>
            <w:r/>
            <w:r>
              <w:rPr>
                <w:b w:val="0"/>
                <w:sz w:val="15"/>
              </w:rPr>
              <w:t>Requires production and market clearing; useful only if it changes incidence or policy rankings.</w:t>
            </w:r>
          </w:p>
        </w:tc>
      </w:tr>
      <w:tr>
        <w:trPr>
          <w:cantSplit/>
        </w:trPr>
        <w:tc>
          <w:tcPr>
            <w:tcW w:type="dxa" w:w="1984"/>
            <w:vAlign w:val="center"/>
            <w:tcMar>
              <w:top w:w="90" w:type="dxa"/>
              <w:start w:w="100" w:type="dxa"/>
              <w:bottom w:w="90" w:type="dxa"/>
              <w:end w:w="100" w:type="dxa"/>
            </w:tcMar>
            <w:shd w:fill="F1F6F8"/>
          </w:tcPr>
          <w:p>
            <w:pPr>
              <w:spacing w:after="0"/>
            </w:pPr>
            <w:r/>
            <w:r>
              <w:rPr>
                <w:b w:val="0"/>
                <w:sz w:val="15"/>
              </w:rPr>
              <w:t>Political feasibility of transition</w:t>
            </w:r>
          </w:p>
        </w:tc>
        <w:tc>
          <w:tcPr>
            <w:tcW w:type="dxa" w:w="1077"/>
            <w:vAlign w:val="center"/>
            <w:tcMar>
              <w:top w:w="90" w:type="dxa"/>
              <w:start w:w="100" w:type="dxa"/>
              <w:bottom w:w="90" w:type="dxa"/>
              <w:end w:w="100" w:type="dxa"/>
            </w:tcMar>
            <w:shd w:fill="F1F6F8"/>
          </w:tcPr>
          <w:p>
            <w:pPr>
              <w:spacing w:after="0"/>
            </w:pPr>
            <w:r/>
            <w:r>
              <w:rPr>
                <w:b w:val="0"/>
                <w:sz w:val="15"/>
              </w:rPr>
              <w:t>Limited</w:t>
            </w:r>
          </w:p>
        </w:tc>
        <w:tc>
          <w:tcPr>
            <w:tcW w:type="dxa" w:w="1191"/>
            <w:vAlign w:val="center"/>
            <w:tcMar>
              <w:top w:w="90" w:type="dxa"/>
              <w:start w:w="100" w:type="dxa"/>
              <w:bottom w:w="90" w:type="dxa"/>
              <w:end w:w="100" w:type="dxa"/>
            </w:tcMar>
            <w:shd w:fill="F1F6F8"/>
          </w:tcPr>
          <w:p>
            <w:pPr>
              <w:spacing w:after="0"/>
            </w:pPr>
            <w:r/>
            <w:r>
              <w:rPr>
                <w:b w:val="0"/>
                <w:sz w:val="15"/>
              </w:rPr>
              <w:t>Yes</w:t>
            </w:r>
          </w:p>
        </w:tc>
        <w:tc>
          <w:tcPr>
            <w:tcW w:type="dxa" w:w="5216"/>
            <w:vAlign w:val="center"/>
            <w:tcMar>
              <w:top w:w="90" w:type="dxa"/>
              <w:start w:w="100" w:type="dxa"/>
              <w:bottom w:w="90" w:type="dxa"/>
              <w:end w:w="100" w:type="dxa"/>
            </w:tcMar>
            <w:shd w:fill="F1F6F8"/>
          </w:tcPr>
          <w:p>
            <w:pPr>
              <w:spacing w:after="0"/>
            </w:pPr>
            <w:r/>
            <w:r>
              <w:rPr>
                <w:b w:val="0"/>
                <w:sz w:val="15"/>
              </w:rPr>
              <w:t>Needs cohort-specific gains/losses and possibly compensation, not only a new steady state.</w:t>
            </w:r>
          </w:p>
        </w:tc>
      </w:tr>
    </w:tbl>
    <w:p>
      <w:r>
        <w:t>The correct baseline is therefore a partial-equilibrium lifecycle model with overlapping cohorts used only for accounting if convenient. Move to market-clearing OLG general equilibrium only after the baseline shows a nontrivial mechanism and the authors can articulate why wages, interest rates or cross-cohort budgets may reverse the ranking. General equilibrium is not a free robustness check; it changes the welfare experiment.</w:t>
      </w:r>
    </w:p>
    <w:p>
      <w:pPr>
        <w:pStyle w:val="Heading2"/>
      </w:pPr>
      <w:r>
        <w:t>7.5 Recommended model architecture</w:t>
      </w:r>
    </w:p>
    <w:p>
      <w:pPr>
        <w:pStyle w:val="Heading3"/>
      </w:pPr>
      <w:r>
        <w:t>Demography, timing and household problem</w:t>
      </w:r>
    </w:p>
    <w:p>
      <w:r>
        <w:t>Let individuals enter at age j = 25, work until a retirement age that can be fixed initially, and survive to a maximum age. A person draws a permanent earnings-profile type θ at entry and then faces persistent, transitory and non-employment innovations. In a full OLG version, cohorts born in different calendar years coexist and face the prevailing tax schedule, prices and transition rule.</w:t>
      </w:r>
    </w:p>
    <w:p>
      <w:r>
        <w:t>A useful earnings equation is y_j = w · exp[m_j(θ) + z_j + ε_j] · h_j, supplemented by a discrete employment/participation state. The deterministic profile m_j(θ) captures differences in level and slope; z_j is persistent; ε_j is transitory; and h_j is hours or an intensive-margin choice. Zero earnings should be a genuine state rather than a tiny log value. For business and capital-gain income, use separate source processes or a lumpy realisation state rather than pretending all taxable income is a wage.</w:t>
      </w:r>
    </w:p>
    <w:p>
      <w:r>
        <w:t>The individual state can be written s_j = (j, θ, z_j, e_j, a_j, H_j, x_j), where a_j is liquid wealth, H_j is the tax-history state and x_j contains tax-relevant household or income-source circumstances. The budget constraint is:</w:t>
      </w:r>
    </w:p>
    <w:p>
      <w:r>
        <w:t>a_{j+1} = (1+r)a_j + y_j − L_j^p(y_j,H_j,x_j) + b_j(x_j) − c_j,     a_{j+1} ≥ ā.</w:t>
      </w:r>
    </w:p>
    <w:p>
      <w:r>
        <w:t>Preferences can use CRRA utility over consumption and a standard intensive-margin disutility of hours, with an optional fixed cost for participation. Begin with exogenous earnings and endogenous saving; then add hours and, only if empirically defensible, a realisation-timing choice for business or capital-gain income. This sequence shows which result is accounting, insurance, labour response or timing response.</w:t>
      </w:r>
    </w:p>
    <w:p>
      <w:pPr>
        <w:pStyle w:val="Heading3"/>
      </w:pPr>
      <w:r>
        <w:t>Earnings-profile types</w:t>
      </w:r>
    </w:p>
    <w:p>
      <w:r>
        <w:t>Permanent types should capture economically interpretable differences in expected profiles, not merely arbitrary deciles of realised lifetime income. A practical first pass is four to six types: stable employee; steep career-growth profile; low/flat profile; career-interrupted or care-related profile; self-employed or business-income profile; and a lumpy capital-gain/retirement-settlement profile if that income is in scope. Types can be estimated by a finite-mixture or grouped-profile model and related ex post to sex, education, industry, occupation, parenthood and income-source shares.</w:t>
      </w:r>
    </w:p>
    <w:p>
      <w:r>
        <w:t>Avoid defining the policy state using a person’s realised future lifetime rank: an administrator cannot know that rank when current tax is assessed, and doing so would leak future information into the simulation. It is acceptable to use full paths to estimate latent permanent types for calibration, provided the simulated tax rule itself conditions only on observed history and the welfare exercise integrates over uncertainty that was unresolved at entry.</w:t>
      </w:r>
    </w:p>
    <w:p>
      <w:pPr>
        <w:pStyle w:val="Heading3"/>
      </w:pPr>
      <w:r>
        <w:t>Tax-history state and policy rules</w:t>
      </w:r>
    </w:p>
    <w:p>
      <w:r>
        <w:t>The history state must be tailored to the policy rather than storing every prior observation in every run. For a cumulative rule, H_j can be indexed cumulative earnings and the tax account’s previously assessed liability. For a geometric rule, one recursive weighted average is sufficient. For an n-year rolling rule, store the last n−1 relevant incomes or a small shift register. For carryforward threshold capacity, store the unused indexed balance.</w:t>
      </w:r>
    </w:p>
    <w:p>
      <w:r>
        <w:t>Compare at least the following tax rules under a common resource and budget convention:</w:t>
      </w:r>
    </w:p>
    <w:p>
      <w:pPr>
        <w:pStyle w:val="ListBullet"/>
      </w:pPr>
      <w:r>
        <w:t>Annual Australian assessment: the contemporaneous net liability schedule, including the tax-free threshold and the principal offsets/levies responsible for the empirical wedge.</w:t>
      </w:r>
    </w:p>
    <w:p>
      <w:pPr>
        <w:pStyle w:val="ListBullet"/>
      </w:pPr>
      <w:r>
        <w:t>Cumulative Vickrey/Krueger–Wu account: current tax is the increment in the liability attached to indexed cumulative earnings; any negative increment is an explicit refund or account credit.</w:t>
      </w:r>
    </w:p>
    <w:p>
      <w:pPr>
        <w:pStyle w:val="ListBullet"/>
      </w:pPr>
      <w:r>
        <w:t>Rolling averaging: two-, four-, five- and ten-year backward-looking windows, including the formula used for primary producers or special professionals as an institutional benchmark.</w:t>
      </w:r>
    </w:p>
    <w:p>
      <w:pPr>
        <w:pStyle w:val="ListBullet"/>
      </w:pPr>
      <w:r>
        <w:t>Carryforward tax-free capacity: a capped, indexed account for unused threshold or bracket capacity, targeted at the lower-income mechanism identified in the data.</w:t>
      </w:r>
    </w:p>
    <w:p>
      <w:pPr>
        <w:pStyle w:val="ListBullet"/>
      </w:pPr>
      <w:r>
        <w:t>Flexible history benchmark: a geometric weight on prior earnings, chosen to maximise welfare within a restricted family. This measures the cost of imposing equal or short-window administrative weights.</w:t>
      </w:r>
    </w:p>
    <w:p>
      <w:pPr>
        <w:pStyle w:val="ListBullet"/>
      </w:pPr>
      <w:r>
        <w:t>Age-adjusted annual schedule: a restrained rival policy showing whether predictable lifecycle profiles, rather than shocks, are doing the work.</w:t>
      </w:r>
    </w:p>
    <w:p>
      <w:r>
        <w:t>Every current liability must be measurable from current and past information. An ex-post equalised path may remain in the paper as an accounting bound, but it is not one of the implementable policies unless the model specifies later settlement, interest, default and liquidity.</w:t>
      </w:r>
    </w:p>
    <w:p>
      <w:pPr>
        <w:pStyle w:val="Heading3"/>
      </w:pPr>
      <w:r>
        <w:t>Australian tax and transfer environment</w:t>
      </w:r>
    </w:p>
    <w:p>
      <w:r>
        <w:t>The structural schedule should reproduce the actual local kinks that drive the data rather than rely only on a smooth U.S.-style tax function. A defensible baseline includes personal rates and thresholds, the tax-free threshold, the principal low-income offset, the Medicare levy/phase-in and the treatment of losses relevant to the selected income concept. Transfers can initially be a parsimonious function of household circumstances, but the paper must state whether welfare is individual or household and whether spouses pool consumption. Because Australian income tax is individual while much of the transfer system is family based, silently using a representative “household tax unit” would misstate the institution.</w:t>
      </w:r>
    </w:p>
    <w:p>
      <w:r>
        <w:t>Capital gains and business income require a scope decision. If included, model their special tax treatment and endogenous timing separately; if excluded, say that the structural welfare result concerns labour/business earnings and keep capital-gain incidence descriptive. A single reduced-form earnings shock should not be made to represent job loss, career growth, business losses and voluntary asset realisation simultaneously.</w:t>
      </w:r>
    </w:p>
    <w:p>
      <w:pPr>
        <w:pStyle w:val="Heading2"/>
      </w:pPr>
      <w:r>
        <w:t>7.6 Government budget, welfare and transition</w:t>
      </w:r>
    </w:p>
    <w:p>
      <w:pPr>
        <w:pStyle w:val="Heading3"/>
      </w:pPr>
      <w:r>
        <w:t>Baseline fiscal closure</w:t>
      </w:r>
    </w:p>
    <w:p>
      <w:r>
        <w:t>Use a within-cohort present-value budget for the headline welfare comparison. For each policy p, expected discounted net tax from an entering cohort should equal the benchmark amount, after including refunds, transfers and any terminal settlement. This isolates the insurance and efficiency effects of the assessment period from an unlabelled transfer between generations. Preserve the broad vertical profile through a common liability factor or a carefully chosen schedule adjustment, and show the demogrant closure as sensitivity.</w:t>
      </w:r>
    </w:p>
    <w:p>
      <w:pPr>
        <w:pStyle w:val="Heading3"/>
      </w:pPr>
      <w:r>
        <w:t>OLG extension and transition</w:t>
      </w:r>
    </w:p>
    <w:p>
      <w:r>
        <w:t>If the full OLG extension is built, report three conceptually separate objects: the new stationary equilibrium; the transition from the current annual system; and welfare by birth cohort and current age. Existing taxpayers have no accumulated averaging account, so the model needs a grandfathering or opening-balance rule. The government may issue debt to smooth transitional cash flow, but its terminal debt or surplus must be fixed. A policy that benefits newborns in the new steady state can still impose losses on older transitional cohorts.</w:t>
      </w:r>
    </w:p>
    <w:p>
      <w:r>
        <w:t>Do not optimise a stationary cross-cohort policy and interpret the result as pure insurance. Show separately the within-cohort closure, the period-government-budget closure, and the actual transition. If the large welfare effect appears only under the period closure, describe it as intergenerational redistribution rather than a gain from averaging.</w:t>
      </w:r>
    </w:p>
    <w:p>
      <w:pPr>
        <w:pStyle w:val="Heading3"/>
      </w:pPr>
      <w:r>
        <w:t>Welfare and decomposition</w:t>
      </w:r>
    </w:p>
    <w:p>
      <w:r>
        <w:t>The main welfare statistic should be consumption-equivalent variation for a newborn before profile type and earnings shocks are realised, followed by CEV conditional on profile type. Also report ex-post gains and losses for people of different ages entering the reform. Decompose the result through controlled counterfactuals into:</w:t>
      </w:r>
    </w:p>
    <w:p>
      <w:pPr>
        <w:pStyle w:val="ListBullet"/>
      </w:pPr>
      <w:r>
        <w:t>redistribution across permanent profile types;</w:t>
      </w:r>
    </w:p>
    <w:p>
      <w:pPr>
        <w:pStyle w:val="ListBullet"/>
      </w:pPr>
      <w:r>
        <w:t>insurance against persistent, transitory and non-employment shocks;</w:t>
      </w:r>
    </w:p>
    <w:p>
      <w:pPr>
        <w:pStyle w:val="ListBullet"/>
      </w:pPr>
      <w:r>
        <w:t>liquidity and borrowing-constraint effects;</w:t>
      </w:r>
    </w:p>
    <w:p>
      <w:pPr>
        <w:pStyle w:val="ListBullet"/>
      </w:pPr>
      <w:r>
        <w:t>the allocation of hours across ages and wage states;</w:t>
      </w:r>
    </w:p>
    <w:p>
      <w:pPr>
        <w:pStyle w:val="ListBullet"/>
      </w:pPr>
      <w:r>
        <w:t>income-realisation or reporting responses, if modelled;</w:t>
      </w:r>
    </w:p>
    <w:p>
      <w:pPr>
        <w:pStyle w:val="ListBullet"/>
      </w:pPr>
      <w:r>
        <w:t>general-equilibrium wage and interest-rate effects; and</w:t>
      </w:r>
    </w:p>
    <w:p>
      <w:pPr>
        <w:pStyle w:val="ListBullet"/>
      </w:pPr>
      <w:r>
        <w:t>intergenerational transfers created by the fiscal closure and transition.</w:t>
      </w:r>
    </w:p>
    <w:p>
      <w:r>
        <w:t>Run “no saving” and “with saving” versions early. If unconstrained households privately smooth the relevant shocks, the welfare value of a tax account may be much smaller than the tax-liability gap. Conversely, refunds that arrive after a low-income event can be worth less to a constrained household than contemporaneous annual progressivity. Timing of cash, not only present-value tax, is part of welfare.</w:t>
      </w:r>
    </w:p>
    <w:p>
      <w:pPr>
        <w:pStyle w:val="Heading2"/>
      </w:pPr>
      <w:r>
        <w:t>7.7 Estimation and calibration from Australian data</w:t>
      </w:r>
    </w:p>
    <w:p>
      <w:r>
        <w:t>The model earns its place in this paper only if the administrative data discipline the heterogeneity that matters for averaging. The calibration should be designed around the empirical section, not developed as a parallel macro project.</w:t>
      </w:r>
    </w:p>
    <w:p>
      <w:pPr>
        <w:pStyle w:val="ListBullet"/>
      </w:pPr>
      <w:r>
        <w:t>Estimate deterministic age profiles by permanent type and source, allowing profile slopes—not just levels—to differ.</w:t>
      </w:r>
    </w:p>
    <w:p>
      <w:pPr>
        <w:pStyle w:val="ListBullet"/>
      </w:pPr>
      <w:r>
        <w:t>Estimate transition probabilities into and out of zero/low earnings. Do not condition the baseline on eight positive-income years.</w:t>
      </w:r>
    </w:p>
    <w:p>
      <w:pPr>
        <w:pStyle w:val="ListBullet"/>
      </w:pPr>
      <w:r>
        <w:t>Decompose residual variation into persistent and transitory components, allowing age, rank, sign and tail dependence where the data reject a Gaussian AR(1).</w:t>
      </w:r>
    </w:p>
    <w:p>
      <w:pPr>
        <w:pStyle w:val="ListBullet"/>
      </w:pPr>
      <w:r>
        <w:t>Separate wage/rate changes from hours and participation where linked earnings/hours information permits; averaging applies to earnings, while the labour-supply mechanism works through wages and hours.</w:t>
      </w:r>
    </w:p>
    <w:p>
      <w:pPr>
        <w:pStyle w:val="ListBullet"/>
      </w:pPr>
      <w:r>
        <w:t>Match the distribution of five- and ten-year tax timing wedges jointly with income changes. Matching income volatility while missing bracket-crossing exposure is not enough.</w:t>
      </w:r>
    </w:p>
    <w:p>
      <w:pPr>
        <w:pStyle w:val="ListBullet"/>
      </w:pPr>
      <w:r>
        <w:t>Use HILDA, ABS household balance-sheet data or accepted Australian evidence for liquid-asset and consumption-smoothing moments not observed in PLIDA; document the cross-dataset mapping.</w:t>
      </w:r>
    </w:p>
    <w:p>
      <w:pPr>
        <w:pStyle w:val="ListBullet"/>
      </w:pPr>
      <w:r>
        <w:t>Calibrate labour elasticities, risk aversion and discounting to external ranges, then show transparent sensitivity rather than selecting them to maximise the value of averaging.</w:t>
      </w:r>
    </w:p>
    <w:p>
      <w:r>
        <w:t>A concise validation table should distinguish targeted from non-targeted moments. Target age/type earnings profiles, rank transitions, zero-income spells, shock tails, liquid wealth and annual tax. Reserve event-study profiles around job loss, childbirth/career interruption, business loss and retirement—and the cross-sectional distribution of the empirical timing wedge—as non-targeted validation where possible.</w:t>
      </w:r>
    </w:p>
    <w:p>
      <w:r>
        <w:t>The existing AgeGenerationTaxRates simulations are valuable as tax-rule unit tests. Use their constant-path, matching-unit, changing-schedule and negative-adjustment cases to verify the structural policy code. They are not a substitute for estimating the profile and shock process.</w:t>
      </w:r>
    </w:p>
    <w:p>
      <w:pPr>
        <w:pStyle w:val="Heading2"/>
      </w:pPr>
      <w:r>
        <w:t>7.8 Minimum viable model versus full OLG build</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531"/>
            <w:vAlign w:val="center"/>
            <w:tcMar>
              <w:top w:w="90" w:type="dxa"/>
              <w:start w:w="100" w:type="dxa"/>
              <w:bottom w:w="90" w:type="dxa"/>
              <w:end w:w="100" w:type="dxa"/>
            </w:tcMar>
            <w:shd w:fill="176B87"/>
          </w:tcPr>
          <w:p>
            <w:pPr>
              <w:spacing w:after="0"/>
            </w:pPr>
            <w:r/>
            <w:r>
              <w:rPr>
                <w:b/>
                <w:color w:val="FFFFFF"/>
                <w:sz w:val="16"/>
              </w:rPr>
              <w:t>Dimension</w:t>
            </w:r>
          </w:p>
        </w:tc>
        <w:tc>
          <w:tcPr>
            <w:tcW w:type="dxa" w:w="4025"/>
            <w:vAlign w:val="center"/>
            <w:tcMar>
              <w:top w:w="90" w:type="dxa"/>
              <w:start w:w="100" w:type="dxa"/>
              <w:bottom w:w="90" w:type="dxa"/>
              <w:end w:w="100" w:type="dxa"/>
            </w:tcMar>
            <w:shd w:fill="176B87"/>
          </w:tcPr>
          <w:p>
            <w:pPr>
              <w:spacing w:after="0"/>
            </w:pPr>
            <w:r/>
            <w:r>
              <w:rPr>
                <w:b/>
                <w:color w:val="FFFFFF"/>
                <w:sz w:val="16"/>
              </w:rPr>
              <w:t>Recommended minimum viable lifecycle model</w:t>
            </w:r>
          </w:p>
        </w:tc>
        <w:tc>
          <w:tcPr>
            <w:tcW w:type="dxa" w:w="3912"/>
            <w:vAlign w:val="center"/>
            <w:tcMar>
              <w:top w:w="90" w:type="dxa"/>
              <w:start w:w="100" w:type="dxa"/>
              <w:bottom w:w="90" w:type="dxa"/>
              <w:end w:w="100" w:type="dxa"/>
            </w:tcMar>
            <w:shd w:fill="176B87"/>
          </w:tcPr>
          <w:p>
            <w:pPr>
              <w:spacing w:after="0"/>
            </w:pPr>
            <w:r/>
            <w:r>
              <w:rPr>
                <w:b/>
                <w:color w:val="FFFFFF"/>
                <w:sz w:val="16"/>
              </w:rPr>
              <w:t>Additional full OLG/GE requirement</w:t>
            </w:r>
          </w:p>
        </w:tc>
      </w:tr>
      <w:tr>
        <w:trPr>
          <w:cantSplit/>
        </w:trPr>
        <w:tc>
          <w:tcPr>
            <w:tcW w:type="dxa" w:w="1531"/>
            <w:vAlign w:val="center"/>
            <w:tcMar>
              <w:top w:w="90" w:type="dxa"/>
              <w:start w:w="100" w:type="dxa"/>
              <w:bottom w:w="90" w:type="dxa"/>
              <w:end w:w="100" w:type="dxa"/>
            </w:tcMar>
          </w:tcPr>
          <w:p>
            <w:pPr>
              <w:spacing w:after="0"/>
            </w:pPr>
            <w:r/>
            <w:r>
              <w:rPr>
                <w:b w:val="0"/>
                <w:sz w:val="15"/>
              </w:rPr>
              <w:t>Households</w:t>
            </w:r>
          </w:p>
        </w:tc>
        <w:tc>
          <w:tcPr>
            <w:tcW w:type="dxa" w:w="4025"/>
            <w:vAlign w:val="center"/>
            <w:tcMar>
              <w:top w:w="90" w:type="dxa"/>
              <w:start w:w="100" w:type="dxa"/>
              <w:bottom w:w="90" w:type="dxa"/>
              <w:end w:w="100" w:type="dxa"/>
            </w:tcMar>
          </w:tcPr>
          <w:p>
            <w:pPr>
              <w:spacing w:after="0"/>
            </w:pPr>
            <w:r/>
            <w:r>
              <w:rPr>
                <w:b w:val="0"/>
                <w:sz w:val="15"/>
              </w:rPr>
              <w:t>Ages 25–retirement/death; 4–6 permanent profile types; persistent, transitory and zero-earnings states</w:t>
            </w:r>
          </w:p>
        </w:tc>
        <w:tc>
          <w:tcPr>
            <w:tcW w:type="dxa" w:w="3912"/>
            <w:vAlign w:val="center"/>
            <w:tcMar>
              <w:top w:w="90" w:type="dxa"/>
              <w:start w:w="100" w:type="dxa"/>
              <w:bottom w:w="90" w:type="dxa"/>
              <w:end w:w="100" w:type="dxa"/>
            </w:tcMar>
          </w:tcPr>
          <w:p>
            <w:pPr>
              <w:spacing w:after="0"/>
            </w:pPr>
            <w:r/>
            <w:r>
              <w:rPr>
                <w:b w:val="0"/>
                <w:sz w:val="15"/>
              </w:rPr>
              <w:t>Add explicit overlapping birth cohorts, survival and inheritance/bequests if important</w:t>
            </w:r>
          </w:p>
        </w:tc>
      </w:tr>
      <w:tr>
        <w:trPr>
          <w:cantSplit/>
        </w:trPr>
        <w:tc>
          <w:tcPr>
            <w:tcW w:type="dxa" w:w="1531"/>
            <w:vAlign w:val="center"/>
            <w:tcMar>
              <w:top w:w="90" w:type="dxa"/>
              <w:start w:w="100" w:type="dxa"/>
              <w:bottom w:w="90" w:type="dxa"/>
              <w:end w:w="100" w:type="dxa"/>
            </w:tcMar>
            <w:shd w:fill="F1F6F8"/>
          </w:tcPr>
          <w:p>
            <w:pPr>
              <w:spacing w:after="0"/>
            </w:pPr>
            <w:r/>
            <w:r>
              <w:rPr>
                <w:b w:val="0"/>
                <w:sz w:val="15"/>
              </w:rPr>
              <w:t>Choices</w:t>
            </w:r>
          </w:p>
        </w:tc>
        <w:tc>
          <w:tcPr>
            <w:tcW w:type="dxa" w:w="4025"/>
            <w:vAlign w:val="center"/>
            <w:tcMar>
              <w:top w:w="90" w:type="dxa"/>
              <w:start w:w="100" w:type="dxa"/>
              <w:bottom w:w="90" w:type="dxa"/>
              <w:end w:w="100" w:type="dxa"/>
            </w:tcMar>
            <w:shd w:fill="F1F6F8"/>
          </w:tcPr>
          <w:p>
            <w:pPr>
              <w:spacing w:after="0"/>
            </w:pPr>
            <w:r/>
            <w:r>
              <w:rPr>
                <w:b w:val="0"/>
                <w:sz w:val="15"/>
              </w:rPr>
              <w:t>Saving/borrowing first; hours second; source-specific timing only if supported</w:t>
            </w:r>
          </w:p>
        </w:tc>
        <w:tc>
          <w:tcPr>
            <w:tcW w:type="dxa" w:w="3912"/>
            <w:vAlign w:val="center"/>
            <w:tcMar>
              <w:top w:w="90" w:type="dxa"/>
              <w:start w:w="100" w:type="dxa"/>
              <w:bottom w:w="90" w:type="dxa"/>
              <w:end w:w="100" w:type="dxa"/>
            </w:tcMar>
            <w:shd w:fill="F1F6F8"/>
          </w:tcPr>
          <w:p>
            <w:pPr>
              <w:spacing w:after="0"/>
            </w:pPr>
            <w:r/>
            <w:r>
              <w:rPr>
                <w:b w:val="0"/>
                <w:sz w:val="15"/>
              </w:rPr>
              <w:t>Same choices with endogenous wage and interest rate</w:t>
            </w:r>
          </w:p>
        </w:tc>
      </w:tr>
      <w:tr>
        <w:trPr>
          <w:cantSplit/>
        </w:trPr>
        <w:tc>
          <w:tcPr>
            <w:tcW w:type="dxa" w:w="1531"/>
            <w:vAlign w:val="center"/>
            <w:tcMar>
              <w:top w:w="90" w:type="dxa"/>
              <w:start w:w="100" w:type="dxa"/>
              <w:bottom w:w="90" w:type="dxa"/>
              <w:end w:w="100" w:type="dxa"/>
            </w:tcMar>
          </w:tcPr>
          <w:p>
            <w:pPr>
              <w:spacing w:after="0"/>
            </w:pPr>
            <w:r/>
            <w:r>
              <w:rPr>
                <w:b w:val="0"/>
                <w:sz w:val="15"/>
              </w:rPr>
              <w:t>Prices</w:t>
            </w:r>
          </w:p>
        </w:tc>
        <w:tc>
          <w:tcPr>
            <w:tcW w:type="dxa" w:w="4025"/>
            <w:vAlign w:val="center"/>
            <w:tcMar>
              <w:top w:w="90" w:type="dxa"/>
              <w:start w:w="100" w:type="dxa"/>
              <w:bottom w:w="90" w:type="dxa"/>
              <w:end w:w="100" w:type="dxa"/>
            </w:tcMar>
          </w:tcPr>
          <w:p>
            <w:pPr>
              <w:spacing w:after="0"/>
            </w:pPr>
            <w:r/>
            <w:r>
              <w:rPr>
                <w:b w:val="0"/>
                <w:sz w:val="15"/>
              </w:rPr>
              <w:t>Exogenous Australian real interest rate and wage scale</w:t>
            </w:r>
          </w:p>
        </w:tc>
        <w:tc>
          <w:tcPr>
            <w:tcW w:type="dxa" w:w="3912"/>
            <w:vAlign w:val="center"/>
            <w:tcMar>
              <w:top w:w="90" w:type="dxa"/>
              <w:start w:w="100" w:type="dxa"/>
              <w:bottom w:w="90" w:type="dxa"/>
              <w:end w:w="100" w:type="dxa"/>
            </w:tcMar>
          </w:tcPr>
          <w:p>
            <w:pPr>
              <w:spacing w:after="0"/>
            </w:pPr>
            <w:r/>
            <w:r>
              <w:rPr>
                <w:b w:val="0"/>
                <w:sz w:val="15"/>
              </w:rPr>
              <w:t>Production, capital market clearing and type-specific wages only if substitution mechanism is central</w:t>
            </w:r>
          </w:p>
        </w:tc>
      </w:tr>
      <w:tr>
        <w:trPr>
          <w:cantSplit/>
        </w:trPr>
        <w:tc>
          <w:tcPr>
            <w:tcW w:type="dxa" w:w="1531"/>
            <w:vAlign w:val="center"/>
            <w:tcMar>
              <w:top w:w="90" w:type="dxa"/>
              <w:start w:w="100" w:type="dxa"/>
              <w:bottom w:w="90" w:type="dxa"/>
              <w:end w:w="100" w:type="dxa"/>
            </w:tcMar>
            <w:shd w:fill="F1F6F8"/>
          </w:tcPr>
          <w:p>
            <w:pPr>
              <w:spacing w:after="0"/>
            </w:pPr>
            <w:r/>
            <w:r>
              <w:rPr>
                <w:b w:val="0"/>
                <w:sz w:val="15"/>
              </w:rPr>
              <w:t>Tax</w:t>
            </w:r>
          </w:p>
        </w:tc>
        <w:tc>
          <w:tcPr>
            <w:tcW w:type="dxa" w:w="4025"/>
            <w:vAlign w:val="center"/>
            <w:tcMar>
              <w:top w:w="90" w:type="dxa"/>
              <w:start w:w="100" w:type="dxa"/>
              <w:bottom w:w="90" w:type="dxa"/>
              <w:end w:w="100" w:type="dxa"/>
            </w:tcMar>
            <w:shd w:fill="F1F6F8"/>
          </w:tcPr>
          <w:p>
            <w:pPr>
              <w:spacing w:after="0"/>
            </w:pPr>
            <w:r/>
            <w:r>
              <w:rPr>
                <w:b w:val="0"/>
                <w:sz w:val="15"/>
              </w:rPr>
              <w:t>Actual annual schedule plus cumulative, rolling, carryforward and geometric benchmark</w:t>
            </w:r>
          </w:p>
        </w:tc>
        <w:tc>
          <w:tcPr>
            <w:tcW w:type="dxa" w:w="3912"/>
            <w:vAlign w:val="center"/>
            <w:tcMar>
              <w:top w:w="90" w:type="dxa"/>
              <w:start w:w="100" w:type="dxa"/>
              <w:bottom w:w="90" w:type="dxa"/>
              <w:end w:w="100" w:type="dxa"/>
            </w:tcMar>
            <w:shd w:fill="F1F6F8"/>
          </w:tcPr>
          <w:p>
            <w:pPr>
              <w:spacing w:after="0"/>
            </w:pPr>
            <w:r/>
            <w:r>
              <w:rPr>
                <w:b w:val="0"/>
                <w:sz w:val="15"/>
              </w:rPr>
              <w:t>Calendar-time reform, opening balances, grandfathering and terminal settlement</w:t>
            </w:r>
          </w:p>
        </w:tc>
      </w:tr>
      <w:tr>
        <w:trPr>
          <w:cantSplit/>
        </w:trPr>
        <w:tc>
          <w:tcPr>
            <w:tcW w:type="dxa" w:w="1531"/>
            <w:vAlign w:val="center"/>
            <w:tcMar>
              <w:top w:w="90" w:type="dxa"/>
              <w:start w:w="100" w:type="dxa"/>
              <w:bottom w:w="90" w:type="dxa"/>
              <w:end w:w="100" w:type="dxa"/>
            </w:tcMar>
          </w:tcPr>
          <w:p>
            <w:pPr>
              <w:spacing w:after="0"/>
            </w:pPr>
            <w:r/>
            <w:r>
              <w:rPr>
                <w:b w:val="0"/>
                <w:sz w:val="15"/>
              </w:rPr>
              <w:t>Budget</w:t>
            </w:r>
          </w:p>
        </w:tc>
        <w:tc>
          <w:tcPr>
            <w:tcW w:type="dxa" w:w="4025"/>
            <w:vAlign w:val="center"/>
            <w:tcMar>
              <w:top w:w="90" w:type="dxa"/>
              <w:start w:w="100" w:type="dxa"/>
              <w:bottom w:w="90" w:type="dxa"/>
              <w:end w:w="100" w:type="dxa"/>
            </w:tcMar>
          </w:tcPr>
          <w:p>
            <w:pPr>
              <w:spacing w:after="0"/>
            </w:pPr>
            <w:r/>
            <w:r>
              <w:rPr>
                <w:b w:val="0"/>
                <w:sz w:val="15"/>
              </w:rPr>
              <w:t>Within-cohort expected present-value revenue neutrality</w:t>
            </w:r>
          </w:p>
        </w:tc>
        <w:tc>
          <w:tcPr>
            <w:tcW w:type="dxa" w:w="3912"/>
            <w:vAlign w:val="center"/>
            <w:tcMar>
              <w:top w:w="90" w:type="dxa"/>
              <w:start w:w="100" w:type="dxa"/>
              <w:bottom w:w="90" w:type="dxa"/>
              <w:end w:w="100" w:type="dxa"/>
            </w:tcMar>
          </w:tcPr>
          <w:p>
            <w:pPr>
              <w:spacing w:after="0"/>
            </w:pPr>
            <w:r/>
            <w:r>
              <w:rPr>
                <w:b w:val="0"/>
                <w:sz w:val="15"/>
              </w:rPr>
              <w:t>Government debt path, within-period budgets and explicit cross-cohort redistribution</w:t>
            </w:r>
          </w:p>
        </w:tc>
      </w:tr>
      <w:tr>
        <w:trPr>
          <w:cantSplit/>
        </w:trPr>
        <w:tc>
          <w:tcPr>
            <w:tcW w:type="dxa" w:w="1531"/>
            <w:vAlign w:val="center"/>
            <w:tcMar>
              <w:top w:w="90" w:type="dxa"/>
              <w:start w:w="100" w:type="dxa"/>
              <w:bottom w:w="90" w:type="dxa"/>
              <w:end w:w="100" w:type="dxa"/>
            </w:tcMar>
            <w:shd w:fill="F1F6F8"/>
          </w:tcPr>
          <w:p>
            <w:pPr>
              <w:spacing w:after="0"/>
            </w:pPr>
            <w:r/>
            <w:r>
              <w:rPr>
                <w:b w:val="0"/>
                <w:sz w:val="15"/>
              </w:rPr>
              <w:t>Welfare</w:t>
            </w:r>
          </w:p>
        </w:tc>
        <w:tc>
          <w:tcPr>
            <w:tcW w:type="dxa" w:w="4025"/>
            <w:vAlign w:val="center"/>
            <w:tcMar>
              <w:top w:w="90" w:type="dxa"/>
              <w:start w:w="100" w:type="dxa"/>
              <w:bottom w:w="90" w:type="dxa"/>
              <w:end w:w="100" w:type="dxa"/>
            </w:tcMar>
            <w:shd w:fill="F1F6F8"/>
          </w:tcPr>
          <w:p>
            <w:pPr>
              <w:spacing w:after="0"/>
            </w:pPr>
            <w:r/>
            <w:r>
              <w:rPr>
                <w:b w:val="0"/>
                <w:sz w:val="15"/>
              </w:rPr>
              <w:t>Newborn and type-specific CEV; saving, labour and liquidity decomposition</w:t>
            </w:r>
          </w:p>
        </w:tc>
        <w:tc>
          <w:tcPr>
            <w:tcW w:type="dxa" w:w="3912"/>
            <w:vAlign w:val="center"/>
            <w:tcMar>
              <w:top w:w="90" w:type="dxa"/>
              <w:start w:w="100" w:type="dxa"/>
              <w:bottom w:w="90" w:type="dxa"/>
              <w:end w:w="100" w:type="dxa"/>
            </w:tcMar>
            <w:shd w:fill="F1F6F8"/>
          </w:tcPr>
          <w:p>
            <w:pPr>
              <w:spacing w:after="0"/>
            </w:pPr>
            <w:r/>
            <w:r>
              <w:rPr>
                <w:b w:val="0"/>
                <w:sz w:val="15"/>
              </w:rPr>
              <w:t>CEV by transition cohort and age plus stationary-equilibrium comparison</w:t>
            </w:r>
          </w:p>
        </w:tc>
      </w:tr>
      <w:tr>
        <w:trPr>
          <w:cantSplit/>
        </w:trPr>
        <w:tc>
          <w:tcPr>
            <w:tcW w:type="dxa" w:w="1531"/>
            <w:vAlign w:val="center"/>
            <w:tcMar>
              <w:top w:w="90" w:type="dxa"/>
              <w:start w:w="100" w:type="dxa"/>
              <w:bottom w:w="90" w:type="dxa"/>
              <w:end w:w="100" w:type="dxa"/>
            </w:tcMar>
          </w:tcPr>
          <w:p>
            <w:pPr>
              <w:spacing w:after="0"/>
            </w:pPr>
            <w:r/>
            <w:r>
              <w:rPr>
                <w:b w:val="0"/>
                <w:sz w:val="15"/>
              </w:rPr>
              <w:t>Empirical discipline</w:t>
            </w:r>
          </w:p>
        </w:tc>
        <w:tc>
          <w:tcPr>
            <w:tcW w:type="dxa" w:w="4025"/>
            <w:vAlign w:val="center"/>
            <w:tcMar>
              <w:top w:w="90" w:type="dxa"/>
              <w:start w:w="100" w:type="dxa"/>
              <w:bottom w:w="90" w:type="dxa"/>
              <w:end w:w="100" w:type="dxa"/>
            </w:tcMar>
          </w:tcPr>
          <w:p>
            <w:pPr>
              <w:spacing w:after="0"/>
            </w:pPr>
            <w:r/>
            <w:r>
              <w:rPr>
                <w:b w:val="0"/>
                <w:sz w:val="15"/>
              </w:rPr>
              <w:t>PLIDA earnings profiles, shocks, zero years and timing wedges; external liquid-asset moments</w:t>
            </w:r>
          </w:p>
        </w:tc>
        <w:tc>
          <w:tcPr>
            <w:tcW w:type="dxa" w:w="3912"/>
            <w:vAlign w:val="center"/>
            <w:tcMar>
              <w:top w:w="90" w:type="dxa"/>
              <w:start w:w="100" w:type="dxa"/>
              <w:bottom w:w="90" w:type="dxa"/>
              <w:end w:w="100" w:type="dxa"/>
            </w:tcMar>
          </w:tcPr>
          <w:p>
            <w:pPr>
              <w:spacing w:after="0"/>
            </w:pPr>
            <w:r/>
            <w:r>
              <w:rPr>
                <w:b w:val="0"/>
                <w:sz w:val="15"/>
              </w:rPr>
              <w:t>Add aggregate capital/output and transition targets</w:t>
            </w:r>
          </w:p>
        </w:tc>
      </w:tr>
    </w:tbl>
    <w:p>
      <w:pPr>
        <w:pStyle w:val="Heading3"/>
      </w:pPr>
      <w:r>
        <w:t>Recommended sequence</w:t>
      </w:r>
    </w:p>
    <w:p>
      <w:pPr>
        <w:pStyle w:val="ListNumber"/>
      </w:pPr>
      <w:r>
        <w:t>Estimate and validate the profile-type and shock process before solving any welfare model.</w:t>
      </w:r>
    </w:p>
    <w:p>
      <w:pPr>
        <w:pStyle w:val="ListNumber"/>
      </w:pPr>
      <w:r>
        <w:t>Solve exogenous earnings plus saving/borrowing under annual and administrable history rules.</w:t>
      </w:r>
    </w:p>
    <w:p>
      <w:pPr>
        <w:pStyle w:val="ListNumber"/>
      </w:pPr>
      <w:r>
        <w:t>Impose the within-cohort present-value revenue constraint and report CEV by type.</w:t>
      </w:r>
    </w:p>
    <w:p>
      <w:pPr>
        <w:pStyle w:val="ListNumber"/>
      </w:pPr>
      <w:r>
        <w:t>Add endogenous hours and decompose labour reallocation from insurance/liquidity.</w:t>
      </w:r>
    </w:p>
    <w:p>
      <w:pPr>
        <w:pStyle w:val="ListNumber"/>
      </w:pPr>
      <w:r>
        <w:t>Add a geometric-history and age-dependent benchmark to locate the feasible policies relative to theory.</w:t>
      </w:r>
    </w:p>
    <w:p>
      <w:pPr>
        <w:pStyle w:val="ListNumber"/>
      </w:pPr>
      <w:r>
        <w:t>Stress-test the result with actual tax kinks, alternative household pooling, risk and asset parameters.</w:t>
      </w:r>
    </w:p>
    <w:p>
      <w:pPr>
        <w:pStyle w:val="ListNumber"/>
      </w:pPr>
      <w:r>
        <w:t>Proceed to full OLG/GE only if a written pre-analysis note identifies a plausible price or transition mechanism and the partial-equilibrium result is sufficiently important.</w:t>
      </w:r>
    </w:p>
    <w:p>
      <w:r>
        <w:t>This minimum model is not “small” computationally, but it is controlled: it answers the paper’s question without turning the project into a generic optimal-tax macro paper. A credible full transition OLG extension would be a separate major work package and may ultimately be better treated as a companion paper.</w:t>
      </w:r>
    </w:p>
    <w:p>
      <w:pPr>
        <w:pStyle w:val="Heading2"/>
      </w:pPr>
      <w:r>
        <w:t>7.9 Counterfactuals and results that would be persuasive</w:t>
      </w:r>
    </w:p>
    <w:p>
      <w:r>
        <w:t>The main counterfactual matrix should cross tax rule with behavioural richness and fiscal closure. At a minimum, show annual, four-/five-year rolling, full cumulative and carryforward capacity under: fixed observed earnings; saving only; saving plus labour supply; and, if credible, source-specific timing. Hold shocks common across regimes.</w:t>
      </w:r>
    </w:p>
    <w:p>
      <w:pPr>
        <w:pStyle w:val="ListBullet"/>
      </w:pPr>
      <w:r>
        <w:t>Policy performance: revenue, mean/median liability, refunds, tax-account balances, marginal tax-rate distributions and administrative state size.</w:t>
      </w:r>
    </w:p>
    <w:p>
      <w:pPr>
        <w:pStyle w:val="ListBullet"/>
      </w:pPr>
      <w:r>
        <w:t>Economic behaviour: consumption, liquid assets, hours/participation, taxable-income timing and bracket-crossing exposure.</w:t>
      </w:r>
    </w:p>
    <w:p>
      <w:pPr>
        <w:pStyle w:val="ListBullet"/>
      </w:pPr>
      <w:r>
        <w:t>Distribution: CEV and present-value tax by permanent profile type, lifetime-resource decile, shock exposure, liquidity, sex/family type and income source.</w:t>
      </w:r>
    </w:p>
    <w:p>
      <w:pPr>
        <w:pStyle w:val="ListBullet"/>
      </w:pPr>
      <w:r>
        <w:t>Mechanisms: switch off borrowing constraints, transitory shocks, persistent shocks, deterministic profile heterogeneity, labour response and tax-system kinks one at a time.</w:t>
      </w:r>
    </w:p>
    <w:p>
      <w:pPr>
        <w:pStyle w:val="ListBullet"/>
      </w:pPr>
      <w:r>
        <w:t>Transition: welfare by current age and birth cohort, government cash flow, debt and any compensation needed for a Pareto-improving or politically feasible reform.</w:t>
      </w:r>
    </w:p>
    <w:p>
      <w:pPr>
        <w:pStyle w:val="ListBullet"/>
      </w:pPr>
      <w:r>
        <w:t>Robustness: window length, indexation unit, interest on tax accounts, terminal settlement, opt-in selection, caps/floors and fiscal closure.</w:t>
      </w:r>
    </w:p>
    <w:p>
      <w:r>
        <w:t>The most publishable result need not be “averaging raises welfare.” A finding that the large ex-post tax wedge mostly reflects predictable profiles, that private saving absorbs much of it, or that annual progressivity provides better timely insurance would be informative. The structural exercise is valuable if it explains the gap between accounting incidence and welfare rather than mechanically validating the policy.</w:t>
      </w:r>
    </w:p>
    <w:p>
      <w:pPr>
        <w:pStyle w:val="Heading2"/>
      </w:pPr>
      <w:r>
        <w:t>7.10 Novelty, journal positioning and a go/no-go rule</w:t>
      </w:r>
    </w:p>
    <w:p>
      <w:pPr>
        <w:pStyle w:val="Heading3"/>
      </w:pPr>
      <w:r>
        <w:t>A contribution that remains available</w:t>
      </w:r>
    </w:p>
    <w:p>
      <w:r>
        <w:t>A strong contribution statement would be: “We use population tax records to estimate heterogeneous Australian earnings profiles and the income process; embed them in a lifecycle model with actual tax kinks and liquid-asset constraints; and compare administrable rolling, cumulative and carryforward rules under a common within-cohort budget. We show which profile types create the aggregate incidence result and how much of the gain comes from profile equalisation, shock insurance, liquidity and labour allocation.” That is distinct from asking only whether an abstract full lifetime tax dominates an annual smooth tax function in the United States.</w:t>
      </w:r>
    </w:p>
    <w:p>
      <w:pPr>
        <w:pStyle w:val="Heading3"/>
      </w:pPr>
      <w:r>
        <w:t>Claims to avoid</w:t>
      </w:r>
    </w:p>
    <w:p>
      <w:pPr>
        <w:pStyle w:val="ListBullet"/>
      </w:pPr>
      <w:r>
        <w:t>“This is the first OLG model of income averaging” or “lifetime taxation has not been quantified.”</w:t>
      </w:r>
    </w:p>
    <w:p>
      <w:pPr>
        <w:pStyle w:val="ListBullet"/>
      </w:pPr>
      <w:r>
        <w:t>“Heterogeneous earnings profiles are novel” without distinguishing permanent type, age profile and stochastic shock.</w:t>
      </w:r>
    </w:p>
    <w:p>
      <w:pPr>
        <w:pStyle w:val="ListBullet"/>
      </w:pPr>
      <w:r>
        <w:t>“Averaging provides insurance” based only on lower ex-post liability under a convex schedule.</w:t>
      </w:r>
    </w:p>
    <w:p>
      <w:pPr>
        <w:pStyle w:val="ListBullet"/>
      </w:pPr>
      <w:r>
        <w:t>“General equilibrium confirms the result” when the budget rule introduces transfers across cohorts.</w:t>
      </w:r>
    </w:p>
    <w:p>
      <w:pPr>
        <w:pStyle w:val="ListBullet"/>
      </w:pPr>
      <w:r>
        <w:t>“Optimal history dependence means equal averaging is optimal.”</w:t>
      </w:r>
    </w:p>
    <w:p>
      <w:pPr>
        <w:pStyle w:val="Heading3"/>
      </w:pPr>
      <w:r>
        <w:t>Go/no-go rule</w:t>
      </w:r>
    </w:p>
    <w:p>
      <w:r>
        <w:t>Proceed from the minimum lifecycle model to full OLG/GE only if at least one of the following is true: the reform materially changes aggregate saving and therefore prices; differentiated profile types have a credible wage-substitution mechanism; transition cohorts bear substantively different burdens; or the fiscal cash-flow problem is central to feasibility. If none holds, stop at the partial-equilibrium lifecycle model and invest the saved effort in empirical mechanism work.</w:t>
      </w:r>
    </w:p>
    <w:p>
      <w:r>
        <w:t>For Journal of Public Economics, merely adding OLG to the current paper is not enough. The model would need to deliver a mechanism or feasible-policy result beyond Krueger and Wu, validated with Australian administrative data and presented as an internationally relevant lesson. A compact lifecycle model plus exceptional empirical evidence may be stronger than an ambitious but thinly identified GE calibration. For National Tax Journal, Fiscal Studies or International Tax and Public Finance, the minimum model described above would already be a substantial and well-targeted contribution if executed cleanly.</w:t>
      </w:r>
    </w:p>
    <w:p>
      <w:pPr>
        <w:pStyle w:val="Heading2"/>
      </w:pPr>
      <w:r>
        <w:t>7.11 How to write the model into the paper</w:t>
      </w:r>
    </w:p>
    <w:p>
      <w:r>
        <w:t>Do not introduce the OLG machinery before the empirical fact is clear. The recommended paper order remains measurement → mechanisms → feasible policies → model/welfare. At the end of the mechanisms section, identify the profile types and shock moments that the model must explain. Begin the model section with the one tension the data cannot resolve: history dependence improves the alignment of marginal rates with lifetime resources but may weaken contemporaneous insurance and deliver refunds too late for constrained households.</w:t>
      </w:r>
    </w:p>
    <w:p>
      <w:pPr>
        <w:pStyle w:val="ListBullet"/>
      </w:pPr>
      <w:r>
        <w:t>Main text: one page on household states and choices, one page on policy rules/budget, one calibration table, one validation figure and two or three result figures.</w:t>
      </w:r>
    </w:p>
    <w:p>
      <w:pPr>
        <w:pStyle w:val="ListBullet"/>
      </w:pPr>
      <w:r>
        <w:t>Related literature: explicitly separate Vickrey/Creedy mechanisms, direct structural lifetime/history-tax papers, dynamic Mirrlees theory, age-dependent taxation and earnings-process estimation.</w:t>
      </w:r>
    </w:p>
    <w:p>
      <w:pPr>
        <w:pStyle w:val="ListBullet"/>
      </w:pPr>
      <w:r>
        <w:t>Appendix: Bellman equations, discretisation, solution algorithm, tax-account formulas, government transition, all parameter sources and convergence/error diagnostics.</w:t>
      </w:r>
    </w:p>
    <w:p>
      <w:pPr>
        <w:pStyle w:val="ListBullet"/>
      </w:pPr>
      <w:r>
        <w:t>Online material: code and tax-rule unit tests; synthetic or cleared calibration moments; a table mapping every model target to the empirical output that produces it.</w:t>
      </w:r>
    </w:p>
    <w:p>
      <w:r>
        <w:t>Suggested one-sentence framing for the introduction: “Recent quantitative work asks whether a lifetime tax base can improve labour allocation and redistribution; we instead ask which administrable forms of partial history dependence work under actual Australian tax rules and empirically observed differences in earnings profiles.”</w:t>
      </w:r>
    </w:p>
    <w:p>
      <w:pPr>
        <w:pStyle w:val="Heading1"/>
        <w:pBdr>
          <w:bottom w:val="single" w:sz="8" w:space="5" w:color="D9E1E8"/>
        </w:pBdr>
        <w:widowControl/>
      </w:pPr>
      <w:r>
        <w:t>8. Recommended rewrite and paper structure</w:t>
      </w:r>
    </w:p>
    <w:p>
      <w:pPr>
        <w:pStyle w:val="Heading2"/>
        <w:widowControl/>
      </w:pPr>
      <w:r>
        <w:t>8.1 Title options</w:t>
      </w:r>
    </w:p>
    <w:p>
      <w:pPr>
        <w:widowControl/>
      </w:pPr>
      <w:r>
        <w:t>Preferred:</w:t>
      </w:r>
    </w:p>
    <w:p>
      <w:pPr>
        <w:pStyle w:val="ExecutiveCallout"/>
        <w:shd w:fill="EAF2F8"/>
        <w:widowControl/>
      </w:pPr>
      <w:r>
        <w:rPr>
          <w:b/>
        </w:rPr>
        <w:t>Annual Taxation and the Timing of Income: Evidence from Australian Tax Records</w:t>
      </w:r>
    </w:p>
    <w:p>
      <w:pPr>
        <w:widowControl/>
      </w:pPr>
      <w:r>
        <w:t>Alternatives:</w:t>
      </w:r>
    </w:p>
    <w:p>
      <w:pPr>
        <w:pStyle w:val="ListBullet"/>
        <w:spacing w:after="60"/>
        <w:widowControl/>
      </w:pPr>
      <w:r>
        <w:rPr>
          <w:b/>
        </w:rPr>
        <w:t>Same Medium-Run Income, Different Tax: Annual Assessment in Australia</w:t>
      </w:r>
    </w:p>
    <w:p>
      <w:pPr>
        <w:pStyle w:val="ListBullet"/>
        <w:spacing w:after="60"/>
        <w:widowControl/>
      </w:pPr>
      <w:r>
        <w:rPr>
          <w:b/>
        </w:rPr>
        <w:t>Assessment Periods, Income Volatility and Tax Burdens</w:t>
      </w:r>
    </w:p>
    <w:p>
      <w:pPr>
        <w:pStyle w:val="ListBullet"/>
        <w:spacing w:after="60"/>
        <w:widowControl/>
      </w:pPr>
      <w:r>
        <w:rPr>
          <w:b/>
        </w:rPr>
        <w:t>The Tax Cost of Income Timing under Progressive Annual Assessment</w:t>
      </w:r>
    </w:p>
    <w:p>
      <w:pPr>
        <w:widowControl/>
      </w:pPr>
      <w:r>
        <w:t>Avoid “Heterogeneity in the Australian Tax System.” It is accurate but broad, descriptive and insufficiently distinctive.</w:t>
      </w:r>
    </w:p>
    <w:p>
      <w:pPr>
        <w:pStyle w:val="Heading2"/>
        <w:widowControl/>
      </w:pPr>
      <w:r>
        <w:t>8.2 Proposed architecture</w:t>
      </w:r>
    </w:p>
    <w:p>
      <w:pPr>
        <w:pStyle w:val="Heading3"/>
        <w:widowControl/>
      </w:pPr>
      <w:r>
        <w:t>1. Introduction</w:t>
      </w:r>
    </w:p>
    <w:p>
      <w:pPr>
        <w:widowControl/>
      </w:pPr>
      <w:r>
        <w:t>Open with two people earning the same real present-value income over ten years but paying different present-value tax because one path crosses kinks. State the population result only after the audit. Explain why the issue matters: horizontal treatment, income risk, lifecycle profiles and existing averaging concessions. List three contributions and preview the policy result.</w:t>
      </w:r>
    </w:p>
    <w:p>
      <w:pPr>
        <w:pStyle w:val="Heading3"/>
        <w:widowControl/>
      </w:pPr>
      <w:r>
        <w:t>2. Institutions and conceptual framework</w:t>
      </w:r>
    </w:p>
    <w:p>
      <w:pPr>
        <w:widowControl/>
      </w:pPr>
      <w:r>
        <w:t>Describe annual assessment, progressive brackets, tax-free threshold, offsets, Medicare and existing averaging for primary producers and special professionals. Define annual, ex-post and implementable policy objects. State the two-period proposition and the matching-unit principle.</w:t>
      </w:r>
    </w:p>
    <w:p>
      <w:pPr>
        <w:pStyle w:val="Heading3"/>
        <w:widowControl/>
      </w:pPr>
      <w:r>
        <w:t>3. Data, tax calculator and samples</w:t>
      </w:r>
    </w:p>
    <w:p>
      <w:pPr>
        <w:widowControl/>
      </w:pPr>
      <w:r>
        <w:t>Describe PLIDA, linkage, years, income concepts, filing/nonfiling, tax validation, main and alternative samples, discounting and disclosure. Include a sample-flow table.</w:t>
      </w:r>
    </w:p>
    <w:p>
      <w:pPr>
        <w:pStyle w:val="Heading3"/>
        <w:widowControl/>
      </w:pPr>
      <w:r>
        <w:t>4. The annual-assessment timing wedge</w:t>
      </w:r>
    </w:p>
    <w:p>
      <w:pPr>
        <w:widowControl/>
      </w:pPr>
      <w:r>
        <w:t>Present the main constant-real or constant-relative benchmark. Show distributions conditional on medium-run resources, not only means. Give dollars, percentage points and share gaining. Add the income × volatility heat map.</w:t>
      </w:r>
    </w:p>
    <w:p>
      <w:pPr>
        <w:pStyle w:val="Heading3"/>
        <w:widowControl/>
      </w:pPr>
      <w:r>
        <w:t>5. Mechanisms</w:t>
      </w:r>
    </w:p>
    <w:p>
      <w:pPr>
        <w:widowControl/>
      </w:pPr>
      <w:r>
        <w:t>Decompose fixed-schedule convexity, tax-system change, predictable lifecycle, extensive margin, residual variation, income sources and household context. Use event profiles to make the mechanisms concrete.</w:t>
      </w:r>
    </w:p>
    <w:p>
      <w:pPr>
        <w:pStyle w:val="Heading3"/>
        <w:widowControl/>
      </w:pPr>
      <w:r>
        <w:t>6. Feasible averaging policies</w:t>
      </w:r>
    </w:p>
    <w:p>
      <w:pPr>
        <w:widowControl/>
      </w:pPr>
      <w:r>
        <w:t>Define cumulative, rolling and carryforward-credit alternatives using past information only. Report static incidence, fiscal cost, refunds and transition. Compare with existing Australian regimes.</w:t>
      </w:r>
    </w:p>
    <w:p>
      <w:pPr>
        <w:pStyle w:val="Heading3"/>
        <w:widowControl/>
      </w:pPr>
      <w:r>
        <w:t>7. Welfare</w:t>
      </w:r>
    </w:p>
    <w:p>
      <w:pPr>
        <w:widowControl/>
      </w:pPr>
      <w:r>
        <w:t>Present the calibrated model compactly, validation and consumption-equivalent results. Put solution details and broad sensitivities in the appendix.</w:t>
      </w:r>
    </w:p>
    <w:p>
      <w:pPr>
        <w:pStyle w:val="Heading3"/>
        <w:widowControl/>
      </w:pPr>
      <w:r>
        <w:t>8. Conclusion</w:t>
      </w:r>
    </w:p>
    <w:p>
      <w:pPr>
        <w:widowControl/>
      </w:pPr>
      <w:r>
        <w:t>State what the evidence establishes and what remains normative. Do not end with a list of future work that constitutes the missing paper.</w:t>
      </w:r>
    </w:p>
    <w:p>
      <w:pPr>
        <w:pStyle w:val="Heading2"/>
        <w:widowControl/>
      </w:pPr>
      <w:r>
        <w:t>8.3 What to remove or move</w:t>
      </w:r>
    </w:p>
    <w:p>
      <w:pPr>
        <w:pStyle w:val="ListBullet"/>
        <w:spacing w:after="60"/>
        <w:widowControl/>
      </w:pPr>
      <w:r>
        <w:t>Compress within-year tax heterogeneity and the prior e61 findings to one motivating paragraph; move the old Shapley cross-sectional material to an appendix unless it directly enters the longitudinal decomposition.</w:t>
      </w:r>
    </w:p>
    <w:p>
      <w:pPr>
        <w:pStyle w:val="ListBullet"/>
        <w:spacing w:after="60"/>
        <w:widowControl/>
      </w:pPr>
      <w:r>
        <w:t>Move the broad tax-concentration context figure to the appendix. It does not advance the assessment-period question.</w:t>
      </w:r>
    </w:p>
    <w:p>
      <w:pPr>
        <w:pStyle w:val="ListBullet"/>
        <w:spacing w:after="60"/>
        <w:widowControl/>
      </w:pPr>
      <w:r>
        <w:t>Remove the unfinished “Discussion and Next Steps” section. Required work belongs in results before submission.</w:t>
      </w:r>
    </w:p>
    <w:p>
      <w:pPr>
        <w:pStyle w:val="ListBullet"/>
        <w:spacing w:after="60"/>
        <w:widowControl/>
      </w:pPr>
      <w:r>
        <w:t>Move most formula derivations for smooth growth allocations to an appendix.</w:t>
      </w:r>
    </w:p>
    <w:p>
      <w:pPr>
        <w:pStyle w:val="ListBullet"/>
        <w:spacing w:after="60"/>
        <w:widowControl/>
      </w:pPr>
      <w:r>
        <w:t>Replace demographic regressions with descriptive incidence and mechanism plots; retain a compact regression only as a summary.</w:t>
      </w:r>
    </w:p>
    <w:p>
      <w:pPr>
        <w:pStyle w:val="ListBullet"/>
        <w:spacing w:after="60"/>
        <w:widowControl/>
      </w:pPr>
      <w:r>
        <w:t>Do not show four benchmark definitions in every plot.</w:t>
      </w:r>
    </w:p>
    <w:p>
      <w:pPr>
        <w:pStyle w:val="Heading2"/>
        <w:widowControl/>
      </w:pPr>
      <w:r>
        <w:t>8.4 Suggested introduction logic</w:t>
      </w:r>
    </w:p>
    <w:p>
      <w:pPr>
        <w:widowControl/>
      </w:pPr>
      <w:r>
        <w:t>Paragraph 1: annual taxation treats timing as economically relevant. Use a simple equal-resources example.</w:t>
      </w:r>
    </w:p>
    <w:p>
      <w:pPr>
        <w:widowControl/>
      </w:pPr>
      <w:r>
        <w:t>Paragraph 2: the ambiguity. Annual progressivity compresses disposable-income shocks, while annual assessment can create different cumulative liabilities. Existing debates often discuss capital gains or farmers, but the tax-free threshold may make the issue important lower in the distribution.</w:t>
      </w:r>
    </w:p>
    <w:p>
      <w:pPr>
        <w:widowControl/>
      </w:pPr>
      <w:r>
        <w:t>Paragraph 3: data and estimand. Population Australian records; present-value tax; medium-run resource-matched paths.</w:t>
      </w:r>
    </w:p>
    <w:p>
      <w:pPr>
        <w:widowControl/>
      </w:pPr>
      <w:r>
        <w:t>Paragraphs 4–6: three findings, one per contribution, using audited numbers.</w:t>
      </w:r>
    </w:p>
    <w:p>
      <w:pPr>
        <w:widowControl/>
      </w:pPr>
      <w:r>
        <w:t>Paragraph 7: interpretation. Distinguish lifecycle, risk and timing discretion.</w:t>
      </w:r>
    </w:p>
    <w:p>
      <w:pPr>
        <w:widowControl/>
      </w:pPr>
      <w:r>
        <w:t>Paragraph 8: model and policy. Feasible rolling/cumulative rules, revenue neutrality and welfare.</w:t>
      </w:r>
    </w:p>
    <w:p>
      <w:pPr>
        <w:widowControl/>
      </w:pPr>
      <w:r>
        <w:t>Paragraph 9: literature and roadmap.</w:t>
      </w:r>
    </w:p>
    <w:p>
      <w:pPr>
        <w:pStyle w:val="Heading2"/>
        <w:widowControl/>
      </w:pPr>
      <w:r>
        <w:t>8.5 Draft abstract template</w:t>
      </w:r>
    </w:p>
    <w:p>
      <w:pPr>
        <w:pStyle w:val="ExecutiveCallout"/>
        <w:shd w:fill="EAF2F8"/>
        <w:widowControl/>
      </w:pPr>
      <w:r>
        <w:t>Progressive income taxes are usually assessed annually, so taxpayers with the same resources can pay different cumulative tax when their income arrives at different times. We use population Australian tax records from [years] to measure this annual-assessment timing wedge. Holding [real present-value/relative] income fixed over [window], we find that [audited main result]. The wedge is largest [where], reflecting [verified mechanisms], but varies sharply with [volatility/source/household status]. We separate predictable lifecycle profiles, extensive-margin spells, residual income changes and tax-system reforms, showing that [decomposition result]. We then evaluate cumulative, rolling and carryforward-credit rules using only information available at assessment. In a calibrated model with saving, borrowing constraints and a common present-value revenue requirement, [policy] produces [welfare result], with gains concentrated among [groups] and costs among [groups]. The results show that the choice of assessment period is a quantitatively important part of tax design, distinct from the choice of annual progressivity.</w:t>
      </w:r>
    </w:p>
    <w:p>
      <w:pPr>
        <w:widowControl/>
      </w:pPr>
      <w:r>
        <w:t>Do not insert numbers until the automated headline-statistics audit is green.</w:t>
      </w:r>
    </w:p>
    <w:p>
      <w:pPr>
        <w:pStyle w:val="Heading2"/>
        <w:widowControl/>
      </w:pPr>
      <w:r>
        <w:t>8.6 Main tables and figures</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4762"/>
            <w:vAlign w:val="center"/>
            <w:tcMar>
              <w:top w:w="90" w:type="dxa"/>
              <w:start w:w="90" w:type="dxa"/>
              <w:bottom w:w="90" w:type="dxa"/>
              <w:end w:w="90" w:type="dxa"/>
            </w:tcMar>
            <w:shd w:fill="17365D"/>
          </w:tcPr>
          <w:p>
            <w:pPr>
              <w:spacing w:after="0"/>
            </w:pPr>
            <w:r>
              <w:rPr>
                <w:b/>
                <w:color w:val="FFFFFF"/>
                <w:sz w:val="18"/>
              </w:rPr>
              <w:t>Item</w:t>
            </w:r>
          </w:p>
        </w:tc>
        <w:tc>
          <w:tcPr>
            <w:tcW w:type="dxa" w:w="4762"/>
            <w:vAlign w:val="center"/>
            <w:tcMar>
              <w:top w:w="90" w:type="dxa"/>
              <w:start w:w="90" w:type="dxa"/>
              <w:bottom w:w="90" w:type="dxa"/>
              <w:end w:w="90" w:type="dxa"/>
            </w:tcMar>
            <w:shd w:fill="17365D"/>
          </w:tcPr>
          <w:p>
            <w:pPr>
              <w:spacing w:after="0"/>
            </w:pPr>
            <w:r>
              <w:rPr>
                <w:b/>
                <w:color w:val="FFFFFF"/>
                <w:sz w:val="18"/>
              </w:rPr>
              <w:t>Main purpose</w:t>
            </w:r>
          </w:p>
        </w:tc>
      </w:tr>
      <w:tr>
        <w:tc>
          <w:tcPr>
            <w:tcW w:type="dxa" w:w="4762"/>
            <w:vAlign w:val="center"/>
            <w:tcMar>
              <w:top w:w="90" w:type="dxa"/>
              <w:start w:w="90" w:type="dxa"/>
              <w:bottom w:w="90" w:type="dxa"/>
              <w:end w:w="90" w:type="dxa"/>
            </w:tcMar>
          </w:tcPr>
          <w:p>
            <w:pPr>
              <w:spacing w:after="0"/>
            </w:pPr>
            <w:r>
              <w:rPr>
                <w:sz w:val="17"/>
              </w:rPr>
              <w:t>Table 1: sample construction and variable definitions</w:t>
            </w:r>
          </w:p>
        </w:tc>
        <w:tc>
          <w:tcPr>
            <w:tcW w:type="dxa" w:w="4762"/>
            <w:vAlign w:val="center"/>
            <w:tcMar>
              <w:top w:w="90" w:type="dxa"/>
              <w:start w:w="90" w:type="dxa"/>
              <w:bottom w:w="90" w:type="dxa"/>
              <w:end w:w="90" w:type="dxa"/>
            </w:tcMar>
          </w:tcPr>
          <w:p>
            <w:pPr>
              <w:spacing w:after="0"/>
            </w:pPr>
            <w:r>
              <w:rPr>
                <w:sz w:val="17"/>
              </w:rPr>
              <w:t>Establish population, windows, filing and zero-income treatment</w:t>
            </w:r>
          </w:p>
        </w:tc>
      </w:tr>
      <w:tr>
        <w:tc>
          <w:tcPr>
            <w:tcW w:type="dxa" w:w="4762"/>
            <w:vAlign w:val="center"/>
            <w:tcMar>
              <w:top w:w="90" w:type="dxa"/>
              <w:start w:w="90" w:type="dxa"/>
              <w:bottom w:w="90" w:type="dxa"/>
              <w:end w:w="90" w:type="dxa"/>
            </w:tcMar>
            <w:shd w:fill="F3F5F7"/>
          </w:tcPr>
          <w:p>
            <w:pPr>
              <w:spacing w:after="0"/>
            </w:pPr>
            <w:r>
              <w:rPr>
                <w:sz w:val="17"/>
              </w:rPr>
              <w:t>Figure 1: equal-resource paths under annual tax</w:t>
            </w:r>
          </w:p>
        </w:tc>
        <w:tc>
          <w:tcPr>
            <w:tcW w:type="dxa" w:w="4762"/>
            <w:vAlign w:val="center"/>
            <w:tcMar>
              <w:top w:w="90" w:type="dxa"/>
              <w:start w:w="90" w:type="dxa"/>
              <w:bottom w:w="90" w:type="dxa"/>
              <w:end w:w="90" w:type="dxa"/>
            </w:tcMar>
            <w:shd w:fill="F3F5F7"/>
          </w:tcPr>
          <w:p>
            <w:pPr>
              <w:spacing w:after="0"/>
            </w:pPr>
            <w:r>
              <w:rPr>
                <w:sz w:val="17"/>
              </w:rPr>
              <w:t>Explain the timing wedge and benchmark units</w:t>
            </w:r>
          </w:p>
        </w:tc>
      </w:tr>
      <w:tr>
        <w:tc>
          <w:tcPr>
            <w:tcW w:type="dxa" w:w="4762"/>
            <w:vAlign w:val="center"/>
            <w:tcMar>
              <w:top w:w="90" w:type="dxa"/>
              <w:start w:w="90" w:type="dxa"/>
              <w:bottom w:w="90" w:type="dxa"/>
              <w:end w:w="90" w:type="dxa"/>
            </w:tcMar>
          </w:tcPr>
          <w:p>
            <w:pPr>
              <w:spacing w:after="0"/>
            </w:pPr>
            <w:r>
              <w:rPr>
                <w:sz w:val="17"/>
              </w:rPr>
              <w:t>Figure 2: distribution of wedge by medium-run income</w:t>
            </w:r>
          </w:p>
        </w:tc>
        <w:tc>
          <w:tcPr>
            <w:tcW w:type="dxa" w:w="4762"/>
            <w:vAlign w:val="center"/>
            <w:tcMar>
              <w:top w:w="90" w:type="dxa"/>
              <w:start w:w="90" w:type="dxa"/>
              <w:bottom w:w="90" w:type="dxa"/>
              <w:end w:w="90" w:type="dxa"/>
            </w:tcMar>
          </w:tcPr>
          <w:p>
            <w:pPr>
              <w:spacing w:after="0"/>
            </w:pPr>
            <w:r>
              <w:rPr>
                <w:sz w:val="17"/>
              </w:rPr>
              <w:t>Main empirical fact: mean, median, p10/p90 and share gaining</w:t>
            </w:r>
          </w:p>
        </w:tc>
      </w:tr>
      <w:tr>
        <w:tc>
          <w:tcPr>
            <w:tcW w:type="dxa" w:w="4762"/>
            <w:vAlign w:val="center"/>
            <w:tcMar>
              <w:top w:w="90" w:type="dxa"/>
              <w:start w:w="90" w:type="dxa"/>
              <w:bottom w:w="90" w:type="dxa"/>
              <w:end w:w="90" w:type="dxa"/>
            </w:tcMar>
            <w:shd w:fill="F3F5F7"/>
          </w:tcPr>
          <w:p>
            <w:pPr>
              <w:spacing w:after="0"/>
            </w:pPr>
            <w:r>
              <w:rPr>
                <w:sz w:val="17"/>
              </w:rPr>
              <w:t>Figure 3: income rank × volatility rank heat map</w:t>
            </w:r>
          </w:p>
        </w:tc>
        <w:tc>
          <w:tcPr>
            <w:tcW w:type="dxa" w:w="4762"/>
            <w:vAlign w:val="center"/>
            <w:tcMar>
              <w:top w:w="90" w:type="dxa"/>
              <w:start w:w="90" w:type="dxa"/>
              <w:bottom w:w="90" w:type="dxa"/>
              <w:end w:w="90" w:type="dxa"/>
            </w:tcMar>
            <w:shd w:fill="F3F5F7"/>
          </w:tcPr>
          <w:p>
            <w:pPr>
              <w:spacing w:after="0"/>
            </w:pPr>
            <w:r>
              <w:rPr>
                <w:sz w:val="17"/>
              </w:rPr>
              <w:t>Separate schedule shape from sorting on volatility</w:t>
            </w:r>
          </w:p>
        </w:tc>
      </w:tr>
      <w:tr>
        <w:tc>
          <w:tcPr>
            <w:tcW w:type="dxa" w:w="4762"/>
            <w:vAlign w:val="center"/>
            <w:tcMar>
              <w:top w:w="90" w:type="dxa"/>
              <w:start w:w="90" w:type="dxa"/>
              <w:bottom w:w="90" w:type="dxa"/>
              <w:end w:w="90" w:type="dxa"/>
            </w:tcMar>
          </w:tcPr>
          <w:p>
            <w:pPr>
              <w:spacing w:after="0"/>
            </w:pPr>
            <w:r>
              <w:rPr>
                <w:sz w:val="17"/>
              </w:rPr>
              <w:t>Table 2: headline incidence under four benchmarks</w:t>
            </w:r>
          </w:p>
        </w:tc>
        <w:tc>
          <w:tcPr>
            <w:tcW w:type="dxa" w:w="4762"/>
            <w:vAlign w:val="center"/>
            <w:tcMar>
              <w:top w:w="90" w:type="dxa"/>
              <w:start w:w="90" w:type="dxa"/>
              <w:bottom w:w="90" w:type="dxa"/>
              <w:end w:w="90" w:type="dxa"/>
            </w:tcMar>
          </w:tcPr>
          <w:p>
            <w:pPr>
              <w:spacing w:after="0"/>
            </w:pPr>
            <w:r>
              <w:rPr>
                <w:sz w:val="17"/>
              </w:rPr>
              <w:t>Reconcile signs, definitions, dollars and shares</w:t>
            </w:r>
          </w:p>
        </w:tc>
      </w:tr>
      <w:tr>
        <w:tc>
          <w:tcPr>
            <w:tcW w:type="dxa" w:w="4762"/>
            <w:vAlign w:val="center"/>
            <w:tcMar>
              <w:top w:w="90" w:type="dxa"/>
              <w:start w:w="90" w:type="dxa"/>
              <w:bottom w:w="90" w:type="dxa"/>
              <w:end w:w="90" w:type="dxa"/>
            </w:tcMar>
            <w:shd w:fill="F3F5F7"/>
          </w:tcPr>
          <w:p>
            <w:pPr>
              <w:spacing w:after="0"/>
            </w:pPr>
            <w:r>
              <w:rPr>
                <w:sz w:val="17"/>
              </w:rPr>
              <w:t>Figure 4: mechanism decomposition</w:t>
            </w:r>
          </w:p>
        </w:tc>
        <w:tc>
          <w:tcPr>
            <w:tcW w:type="dxa" w:w="4762"/>
            <w:vAlign w:val="center"/>
            <w:tcMar>
              <w:top w:w="90" w:type="dxa"/>
              <w:start w:w="90" w:type="dxa"/>
              <w:bottom w:w="90" w:type="dxa"/>
              <w:end w:w="90" w:type="dxa"/>
            </w:tcMar>
            <w:shd w:fill="F3F5F7"/>
          </w:tcPr>
          <w:p>
            <w:pPr>
              <w:spacing w:after="0"/>
            </w:pPr>
            <w:r>
              <w:rPr>
                <w:sz w:val="17"/>
              </w:rPr>
              <w:t>Fixed schedule, schedule change, lifecycle, extensive margin, residual and source</w:t>
            </w:r>
          </w:p>
        </w:tc>
      </w:tr>
      <w:tr>
        <w:tc>
          <w:tcPr>
            <w:tcW w:type="dxa" w:w="4762"/>
            <w:vAlign w:val="center"/>
            <w:tcMar>
              <w:top w:w="90" w:type="dxa"/>
              <w:start w:w="90" w:type="dxa"/>
              <w:bottom w:w="90" w:type="dxa"/>
              <w:end w:w="90" w:type="dxa"/>
            </w:tcMar>
          </w:tcPr>
          <w:p>
            <w:pPr>
              <w:spacing w:after="0"/>
            </w:pPr>
            <w:r>
              <w:rPr>
                <w:sz w:val="17"/>
              </w:rPr>
              <w:t>Figure 5: event profiles</w:t>
            </w:r>
          </w:p>
        </w:tc>
        <w:tc>
          <w:tcPr>
            <w:tcW w:type="dxa" w:w="4762"/>
            <w:vAlign w:val="center"/>
            <w:tcMar>
              <w:top w:w="90" w:type="dxa"/>
              <w:start w:w="90" w:type="dxa"/>
              <w:bottom w:w="90" w:type="dxa"/>
              <w:end w:w="90" w:type="dxa"/>
            </w:tcMar>
          </w:tcPr>
          <w:p>
            <w:pPr>
              <w:spacing w:after="0"/>
            </w:pPr>
            <w:r>
              <w:rPr>
                <w:sz w:val="17"/>
              </w:rPr>
              <w:t>Job loss, birth, retirement, business or capital-gain episodes</w:t>
            </w:r>
          </w:p>
        </w:tc>
      </w:tr>
      <w:tr>
        <w:tc>
          <w:tcPr>
            <w:tcW w:type="dxa" w:w="4762"/>
            <w:vAlign w:val="center"/>
            <w:tcMar>
              <w:top w:w="90" w:type="dxa"/>
              <w:start w:w="90" w:type="dxa"/>
              <w:bottom w:w="90" w:type="dxa"/>
              <w:end w:w="90" w:type="dxa"/>
            </w:tcMar>
            <w:shd w:fill="F3F5F7"/>
          </w:tcPr>
          <w:p>
            <w:pPr>
              <w:spacing w:after="0"/>
            </w:pPr>
            <w:r>
              <w:rPr>
                <w:sz w:val="17"/>
              </w:rPr>
              <w:t>Figure 6: household incidence</w:t>
            </w:r>
          </w:p>
        </w:tc>
        <w:tc>
          <w:tcPr>
            <w:tcW w:type="dxa" w:w="4762"/>
            <w:vAlign w:val="center"/>
            <w:tcMar>
              <w:top w:w="90" w:type="dxa"/>
              <w:start w:w="90" w:type="dxa"/>
              <w:bottom w:w="90" w:type="dxa"/>
              <w:end w:w="90" w:type="dxa"/>
            </w:tcMar>
            <w:shd w:fill="F3F5F7"/>
          </w:tcPr>
          <w:p>
            <w:pPr>
              <w:spacing w:after="0"/>
            </w:pPr>
            <w:r>
              <w:rPr>
                <w:sz w:val="17"/>
              </w:rPr>
              <w:t>Individual legal unit versus household resources and insurance</w:t>
            </w:r>
          </w:p>
        </w:tc>
      </w:tr>
      <w:tr>
        <w:tc>
          <w:tcPr>
            <w:tcW w:type="dxa" w:w="4762"/>
            <w:vAlign w:val="center"/>
            <w:tcMar>
              <w:top w:w="90" w:type="dxa"/>
              <w:start w:w="90" w:type="dxa"/>
              <w:bottom w:w="90" w:type="dxa"/>
              <w:end w:w="90" w:type="dxa"/>
            </w:tcMar>
          </w:tcPr>
          <w:p>
            <w:pPr>
              <w:spacing w:after="0"/>
            </w:pPr>
            <w:r>
              <w:rPr>
                <w:sz w:val="17"/>
              </w:rPr>
              <w:t>Table 3: feasible-policy fiscal incidence</w:t>
            </w:r>
          </w:p>
        </w:tc>
        <w:tc>
          <w:tcPr>
            <w:tcW w:type="dxa" w:w="4762"/>
            <w:vAlign w:val="center"/>
            <w:tcMar>
              <w:top w:w="90" w:type="dxa"/>
              <w:start w:w="90" w:type="dxa"/>
              <w:bottom w:w="90" w:type="dxa"/>
              <w:end w:w="90" w:type="dxa"/>
            </w:tcMar>
          </w:tcPr>
          <w:p>
            <w:pPr>
              <w:spacing w:after="0"/>
            </w:pPr>
            <w:r>
              <w:rPr>
                <w:sz w:val="17"/>
              </w:rPr>
              <w:t>Rolling/cumulative/carryforward, revenue, refunds, winners</w:t>
            </w:r>
          </w:p>
        </w:tc>
      </w:tr>
      <w:tr>
        <w:tc>
          <w:tcPr>
            <w:tcW w:type="dxa" w:w="4762"/>
            <w:vAlign w:val="center"/>
            <w:tcMar>
              <w:top w:w="90" w:type="dxa"/>
              <w:start w:w="90" w:type="dxa"/>
              <w:bottom w:w="90" w:type="dxa"/>
              <w:end w:w="90" w:type="dxa"/>
            </w:tcMar>
            <w:shd w:fill="F3F5F7"/>
          </w:tcPr>
          <w:p>
            <w:pPr>
              <w:spacing w:after="0"/>
            </w:pPr>
            <w:r>
              <w:rPr>
                <w:sz w:val="17"/>
              </w:rPr>
              <w:t>Figure 7: welfare by long-run income and liquidity</w:t>
            </w:r>
          </w:p>
        </w:tc>
        <w:tc>
          <w:tcPr>
            <w:tcW w:type="dxa" w:w="4762"/>
            <w:vAlign w:val="center"/>
            <w:tcMar>
              <w:top w:w="90" w:type="dxa"/>
              <w:start w:w="90" w:type="dxa"/>
              <w:bottom w:w="90" w:type="dxa"/>
              <w:end w:w="90" w:type="dxa"/>
            </w:tcMar>
            <w:shd w:fill="F3F5F7"/>
          </w:tcPr>
          <w:p>
            <w:pPr>
              <w:spacing w:after="0"/>
            </w:pPr>
            <w:r>
              <w:rPr>
                <w:sz w:val="17"/>
              </w:rPr>
              <w:t>Consumption-equivalent effects under common budget</w:t>
            </w:r>
          </w:p>
        </w:tc>
      </w:tr>
      <w:tr>
        <w:tc>
          <w:tcPr>
            <w:tcW w:type="dxa" w:w="4762"/>
            <w:vAlign w:val="center"/>
            <w:tcMar>
              <w:top w:w="90" w:type="dxa"/>
              <w:start w:w="90" w:type="dxa"/>
              <w:bottom w:w="90" w:type="dxa"/>
              <w:end w:w="90" w:type="dxa"/>
            </w:tcMar>
          </w:tcPr>
          <w:p>
            <w:pPr>
              <w:spacing w:after="0"/>
            </w:pPr>
            <w:r>
              <w:rPr>
                <w:sz w:val="17"/>
              </w:rPr>
              <w:t>Table 4: model fit and sensitivity</w:t>
            </w:r>
          </w:p>
        </w:tc>
        <w:tc>
          <w:tcPr>
            <w:tcW w:type="dxa" w:w="4762"/>
            <w:vAlign w:val="center"/>
            <w:tcMar>
              <w:top w:w="90" w:type="dxa"/>
              <w:start w:w="90" w:type="dxa"/>
              <w:bottom w:w="90" w:type="dxa"/>
              <w:end w:w="90" w:type="dxa"/>
            </w:tcMar>
          </w:tcPr>
          <w:p>
            <w:pPr>
              <w:spacing w:after="0"/>
            </w:pPr>
            <w:r>
              <w:rPr>
                <w:sz w:val="17"/>
              </w:rPr>
              <w:t>Empirical moments, closures, risk aversion and borrowing limits</w:t>
            </w:r>
          </w:p>
        </w:tc>
      </w:tr>
    </w:tbl>
    <w:p>
      <w:pPr>
        <w:spacing w:after="20"/>
        <w:widowControl/>
      </w:pPr>
    </w:p>
    <w:p>
      <w:pPr>
        <w:pStyle w:val="Heading1"/>
        <w:pBdr>
          <w:bottom w:val="single" w:sz="8" w:space="5" w:color="D9E1E8"/>
        </w:pBdr>
        <w:widowControl/>
      </w:pPr>
      <w:r>
        <w:t>9. Submission strategy</w:t>
      </w:r>
    </w:p>
    <w:p>
      <w:pPr>
        <w:pStyle w:val="Heading2"/>
        <w:widowControl/>
      </w:pPr>
      <w:r>
        <w:t>9.1 Recommended ladder</w:t>
      </w:r>
    </w:p>
    <w:p>
      <w:pPr>
        <w:pStyle w:val="Heading3"/>
        <w:widowControl/>
      </w:pPr>
      <w:r>
        <w:t>Reach: Journal of Public Economics</w:t>
      </w:r>
    </w:p>
    <w:p>
      <w:pPr>
        <w:widowControl/>
      </w:pPr>
      <w:r>
        <w:t>Fit: the question is squarely public economics, and the journal explicitly prioritises modern theory and quantitative analysis with policy relevance to an international readership.</w:t>
      </w:r>
    </w:p>
    <w:p>
      <w:pPr>
        <w:widowControl/>
      </w:pPr>
      <w:r>
        <w:t>What would be required:</w:t>
      </w:r>
    </w:p>
    <w:p>
      <w:pPr>
        <w:pStyle w:val="ListBullet"/>
        <w:spacing w:after="60"/>
        <w:widowControl/>
      </w:pPr>
      <w:r>
        <w:t>a clean new fact from population data;</w:t>
      </w:r>
    </w:p>
    <w:p>
      <w:pPr>
        <w:pStyle w:val="ListBullet"/>
        <w:spacing w:after="60"/>
        <w:widowControl/>
      </w:pPr>
      <w:r>
        <w:t>rigorous separation of lifecycle, risk and tax-system mechanisms;</w:t>
      </w:r>
    </w:p>
    <w:p>
      <w:pPr>
        <w:pStyle w:val="ListBullet"/>
        <w:spacing w:after="60"/>
        <w:widowControl/>
      </w:pPr>
      <w:r>
        <w:t>an implementable policy rather than only ex-post smoothing;</w:t>
      </w:r>
    </w:p>
    <w:p>
      <w:pPr>
        <w:pStyle w:val="ListBullet"/>
        <w:spacing w:after="60"/>
        <w:widowControl/>
      </w:pPr>
      <w:r>
        <w:t>a revenue-neutral welfare result with international relevance; and</w:t>
      </w:r>
    </w:p>
    <w:p>
      <w:pPr>
        <w:pStyle w:val="ListBullet"/>
      </w:pPr>
      <w:r>
        <w:t>preferably credible behavioural evidence or a particularly compelling model.</w:t>
      </w:r>
    </w:p>
    <w:p>
      <w:pPr>
        <w:pStyle w:val="ListBullet"/>
        <w:spacing w:after="60"/>
        <w:widowControl/>
      </w:pPr>
      <w:r>
        <w:t>clear differentiation from Krueger and Wu (2025, revised 2026) and the history-dependent-tax literature.</w:t>
      </w:r>
    </w:p>
    <w:p>
      <w:pPr>
        <w:widowControl/>
      </w:pPr>
      <w:r>
        <w:t>The current descriptive draft is not ready for this target. A strong completed version could justify a reach submission, especially if the lower-income incidence and welfare results are robust.</w:t>
      </w:r>
    </w:p>
    <w:p>
      <w:pPr>
        <w:pStyle w:val="Heading3"/>
        <w:widowControl/>
      </w:pPr>
      <w:r>
        <w:t>Strong natural targets: National Tax Journal or Fiscal Studies</w:t>
      </w:r>
    </w:p>
    <w:p>
      <w:pPr>
        <w:widowControl/>
      </w:pPr>
      <w:r>
        <w:rPr>
          <w:b/>
        </w:rPr>
        <w:t>National Tax Journal</w:t>
      </w:r>
      <w:r>
        <w:t xml:space="preserve"> is probably the best thematic fit. It publishes theoretical and empirical work on tax policy with explicit policy implications. A careful administrative-data decomposition plus feasible reform simulation would be well aligned.</w:t>
      </w:r>
    </w:p>
    <w:p>
      <w:pPr>
        <w:widowControl/>
      </w:pPr>
      <w:r>
        <w:rPr>
          <w:b/>
        </w:rPr>
        <w:t>Fiscal Studies</w:t>
      </w:r>
      <w:r>
        <w:t xml:space="preserve"> is also an excellent fit if the paper remains empirically led, policy relevant and accessible. Its audience values rigorous applied public economics, and the Australian institutional setting can carry an international lesson about assessment periods. Its preferred length is relatively compact, so the paper would need disciplined appendices.</w:t>
      </w:r>
    </w:p>
    <w:p>
      <w:pPr>
        <w:widowControl/>
      </w:pPr>
      <w:r>
        <w:t>My present recommendation is to build the paper to the NTJ/Fiscal Studies standard, then decide whether the completed welfare and behavioural contribution warrants trying Journal of Public Economics first.</w:t>
      </w:r>
    </w:p>
    <w:p>
      <w:pPr>
        <w:pStyle w:val="Heading3"/>
        <w:widowControl/>
      </w:pPr>
      <w:r>
        <w:t>Ambitious field target: International Tax and Public Finance</w:t>
      </w:r>
    </w:p>
    <w:p>
      <w:pPr>
        <w:widowControl/>
      </w:pPr>
      <w:r>
        <w:t>ITPF publishes both theoretical and empirical work across public economics. It becomes attractive if the paper integrates the analytic result, cross-time tax design and calibrated welfare analysis. Despite the journal’s historical strength in international issues, its current stated scope explicitly welcomes the breadth of public economics.</w:t>
      </w:r>
    </w:p>
    <w:p>
      <w:pPr>
        <w:pStyle w:val="Heading3"/>
        <w:widowControl/>
      </w:pPr>
      <w:r>
        <w:t>Good alternatives</w:t>
      </w:r>
    </w:p>
    <w:p>
      <w:pPr>
        <w:pStyle w:val="ListBullet"/>
        <w:spacing w:after="60"/>
        <w:widowControl/>
      </w:pPr>
      <w:r>
        <w:rPr>
          <w:b/>
        </w:rPr>
        <w:t>Journal of Economic Inequality:</w:t>
      </w:r>
      <w:r>
        <w:t xml:space="preserve"> appropriate if horizontal equity, mobility and inequality across income paths become the main contribution. Less natural if the final paper is primarily tax administration and welfare.</w:t>
      </w:r>
    </w:p>
    <w:p>
      <w:pPr>
        <w:pStyle w:val="ListBullet"/>
        <w:spacing w:after="60"/>
        <w:widowControl/>
      </w:pPr>
      <w:r>
        <w:rPr>
          <w:b/>
        </w:rPr>
        <w:t>Public Finance Review:</w:t>
      </w:r>
      <w:r>
        <w:t xml:space="preserve"> a solid policy-oriented public-finance outlet for a version with competent empirics and theory but a less decisive top-field contribution.</w:t>
      </w:r>
    </w:p>
    <w:p>
      <w:pPr>
        <w:pStyle w:val="ListBullet"/>
        <w:spacing w:after="60"/>
        <w:widowControl/>
      </w:pPr>
      <w:r>
        <w:rPr>
          <w:b/>
        </w:rPr>
        <w:t>Economic Record:</w:t>
      </w:r>
      <w:r>
        <w:t xml:space="preserve"> a natural Australian economics audience, especially if the contribution remains predominantly national and descriptive.</w:t>
      </w:r>
    </w:p>
    <w:p>
      <w:pPr>
        <w:pStyle w:val="ListBullet"/>
        <w:spacing w:after="60"/>
        <w:widowControl/>
      </w:pPr>
      <w:r>
        <w:rPr>
          <w:b/>
        </w:rPr>
        <w:t>Australian Economic Review:</w:t>
      </w:r>
      <w:r>
        <w:t xml:space="preserve"> best for a shorter, strongly policy-facing version; its stated remit is applied economics with relevance to Australian and Asia-Pacific policy.</w:t>
      </w:r>
    </w:p>
    <w:p>
      <w:pPr>
        <w:pStyle w:val="Heading2"/>
        <w:widowControl/>
      </w:pPr>
      <w:r>
        <w:t>9.2 Decision rule after the next full draft</w:t>
      </w:r>
    </w:p>
    <w:p>
      <w:pPr>
        <w:pStyle w:val="ListBullet"/>
        <w:spacing w:after="60"/>
        <w:widowControl/>
      </w:pPr>
      <w:r>
        <w:rPr>
          <w:b/>
        </w:rPr>
        <w:t>Try Journal of Public Economics</w:t>
      </w:r>
      <w:r>
        <w:t xml:space="preserve"> if the model produces a clear, nontrivial welfare insight, the lower-income result survives all sample/base definitions, and the paper has either behavioural identification or a sufficiently novel policy design.</w:t>
      </w:r>
    </w:p>
    <w:p>
      <w:pPr>
        <w:pStyle w:val="ListBullet"/>
        <w:spacing w:after="60"/>
        <w:widowControl/>
      </w:pPr>
      <w:r>
        <w:rPr>
          <w:b/>
        </w:rPr>
        <w:t>Submit to NTJ or Fiscal Studies</w:t>
      </w:r>
      <w:r>
        <w:t xml:space="preserve"> if the empirical decomposition and feasible-policy incidence are excellent but the behavioural or structural contribution remains modest.</w:t>
      </w:r>
    </w:p>
    <w:p>
      <w:pPr>
        <w:pStyle w:val="ListBullet"/>
        <w:spacing w:after="60"/>
        <w:widowControl/>
      </w:pPr>
      <w:r>
        <w:rPr>
          <w:b/>
        </w:rPr>
        <w:t>Submit to Economic Record or Australian Economic Review</w:t>
      </w:r>
      <w:r>
        <w:t xml:space="preserve"> if secure-data constraints prevent a full mechanism decomposition or model calibration but the Australian policy finding remains useful.</w:t>
      </w:r>
    </w:p>
    <w:p>
      <w:pPr>
        <w:widowControl/>
      </w:pPr>
      <w:r>
        <w:t>Do not submit anywhere until the sign/share audit, revenue-neutral calculation and data-vintage reconciliation are complete.</w:t>
      </w:r>
    </w:p>
    <w:p>
      <w:pPr>
        <w:pStyle w:val="Heading1"/>
        <w:pBdr>
          <w:bottom w:val="single" w:sz="8" w:space="5" w:color="D9E1E8"/>
        </w:pBdr>
        <w:widowControl/>
      </w:pPr>
      <w:r>
        <w:t>10. Prioritised work programme</w:t>
      </w:r>
    </w:p>
    <w:p>
      <w:pPr>
        <w:pStyle w:val="Heading2"/>
        <w:widowControl/>
      </w:pPr>
      <w:r>
        <w:t>Phase 0: one-week integrity sprint</w:t>
      </w:r>
    </w:p>
    <w:p>
      <w:pPr>
        <w:pStyle w:val="ListNumber"/>
        <w:spacing w:after="60"/>
        <w:widowControl/>
      </w:pPr>
      <w:r>
        <w:t>Freeze the data release and build a headline-statistics file.</w:t>
      </w:r>
    </w:p>
    <w:p>
      <w:pPr>
        <w:pStyle w:val="ListNumber"/>
        <w:spacing w:after="60"/>
        <w:widowControl/>
      </w:pPr>
      <w:r>
        <w:t>Define the gap sign once and rename every output.</w:t>
      </w:r>
    </w:p>
    <w:p>
      <w:pPr>
        <w:pStyle w:val="ListNumber"/>
        <w:spacing w:after="60"/>
        <w:widowControl/>
      </w:pPr>
      <w:r>
        <w:t>Reconcile the 80/20 claims, 11.58m/11.28m counts and regression signs.</w:t>
      </w:r>
    </w:p>
    <w:p>
      <w:pPr>
        <w:pStyle w:val="ListNumber"/>
        <w:spacing w:after="60"/>
        <w:widowControl/>
      </w:pPr>
      <w:r>
        <w:t>Remove or regenerate the revenue-neutral figure.</w:t>
      </w:r>
    </w:p>
    <w:p>
      <w:pPr>
        <w:pStyle w:val="ListNumber"/>
        <w:spacing w:after="60"/>
        <w:widowControl/>
      </w:pPr>
      <w:r>
        <w:t>Regenerate distribution and decomposition from the same pull.</w:t>
      </w:r>
    </w:p>
    <w:p>
      <w:pPr>
        <w:pStyle w:val="ListNumber"/>
        <w:spacing w:after="60"/>
        <w:widowControl/>
      </w:pPr>
      <w:r>
        <w:t>Produce a tax-calculator validation table.</w:t>
      </w:r>
    </w:p>
    <w:p>
      <w:pPr>
        <w:widowControl/>
      </w:pPr>
      <w:r>
        <w:t>Deliverable: a two-page results memo whose numbers reproduce the abstract automatically.</w:t>
      </w:r>
    </w:p>
    <w:p>
      <w:pPr>
        <w:pStyle w:val="Heading2"/>
        <w:widowControl/>
      </w:pPr>
      <w:r>
        <w:t>Phase 1: four-to-six-week empirical core</w:t>
      </w:r>
    </w:p>
    <w:p>
      <w:pPr>
        <w:pStyle w:val="ListNumber"/>
        <w:spacing w:after="60"/>
        <w:widowControl/>
      </w:pPr>
      <w:r>
        <w:t>Finalise main resource and tax concepts, discounting and benchmark.</w:t>
      </w:r>
    </w:p>
    <w:p>
      <w:pPr>
        <w:pStyle w:val="ListNumber"/>
        <w:spacing w:after="60"/>
        <w:widowControl/>
      </w:pPr>
      <w:r>
        <w:t>Run the sample ladder and window robustness.</w:t>
      </w:r>
    </w:p>
    <w:p>
      <w:pPr>
        <w:pStyle w:val="ListNumber"/>
        <w:spacing w:after="60"/>
        <w:widowControl/>
      </w:pPr>
      <w:r>
        <w:t>Produce fixed-schedule and actual-schedule decompositions.</w:t>
      </w:r>
    </w:p>
    <w:p>
      <w:pPr>
        <w:pStyle w:val="ListNumber"/>
        <w:spacing w:after="60"/>
        <w:widowControl/>
      </w:pPr>
      <w:r>
        <w:t>Estimate the two-part lifecycle/income process.</w:t>
      </w:r>
    </w:p>
    <w:p>
      <w:pPr>
        <w:pStyle w:val="ListNumber"/>
        <w:spacing w:after="60"/>
        <w:widowControl/>
      </w:pPr>
      <w:r>
        <w:t>Add source and household decompositions.</w:t>
      </w:r>
    </w:p>
    <w:p>
      <w:pPr>
        <w:pStyle w:val="ListNumber"/>
        <w:spacing w:after="60"/>
        <w:widowControl/>
      </w:pPr>
      <w:r>
        <w:t>Produce at least three event profiles.</w:t>
      </w:r>
    </w:p>
    <w:p>
      <w:pPr>
        <w:widowControl/>
      </w:pPr>
      <w:r>
        <w:t>Deliverable: complete measurement and mechanisms sections with frozen tables and figures.</w:t>
      </w:r>
    </w:p>
    <w:p>
      <w:pPr>
        <w:pStyle w:val="Heading2"/>
        <w:widowControl/>
      </w:pPr>
      <w:r>
        <w:t>Phase 2: four-to-six-week policy and model build</w:t>
      </w:r>
    </w:p>
    <w:p>
      <w:pPr>
        <w:pStyle w:val="ListNumber"/>
        <w:spacing w:after="60"/>
        <w:widowControl/>
      </w:pPr>
      <w:r>
        <w:t>Formalise the two-period proposition and matching-unit result.</w:t>
      </w:r>
    </w:p>
    <w:p>
      <w:pPr>
        <w:pStyle w:val="ListNumber"/>
        <w:spacing w:after="60"/>
        <w:widowControl/>
      </w:pPr>
      <w:r>
        <w:t>Code implementable cumulative, rolling and carryforward policies.</w:t>
      </w:r>
    </w:p>
    <w:p>
      <w:pPr>
        <w:pStyle w:val="ListNumber"/>
        <w:spacing w:after="60"/>
        <w:widowControl/>
      </w:pPr>
      <w:r>
        <w:t>Add present-value fiscal accounting and three closures.</w:t>
      </w:r>
    </w:p>
    <w:p>
      <w:pPr>
        <w:pStyle w:val="ListNumber"/>
        <w:spacing w:after="60"/>
        <w:widowControl/>
      </w:pPr>
      <w:r>
        <w:t>Calibrate the income process and saving/borrowing model.</w:t>
      </w:r>
    </w:p>
    <w:p>
      <w:pPr>
        <w:pStyle w:val="ListNumber"/>
        <w:spacing w:after="60"/>
        <w:widowControl/>
      </w:pPr>
      <w:r>
        <w:t>Estimate CEV incidence and sensitivity.</w:t>
      </w:r>
    </w:p>
    <w:p>
      <w:pPr>
        <w:widowControl/>
      </w:pPr>
      <w:r>
        <w:t>Deliverable: policy and welfare sections plus reproducible model package.</w:t>
      </w:r>
    </w:p>
    <w:p>
      <w:pPr>
        <w:pStyle w:val="Heading2"/>
        <w:widowControl/>
      </w:pPr>
      <w:r>
        <w:t>Phase 3: two-to-three-week rewrite</w:t>
      </w:r>
    </w:p>
    <w:p>
      <w:pPr>
        <w:pStyle w:val="ListNumber"/>
        <w:spacing w:after="60"/>
        <w:widowControl/>
      </w:pPr>
      <w:r>
        <w:t>Rewrite title, abstract and introduction after results freeze.</w:t>
      </w:r>
    </w:p>
    <w:p>
      <w:pPr>
        <w:pStyle w:val="ListNumber"/>
        <w:spacing w:after="60"/>
        <w:widowControl/>
      </w:pPr>
      <w:r>
        <w:t>Reorder the paper around question → measurement → mechanisms → policy → welfare.</w:t>
      </w:r>
    </w:p>
    <w:p>
      <w:pPr>
        <w:pStyle w:val="ListNumber"/>
        <w:spacing w:after="60"/>
        <w:widowControl/>
      </w:pPr>
      <w:r>
        <w:t>Cut legacy material and unfinished promises.</w:t>
      </w:r>
    </w:p>
    <w:p>
      <w:pPr>
        <w:pStyle w:val="ListNumber"/>
        <w:spacing w:after="60"/>
        <w:widowControl/>
      </w:pPr>
      <w:r>
        <w:t>Add institutional, methods, disclosure and replication appendices.</w:t>
      </w:r>
    </w:p>
    <w:p>
      <w:pPr>
        <w:pStyle w:val="ListNumber"/>
        <w:spacing w:after="60"/>
        <w:widowControl/>
      </w:pPr>
      <w:r>
        <w:t>Circulate a journal-targeted draft with a one-page contribution memo.</w:t>
      </w:r>
    </w:p>
    <w:p>
      <w:pPr>
        <w:pStyle w:val="Heading1"/>
        <w:pBdr>
          <w:bottom w:val="single" w:sz="8" w:space="5" w:color="D9E1E8"/>
        </w:pBdr>
        <w:widowControl/>
      </w:pPr>
      <w:r>
        <w:t>11. Referee-style checklist</w:t>
      </w:r>
    </w:p>
    <w:p>
      <w:pPr>
        <w:pStyle w:val="Heading2"/>
        <w:widowControl/>
      </w:pPr>
      <w:r>
        <w:t>Core identification and interpretation</w:t>
      </w:r>
    </w:p>
    <w:p>
      <w:pPr>
        <w:pStyle w:val="ListBullet"/>
        <w:widowControl/>
      </w:pPr>
      <w:r>
        <w:t>☐ The main estimand is written as an equation and in words.</w:t>
      </w:r>
    </w:p>
    <w:p>
      <w:pPr>
        <w:pStyle w:val="ListBullet"/>
        <w:widowControl/>
      </w:pPr>
      <w:r>
        <w:t>☐ Equal resources mean a declared present-value concept.</w:t>
      </w:r>
    </w:p>
    <w:p>
      <w:pPr>
        <w:pStyle w:val="ListBullet"/>
        <w:widowControl/>
      </w:pPr>
      <w:r>
        <w:t>☐ “Risk” is not inferred from a generic residual.</w:t>
      </w:r>
    </w:p>
    <w:p>
      <w:pPr>
        <w:pStyle w:val="ListBullet"/>
        <w:widowControl/>
      </w:pPr>
      <w:r>
        <w:t>☐ “Horizontal equity” states the equivalence class.</w:t>
      </w:r>
    </w:p>
    <w:p>
      <w:pPr>
        <w:pStyle w:val="ListBullet"/>
        <w:widowControl/>
      </w:pPr>
      <w:r>
        <w:t>☐ Ten-year results are not called lifetime results.</w:t>
      </w:r>
    </w:p>
    <w:p>
      <w:pPr>
        <w:pStyle w:val="ListBullet"/>
        <w:widowControl/>
      </w:pPr>
      <w:r>
        <w:t>☐ Accounting, policy and welfare objects are visually and verbally distinct.</w:t>
      </w:r>
    </w:p>
    <w:p>
      <w:pPr>
        <w:pStyle w:val="Heading2"/>
        <w:widowControl/>
      </w:pPr>
      <w:r>
        <w:t>Data and measurement</w:t>
      </w:r>
    </w:p>
    <w:p>
      <w:pPr>
        <w:pStyle w:val="ListBullet"/>
        <w:widowControl/>
      </w:pPr>
      <w:r>
        <w:t>☐ Filing and zero-income years are handled transparently.</w:t>
      </w:r>
    </w:p>
    <w:p>
      <w:pPr>
        <w:pStyle w:val="ListBullet"/>
        <w:widowControl/>
      </w:pPr>
      <w:r>
        <w:t>☐ Sample counts reconcile across all outputs.</w:t>
      </w:r>
    </w:p>
    <w:p>
      <w:pPr>
        <w:pStyle w:val="ListBullet"/>
        <w:widowControl/>
      </w:pPr>
      <w:r>
        <w:t>☐ Taxable, gross cash and economic income results are compared.</w:t>
      </w:r>
    </w:p>
    <w:p>
      <w:pPr>
        <w:pStyle w:val="ListBullet"/>
        <w:widowControl/>
      </w:pPr>
      <w:r>
        <w:t>☐ The tax calculator matches assessed tax by year and income group.</w:t>
      </w:r>
    </w:p>
    <w:p>
      <w:pPr>
        <w:pStyle w:val="ListBullet"/>
        <w:widowControl/>
      </w:pPr>
      <w:r>
        <w:t>☐ Capital-gain limitations are explicit.</w:t>
      </w:r>
    </w:p>
    <w:p>
      <w:pPr>
        <w:pStyle w:val="ListBullet"/>
        <w:widowControl/>
      </w:pPr>
      <w:r>
        <w:t>☐ Window and endpoint sensitivity are reported.</w:t>
      </w:r>
    </w:p>
    <w:p>
      <w:pPr>
        <w:pStyle w:val="Heading2"/>
        <w:widowControl/>
      </w:pPr>
      <w:r>
        <w:t>Results integrity</w:t>
      </w:r>
    </w:p>
    <w:p>
      <w:pPr>
        <w:pStyle w:val="ListBullet"/>
        <w:widowControl/>
      </w:pPr>
      <w:r>
        <w:t>☐ The 80/20 or replacement headline is generated automatically.</w:t>
      </w:r>
    </w:p>
    <w:p>
      <w:pPr>
        <w:pStyle w:val="ListBullet"/>
        <w:widowControl/>
      </w:pPr>
      <w:r>
        <w:t>☐ Positive always has one meaning.</w:t>
      </w:r>
    </w:p>
    <w:p>
      <w:pPr>
        <w:pStyle w:val="ListBullet"/>
        <w:widowControl/>
      </w:pPr>
      <w:r>
        <w:t>☐ Every figure uses one frozen data release.</w:t>
      </w:r>
    </w:p>
    <w:p>
      <w:pPr>
        <w:pStyle w:val="ListBullet"/>
        <w:widowControl/>
      </w:pPr>
      <w:r>
        <w:t>☐ Revenue neutrality is actually solved and present-value balanced.</w:t>
      </w:r>
    </w:p>
    <w:p>
      <w:pPr>
        <w:pStyle w:val="ListBullet"/>
        <w:widowControl/>
      </w:pPr>
      <w:r>
        <w:t>☐ Shapley inputs and negative contributions are documented.</w:t>
      </w:r>
    </w:p>
    <w:p>
      <w:pPr>
        <w:pStyle w:val="ListBullet"/>
        <w:widowControl/>
      </w:pPr>
      <w:r>
        <w:t>☐ Main distributions show more than a mean line.</w:t>
      </w:r>
    </w:p>
    <w:p>
      <w:pPr>
        <w:pStyle w:val="Heading2"/>
        <w:widowControl/>
      </w:pPr>
      <w:r>
        <w:t>Model and policy</w:t>
      </w:r>
    </w:p>
    <w:p>
      <w:pPr>
        <w:pStyle w:val="ListBullet"/>
        <w:widowControl/>
      </w:pPr>
      <w:r>
        <w:t>☐ Policy rules use no future information unless settlement is explicit.</w:t>
      </w:r>
    </w:p>
    <w:p>
      <w:pPr>
        <w:pStyle w:val="ListBullet"/>
        <w:widowControl/>
      </w:pPr>
      <w:r>
        <w:t>☐ Indexation matches the unit of the benchmark.</w:t>
      </w:r>
    </w:p>
    <w:p>
      <w:pPr>
        <w:pStyle w:val="ListBullet"/>
        <w:widowControl/>
      </w:pPr>
      <w:r>
        <w:t>☐ Transition and negative liabilities are specified.</w:t>
      </w:r>
    </w:p>
    <w:p>
      <w:pPr>
        <w:pStyle w:val="ListBullet"/>
        <w:widowControl/>
      </w:pPr>
      <w:r>
        <w:t>☐ The government budget uses discounted revenue.</w:t>
      </w:r>
    </w:p>
    <w:p>
      <w:pPr>
        <w:pStyle w:val="ListBullet"/>
        <w:widowControl/>
      </w:pPr>
      <w:r>
        <w:t>☐ Welfare is consumption equivalent and heterogeneous.</w:t>
      </w:r>
    </w:p>
    <w:p>
      <w:pPr>
        <w:pStyle w:val="ListBullet"/>
        <w:widowControl/>
      </w:pPr>
      <w:r>
        <w:t>☐ Fiscal-closure sensitivity is shown.</w:t>
      </w:r>
    </w:p>
    <w:p>
      <w:pPr>
        <w:pStyle w:val="Heading2"/>
        <w:widowControl/>
      </w:pPr>
      <w:r>
        <w:t>Writing and positioning</w:t>
      </w:r>
    </w:p>
    <w:p>
      <w:pPr>
        <w:pStyle w:val="ListBullet"/>
        <w:widowControl/>
      </w:pPr>
      <w:r>
        <w:t>☐ The title is about assessment periods/timing.</w:t>
      </w:r>
    </w:p>
    <w:p>
      <w:pPr>
        <w:pStyle w:val="ListBullet"/>
        <w:widowControl/>
      </w:pPr>
      <w:r>
        <w:t>☐ The introduction has exactly three contributions.</w:t>
      </w:r>
    </w:p>
    <w:p>
      <w:pPr>
        <w:pStyle w:val="ListBullet"/>
        <w:widowControl/>
      </w:pPr>
      <w:r>
        <w:t>☐ The Australian setting delivers an international lesson.</w:t>
      </w:r>
    </w:p>
    <w:p>
      <w:pPr>
        <w:pStyle w:val="ListBullet"/>
        <w:widowControl/>
      </w:pPr>
      <w:r>
        <w:t>☐ Prior cross-sectional work is background, not a second paper.</w:t>
      </w:r>
    </w:p>
    <w:p>
      <w:pPr>
        <w:pStyle w:val="ListBullet"/>
        <w:widowControl/>
      </w:pPr>
      <w:r>
        <w:t>☐ All promised analyses appear before the conclusion.</w:t>
      </w:r>
    </w:p>
    <w:p>
      <w:pPr>
        <w:pStyle w:val="ListBullet"/>
        <w:widowControl/>
      </w:pPr>
      <w:r>
        <w:t>☐ The public replication layer rebuilds all cleared outputs.</w:t>
      </w:r>
    </w:p>
    <w:p>
      <w:pPr>
        <w:widowControl/>
      </w:pPr>
      <w:r>
        <w:br w:type="page"/>
      </w:r>
    </w:p>
    <w:p>
      <w:pPr>
        <w:pStyle w:val="Heading1"/>
        <w:pBdr>
          <w:bottom w:val="single" w:sz="8" w:space="5" w:color="D9E1E8"/>
        </w:pBdr>
        <w:widowControl/>
      </w:pPr>
      <w:r>
        <w:t>Appendix A. Recommended definitions</w:t>
      </w:r>
    </w:p>
    <w:p>
      <w:pPr>
        <w:pStyle w:val="Heading2"/>
        <w:widowControl/>
      </w:pPr>
      <w:r>
        <w:t>A.1 Accounting benchmark</w:t>
      </w:r>
    </w:p>
    <w:p>
      <w:pPr>
        <w:widowControl/>
      </w:pPr>
      <w:r>
        <w:t>An ex-post redistribution of the observed within-window income path that preserves a defined resource total. It is a measurement device and may use future income.</w:t>
      </w:r>
    </w:p>
    <w:p>
      <w:pPr>
        <w:pStyle w:val="Heading2"/>
        <w:widowControl/>
      </w:pPr>
      <w:r>
        <w:t>A.2 Implementable averaging</w:t>
      </w:r>
    </w:p>
    <w:p>
      <w:pPr>
        <w:widowControl/>
      </w:pPr>
      <w:r>
        <w:t>A tax rule based only on information available up to the assessment date, possibly with a rolling history, indexed tax account, refunds and end-of-horizon settlement.</w:t>
      </w:r>
    </w:p>
    <w:p>
      <w:pPr>
        <w:pStyle w:val="Heading2"/>
        <w:widowControl/>
      </w:pPr>
      <w:r>
        <w:t>A.3 Annual-assessment timing wedge</w:t>
      </w:r>
    </w:p>
    <w:p>
      <w:pPr>
        <w:widowControl/>
      </w:pPr>
      <w:r>
        <w:t>Present-value tax under annual assessment minus present-value tax on a declared accounting benchmark with equal resources.</w:t>
      </w:r>
    </w:p>
    <w:p>
      <w:pPr>
        <w:pStyle w:val="Heading2"/>
        <w:widowControl/>
      </w:pPr>
      <w:r>
        <w:t>A.4 Convexity wedge</w:t>
      </w:r>
    </w:p>
    <w:p>
      <w:pPr>
        <w:widowControl/>
      </w:pPr>
      <w:r>
        <w:t>The timing wedge when all years use a common tax-liability function in the same units. Under global convexity it is nonnegative.</w:t>
      </w:r>
    </w:p>
    <w:p>
      <w:pPr>
        <w:pStyle w:val="Heading2"/>
        <w:widowControl/>
      </w:pPr>
      <w:r>
        <w:t>A.5 Schedule-change component</w:t>
      </w:r>
    </w:p>
    <w:p>
      <w:pPr>
        <w:widowControl/>
      </w:pPr>
      <w:r>
        <w:t>The difference between the actual-schedule timing wedge and the fixed-schedule convexity wedge, including interactions with income timing.</w:t>
      </w:r>
    </w:p>
    <w:p>
      <w:pPr>
        <w:pStyle w:val="Heading2"/>
        <w:widowControl/>
      </w:pPr>
      <w:r>
        <w:t>A.6 Ex-ante insurance</w:t>
      </w:r>
    </w:p>
    <w:p>
      <w:pPr>
        <w:widowControl/>
      </w:pPr>
      <w:r>
        <w:t>The change in expected utility or consumption volatility before income shocks are realised, holding the government budget and available private saving technology explicit.</w:t>
      </w:r>
    </w:p>
    <w:p>
      <w:pPr>
        <w:pStyle w:val="Heading2"/>
        <w:widowControl/>
      </w:pPr>
      <w:r>
        <w:t>A.7 Ex-post horizontal treatment</w:t>
      </w:r>
    </w:p>
    <w:p>
      <w:pPr>
        <w:widowControl/>
      </w:pPr>
      <w:r>
        <w:t>The dispersion of present-value tax among people declared equivalent under a specific resource and circumstance concept.</w:t>
      </w:r>
    </w:p>
    <w:p>
      <w:pPr>
        <w:pStyle w:val="Heading1"/>
        <w:pBdr>
          <w:bottom w:val="single" w:sz="8" w:space="5" w:color="D9E1E8"/>
        </w:pBdr>
        <w:widowControl/>
      </w:pPr>
      <w:r>
        <w:t>Appendix B. Suggested empirical decomposition matrix</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3175"/>
            <w:vAlign w:val="center"/>
            <w:tcMar>
              <w:top w:w="90" w:type="dxa"/>
              <w:start w:w="90" w:type="dxa"/>
              <w:bottom w:w="90" w:type="dxa"/>
              <w:end w:w="90" w:type="dxa"/>
            </w:tcMar>
            <w:shd w:fill="17365D"/>
          </w:tcPr>
          <w:p>
            <w:pPr>
              <w:spacing w:after="0"/>
            </w:pPr>
            <w:r>
              <w:rPr>
                <w:b/>
                <w:color w:val="FFFFFF"/>
                <w:sz w:val="18"/>
              </w:rPr>
              <w:t>Axis</w:t>
            </w:r>
          </w:p>
        </w:tc>
        <w:tc>
          <w:tcPr>
            <w:tcW w:type="dxa" w:w="3175"/>
            <w:vAlign w:val="center"/>
            <w:tcMar>
              <w:top w:w="90" w:type="dxa"/>
              <w:start w:w="90" w:type="dxa"/>
              <w:bottom w:w="90" w:type="dxa"/>
              <w:end w:w="90" w:type="dxa"/>
            </w:tcMar>
            <w:shd w:fill="17365D"/>
          </w:tcPr>
          <w:p>
            <w:pPr>
              <w:spacing w:after="0"/>
            </w:pPr>
            <w:r>
              <w:rPr>
                <w:b/>
                <w:color w:val="FFFFFF"/>
                <w:sz w:val="18"/>
              </w:rPr>
              <w:t>Minimum split</w:t>
            </w:r>
          </w:p>
        </w:tc>
        <w:tc>
          <w:tcPr>
            <w:tcW w:type="dxa" w:w="3175"/>
            <w:vAlign w:val="center"/>
            <w:tcMar>
              <w:top w:w="90" w:type="dxa"/>
              <w:start w:w="90" w:type="dxa"/>
              <w:bottom w:w="90" w:type="dxa"/>
              <w:end w:w="90" w:type="dxa"/>
            </w:tcMar>
            <w:shd w:fill="17365D"/>
          </w:tcPr>
          <w:p>
            <w:pPr>
              <w:spacing w:after="0"/>
            </w:pPr>
            <w:r>
              <w:rPr>
                <w:b/>
                <w:color w:val="FFFFFF"/>
                <w:sz w:val="18"/>
              </w:rPr>
              <w:t>Preferred extension</w:t>
            </w:r>
          </w:p>
        </w:tc>
      </w:tr>
      <w:tr>
        <w:tc>
          <w:tcPr>
            <w:tcW w:type="dxa" w:w="3175"/>
            <w:vAlign w:val="center"/>
            <w:tcMar>
              <w:top w:w="90" w:type="dxa"/>
              <w:start w:w="90" w:type="dxa"/>
              <w:bottom w:w="90" w:type="dxa"/>
              <w:end w:w="90" w:type="dxa"/>
            </w:tcMar>
          </w:tcPr>
          <w:p>
            <w:pPr>
              <w:spacing w:after="0"/>
            </w:pPr>
            <w:r>
              <w:rPr>
                <w:sz w:val="17"/>
              </w:rPr>
              <w:t>Resources</w:t>
            </w:r>
          </w:p>
        </w:tc>
        <w:tc>
          <w:tcPr>
            <w:tcW w:type="dxa" w:w="3175"/>
            <w:vAlign w:val="center"/>
            <w:tcMar>
              <w:top w:w="90" w:type="dxa"/>
              <w:start w:w="90" w:type="dxa"/>
              <w:bottom w:w="90" w:type="dxa"/>
              <w:end w:w="90" w:type="dxa"/>
            </w:tcMar>
          </w:tcPr>
          <w:p>
            <w:pPr>
              <w:spacing w:after="0"/>
            </w:pPr>
            <w:r>
              <w:rPr>
                <w:sz w:val="17"/>
              </w:rPr>
              <w:t>individual medium-run real income decile</w:t>
            </w:r>
          </w:p>
        </w:tc>
        <w:tc>
          <w:tcPr>
            <w:tcW w:type="dxa" w:w="3175"/>
            <w:vAlign w:val="center"/>
            <w:tcMar>
              <w:top w:w="90" w:type="dxa"/>
              <w:start w:w="90" w:type="dxa"/>
              <w:bottom w:w="90" w:type="dxa"/>
              <w:end w:w="90" w:type="dxa"/>
            </w:tcMar>
          </w:tcPr>
          <w:p>
            <w:pPr>
              <w:spacing w:after="0"/>
            </w:pPr>
            <w:r>
              <w:rPr>
                <w:sz w:val="17"/>
              </w:rPr>
              <w:t>household equivalised income and wealth/liquidity</w:t>
            </w:r>
          </w:p>
        </w:tc>
      </w:tr>
      <w:tr>
        <w:tc>
          <w:tcPr>
            <w:tcW w:type="dxa" w:w="3175"/>
            <w:vAlign w:val="center"/>
            <w:tcMar>
              <w:top w:w="90" w:type="dxa"/>
              <w:start w:w="90" w:type="dxa"/>
              <w:bottom w:w="90" w:type="dxa"/>
              <w:end w:w="90" w:type="dxa"/>
            </w:tcMar>
            <w:shd w:fill="F3F5F7"/>
          </w:tcPr>
          <w:p>
            <w:pPr>
              <w:spacing w:after="0"/>
            </w:pPr>
            <w:r>
              <w:rPr>
                <w:sz w:val="17"/>
              </w:rPr>
              <w:t>Volatility</w:t>
            </w:r>
          </w:p>
        </w:tc>
        <w:tc>
          <w:tcPr>
            <w:tcW w:type="dxa" w:w="3175"/>
            <w:vAlign w:val="center"/>
            <w:tcMar>
              <w:top w:w="90" w:type="dxa"/>
              <w:start w:w="90" w:type="dxa"/>
              <w:bottom w:w="90" w:type="dxa"/>
              <w:end w:w="90" w:type="dxa"/>
            </w:tcMar>
            <w:shd w:fill="F3F5F7"/>
          </w:tcPr>
          <w:p>
            <w:pPr>
              <w:spacing w:after="0"/>
            </w:pPr>
            <w:r>
              <w:rPr>
                <w:sz w:val="17"/>
              </w:rPr>
              <w:t>coefficient/IHS residual decile</w:t>
            </w:r>
          </w:p>
        </w:tc>
        <w:tc>
          <w:tcPr>
            <w:tcW w:type="dxa" w:w="3175"/>
            <w:vAlign w:val="center"/>
            <w:tcMar>
              <w:top w:w="90" w:type="dxa"/>
              <w:start w:w="90" w:type="dxa"/>
              <w:bottom w:w="90" w:type="dxa"/>
              <w:end w:w="90" w:type="dxa"/>
            </w:tcMar>
            <w:shd w:fill="F3F5F7"/>
          </w:tcPr>
          <w:p>
            <w:pPr>
              <w:spacing w:after="0"/>
            </w:pPr>
            <w:r>
              <w:rPr>
                <w:sz w:val="17"/>
              </w:rPr>
              <w:t>persistent, transitory, downside, extensive-margin states</w:t>
            </w:r>
          </w:p>
        </w:tc>
      </w:tr>
      <w:tr>
        <w:tc>
          <w:tcPr>
            <w:tcW w:type="dxa" w:w="3175"/>
            <w:vAlign w:val="center"/>
            <w:tcMar>
              <w:top w:w="90" w:type="dxa"/>
              <w:start w:w="90" w:type="dxa"/>
              <w:bottom w:w="90" w:type="dxa"/>
              <w:end w:w="90" w:type="dxa"/>
            </w:tcMar>
          </w:tcPr>
          <w:p>
            <w:pPr>
              <w:spacing w:after="0"/>
            </w:pPr>
            <w:r>
              <w:rPr>
                <w:sz w:val="17"/>
              </w:rPr>
              <w:t>Lifecycle</w:t>
            </w:r>
          </w:p>
        </w:tc>
        <w:tc>
          <w:tcPr>
            <w:tcW w:type="dxa" w:w="3175"/>
            <w:vAlign w:val="center"/>
            <w:tcMar>
              <w:top w:w="90" w:type="dxa"/>
              <w:start w:w="90" w:type="dxa"/>
              <w:bottom w:w="90" w:type="dxa"/>
              <w:end w:w="90" w:type="dxa"/>
            </w:tcMar>
          </w:tcPr>
          <w:p>
            <w:pPr>
              <w:spacing w:after="0"/>
            </w:pPr>
            <w:r>
              <w:rPr>
                <w:sz w:val="17"/>
              </w:rPr>
              <w:t>age × sex</w:t>
            </w:r>
          </w:p>
        </w:tc>
        <w:tc>
          <w:tcPr>
            <w:tcW w:type="dxa" w:w="3175"/>
            <w:vAlign w:val="center"/>
            <w:tcMar>
              <w:top w:w="90" w:type="dxa"/>
              <w:start w:w="90" w:type="dxa"/>
              <w:bottom w:w="90" w:type="dxa"/>
              <w:end w:w="90" w:type="dxa"/>
            </w:tcMar>
          </w:tcPr>
          <w:p>
            <w:pPr>
              <w:spacing w:after="0"/>
            </w:pPr>
            <w:r>
              <w:rPr>
                <w:sz w:val="17"/>
              </w:rPr>
              <w:t>cohort × education/occupation × long-run rank</w:t>
            </w:r>
          </w:p>
        </w:tc>
      </w:tr>
      <w:tr>
        <w:tc>
          <w:tcPr>
            <w:tcW w:type="dxa" w:w="3175"/>
            <w:vAlign w:val="center"/>
            <w:tcMar>
              <w:top w:w="90" w:type="dxa"/>
              <w:start w:w="90" w:type="dxa"/>
              <w:bottom w:w="90" w:type="dxa"/>
              <w:end w:w="90" w:type="dxa"/>
            </w:tcMar>
            <w:shd w:fill="F3F5F7"/>
          </w:tcPr>
          <w:p>
            <w:pPr>
              <w:spacing w:after="0"/>
            </w:pPr>
            <w:r>
              <w:rPr>
                <w:sz w:val="17"/>
              </w:rPr>
              <w:t>Income source</w:t>
            </w:r>
          </w:p>
        </w:tc>
        <w:tc>
          <w:tcPr>
            <w:tcW w:type="dxa" w:w="3175"/>
            <w:vAlign w:val="center"/>
            <w:tcMar>
              <w:top w:w="90" w:type="dxa"/>
              <w:start w:w="90" w:type="dxa"/>
              <w:bottom w:w="90" w:type="dxa"/>
              <w:end w:w="90" w:type="dxa"/>
            </w:tcMar>
            <w:shd w:fill="F3F5F7"/>
          </w:tcPr>
          <w:p>
            <w:pPr>
              <w:spacing w:after="0"/>
            </w:pPr>
            <w:r>
              <w:rPr>
                <w:sz w:val="17"/>
              </w:rPr>
              <w:t>wages, business, investment, gains, transfers</w:t>
            </w:r>
          </w:p>
        </w:tc>
        <w:tc>
          <w:tcPr>
            <w:tcW w:type="dxa" w:w="3175"/>
            <w:vAlign w:val="center"/>
            <w:tcMar>
              <w:top w:w="90" w:type="dxa"/>
              <w:start w:w="90" w:type="dxa"/>
              <w:bottom w:w="90" w:type="dxa"/>
              <w:end w:w="90" w:type="dxa"/>
            </w:tcMar>
            <w:shd w:fill="F3F5F7"/>
          </w:tcPr>
          <w:p>
            <w:pPr>
              <w:spacing w:after="0"/>
            </w:pPr>
            <w:r>
              <w:rPr>
                <w:sz w:val="17"/>
              </w:rPr>
              <w:t>source interactions and timing discretion</w:t>
            </w:r>
          </w:p>
        </w:tc>
      </w:tr>
      <w:tr>
        <w:tc>
          <w:tcPr>
            <w:tcW w:type="dxa" w:w="3175"/>
            <w:vAlign w:val="center"/>
            <w:tcMar>
              <w:top w:w="90" w:type="dxa"/>
              <w:start w:w="90" w:type="dxa"/>
              <w:bottom w:w="90" w:type="dxa"/>
              <w:end w:w="90" w:type="dxa"/>
            </w:tcMar>
          </w:tcPr>
          <w:p>
            <w:pPr>
              <w:spacing w:after="0"/>
            </w:pPr>
            <w:r>
              <w:rPr>
                <w:sz w:val="17"/>
              </w:rPr>
              <w:t>Events</w:t>
            </w:r>
          </w:p>
        </w:tc>
        <w:tc>
          <w:tcPr>
            <w:tcW w:type="dxa" w:w="3175"/>
            <w:vAlign w:val="center"/>
            <w:tcMar>
              <w:top w:w="90" w:type="dxa"/>
              <w:start w:w="90" w:type="dxa"/>
              <w:bottom w:w="90" w:type="dxa"/>
              <w:end w:w="90" w:type="dxa"/>
            </w:tcMar>
          </w:tcPr>
          <w:p>
            <w:pPr>
              <w:spacing w:after="0"/>
            </w:pPr>
            <w:r>
              <w:rPr>
                <w:sz w:val="17"/>
              </w:rPr>
              <w:t>job loss, birth, retirement</w:t>
            </w:r>
          </w:p>
        </w:tc>
        <w:tc>
          <w:tcPr>
            <w:tcW w:type="dxa" w:w="3175"/>
            <w:vAlign w:val="center"/>
            <w:tcMar>
              <w:top w:w="90" w:type="dxa"/>
              <w:start w:w="90" w:type="dxa"/>
              <w:bottom w:w="90" w:type="dxa"/>
              <w:end w:w="90" w:type="dxa"/>
            </w:tcMar>
          </w:tcPr>
          <w:p>
            <w:pPr>
              <w:spacing w:after="0"/>
            </w:pPr>
            <w:r>
              <w:rPr>
                <w:sz w:val="17"/>
              </w:rPr>
              <w:t>illness, separation, firm closure, business entry/exit</w:t>
            </w:r>
          </w:p>
        </w:tc>
      </w:tr>
      <w:tr>
        <w:tc>
          <w:tcPr>
            <w:tcW w:type="dxa" w:w="3175"/>
            <w:vAlign w:val="center"/>
            <w:tcMar>
              <w:top w:w="90" w:type="dxa"/>
              <w:start w:w="90" w:type="dxa"/>
              <w:bottom w:w="90" w:type="dxa"/>
              <w:end w:w="90" w:type="dxa"/>
            </w:tcMar>
            <w:shd w:fill="F3F5F7"/>
          </w:tcPr>
          <w:p>
            <w:pPr>
              <w:spacing w:after="0"/>
            </w:pPr>
            <w:r>
              <w:rPr>
                <w:sz w:val="17"/>
              </w:rPr>
              <w:t>Tax system</w:t>
            </w:r>
          </w:p>
        </w:tc>
        <w:tc>
          <w:tcPr>
            <w:tcW w:type="dxa" w:w="3175"/>
            <w:vAlign w:val="center"/>
            <w:tcMar>
              <w:top w:w="90" w:type="dxa"/>
              <w:start w:w="90" w:type="dxa"/>
              <w:bottom w:w="90" w:type="dxa"/>
              <w:end w:w="90" w:type="dxa"/>
            </w:tcMar>
            <w:shd w:fill="F3F5F7"/>
          </w:tcPr>
          <w:p>
            <w:pPr>
              <w:spacing w:after="0"/>
            </w:pPr>
            <w:r>
              <w:rPr>
                <w:sz w:val="17"/>
              </w:rPr>
              <w:t>brackets, offsets, Medicare, gains</w:t>
            </w:r>
          </w:p>
        </w:tc>
        <w:tc>
          <w:tcPr>
            <w:tcW w:type="dxa" w:w="3175"/>
            <w:vAlign w:val="center"/>
            <w:tcMar>
              <w:top w:w="90" w:type="dxa"/>
              <w:start w:w="90" w:type="dxa"/>
              <w:bottom w:w="90" w:type="dxa"/>
              <w:end w:w="90" w:type="dxa"/>
            </w:tcMar>
            <w:shd w:fill="F3F5F7"/>
          </w:tcPr>
          <w:p>
            <w:pPr>
              <w:spacing w:after="0"/>
            </w:pPr>
            <w:r>
              <w:rPr>
                <w:sz w:val="17"/>
              </w:rPr>
              <w:t>deductions, losses, assessed residual</w:t>
            </w:r>
          </w:p>
        </w:tc>
      </w:tr>
      <w:tr>
        <w:tc>
          <w:tcPr>
            <w:tcW w:type="dxa" w:w="3175"/>
            <w:vAlign w:val="center"/>
            <w:tcMar>
              <w:top w:w="90" w:type="dxa"/>
              <w:start w:w="90" w:type="dxa"/>
              <w:bottom w:w="90" w:type="dxa"/>
              <w:end w:w="90" w:type="dxa"/>
            </w:tcMar>
          </w:tcPr>
          <w:p>
            <w:pPr>
              <w:spacing w:after="0"/>
            </w:pPr>
            <w:r>
              <w:rPr>
                <w:sz w:val="17"/>
              </w:rPr>
              <w:t>Benchmark</w:t>
            </w:r>
          </w:p>
        </w:tc>
        <w:tc>
          <w:tcPr>
            <w:tcW w:type="dxa" w:w="3175"/>
            <w:vAlign w:val="center"/>
            <w:tcMar>
              <w:top w:w="90" w:type="dxa"/>
              <w:start w:w="90" w:type="dxa"/>
              <w:bottom w:w="90" w:type="dxa"/>
              <w:end w:w="90" w:type="dxa"/>
            </w:tcMar>
          </w:tcPr>
          <w:p>
            <w:pPr>
              <w:spacing w:after="0"/>
            </w:pPr>
            <w:r>
              <w:rPr>
                <w:sz w:val="17"/>
              </w:rPr>
              <w:t>constant real</w:t>
            </w:r>
          </w:p>
        </w:tc>
        <w:tc>
          <w:tcPr>
            <w:tcW w:type="dxa" w:w="3175"/>
            <w:vAlign w:val="center"/>
            <w:tcMar>
              <w:top w:w="90" w:type="dxa"/>
              <w:start w:w="90" w:type="dxa"/>
              <w:bottom w:w="90" w:type="dxa"/>
              <w:end w:w="90" w:type="dxa"/>
            </w:tcMar>
          </w:tcPr>
          <w:p>
            <w:pPr>
              <w:spacing w:after="0"/>
            </w:pPr>
            <w:r>
              <w:rPr>
                <w:sz w:val="17"/>
              </w:rPr>
              <w:t>nominal, average-income-relative, lifecycle preserving</w:t>
            </w:r>
          </w:p>
        </w:tc>
      </w:tr>
      <w:tr>
        <w:tc>
          <w:tcPr>
            <w:tcW w:type="dxa" w:w="3175"/>
            <w:vAlign w:val="center"/>
            <w:tcMar>
              <w:top w:w="90" w:type="dxa"/>
              <w:start w:w="90" w:type="dxa"/>
              <w:bottom w:w="90" w:type="dxa"/>
              <w:end w:w="90" w:type="dxa"/>
            </w:tcMar>
            <w:shd w:fill="F3F5F7"/>
          </w:tcPr>
          <w:p>
            <w:pPr>
              <w:spacing w:after="0"/>
            </w:pPr>
            <w:r>
              <w:rPr>
                <w:sz w:val="17"/>
              </w:rPr>
              <w:t>Policy</w:t>
            </w:r>
          </w:p>
        </w:tc>
        <w:tc>
          <w:tcPr>
            <w:tcW w:type="dxa" w:w="3175"/>
            <w:vAlign w:val="center"/>
            <w:tcMar>
              <w:top w:w="90" w:type="dxa"/>
              <w:start w:w="90" w:type="dxa"/>
              <w:bottom w:w="90" w:type="dxa"/>
              <w:end w:w="90" w:type="dxa"/>
            </w:tcMar>
            <w:shd w:fill="F3F5F7"/>
          </w:tcPr>
          <w:p>
            <w:pPr>
              <w:spacing w:after="0"/>
            </w:pPr>
            <w:r>
              <w:rPr>
                <w:sz w:val="17"/>
              </w:rPr>
              <w:t>annual, rolling, cumulative</w:t>
            </w:r>
          </w:p>
        </w:tc>
        <w:tc>
          <w:tcPr>
            <w:tcW w:type="dxa" w:w="3175"/>
            <w:vAlign w:val="center"/>
            <w:tcMar>
              <w:top w:w="90" w:type="dxa"/>
              <w:start w:w="90" w:type="dxa"/>
              <w:bottom w:w="90" w:type="dxa"/>
              <w:end w:w="90" w:type="dxa"/>
            </w:tcMar>
            <w:shd w:fill="F3F5F7"/>
          </w:tcPr>
          <w:p>
            <w:pPr>
              <w:spacing w:after="0"/>
            </w:pPr>
            <w:r>
              <w:rPr>
                <w:sz w:val="17"/>
              </w:rPr>
              <w:t>carryforward capacity, caps, source restriction, opt-in</w:t>
            </w:r>
          </w:p>
        </w:tc>
      </w:tr>
      <w:tr>
        <w:tc>
          <w:tcPr>
            <w:tcW w:type="dxa" w:w="3175"/>
            <w:vAlign w:val="center"/>
            <w:tcMar>
              <w:top w:w="90" w:type="dxa"/>
              <w:start w:w="90" w:type="dxa"/>
              <w:bottom w:w="90" w:type="dxa"/>
              <w:end w:w="90" w:type="dxa"/>
            </w:tcMar>
          </w:tcPr>
          <w:p>
            <w:pPr>
              <w:spacing w:after="0"/>
            </w:pPr>
            <w:r>
              <w:rPr>
                <w:sz w:val="17"/>
              </w:rPr>
              <w:t>Fiscal closure</w:t>
            </w:r>
          </w:p>
        </w:tc>
        <w:tc>
          <w:tcPr>
            <w:tcW w:type="dxa" w:w="3175"/>
            <w:vAlign w:val="center"/>
            <w:tcMar>
              <w:top w:w="90" w:type="dxa"/>
              <w:start w:w="90" w:type="dxa"/>
              <w:bottom w:w="90" w:type="dxa"/>
              <w:end w:w="90" w:type="dxa"/>
            </w:tcMar>
          </w:tcPr>
          <w:p>
            <w:pPr>
              <w:spacing w:after="0"/>
            </w:pPr>
            <w:r>
              <w:rPr>
                <w:sz w:val="17"/>
              </w:rPr>
              <w:t>liability scaling</w:t>
            </w:r>
          </w:p>
        </w:tc>
        <w:tc>
          <w:tcPr>
            <w:tcW w:type="dxa" w:w="3175"/>
            <w:vAlign w:val="center"/>
            <w:tcMar>
              <w:top w:w="90" w:type="dxa"/>
              <w:start w:w="90" w:type="dxa"/>
              <w:bottom w:w="90" w:type="dxa"/>
              <w:end w:w="90" w:type="dxa"/>
            </w:tcMar>
          </w:tcPr>
          <w:p>
            <w:pPr>
              <w:spacing w:after="0"/>
            </w:pPr>
            <w:r>
              <w:rPr>
                <w:sz w:val="17"/>
              </w:rPr>
              <w:t>rate adjustment and demogrant</w:t>
            </w:r>
          </w:p>
        </w:tc>
      </w:tr>
      <w:tr>
        <w:tc>
          <w:tcPr>
            <w:tcW w:type="dxa" w:w="3175"/>
            <w:vAlign w:val="center"/>
            <w:tcMar>
              <w:top w:w="90" w:type="dxa"/>
              <w:start w:w="90" w:type="dxa"/>
              <w:bottom w:w="90" w:type="dxa"/>
              <w:end w:w="90" w:type="dxa"/>
            </w:tcMar>
            <w:shd w:fill="F3F5F7"/>
          </w:tcPr>
          <w:p>
            <w:pPr>
              <w:spacing w:after="0"/>
            </w:pPr>
            <w:r>
              <w:rPr>
                <w:sz w:val="17"/>
              </w:rPr>
              <w:t>Outcome</w:t>
            </w:r>
          </w:p>
        </w:tc>
        <w:tc>
          <w:tcPr>
            <w:tcW w:type="dxa" w:w="3175"/>
            <w:vAlign w:val="center"/>
            <w:tcMar>
              <w:top w:w="90" w:type="dxa"/>
              <w:start w:w="90" w:type="dxa"/>
              <w:bottom w:w="90" w:type="dxa"/>
              <w:end w:w="90" w:type="dxa"/>
            </w:tcMar>
            <w:shd w:fill="F3F5F7"/>
          </w:tcPr>
          <w:p>
            <w:pPr>
              <w:spacing w:after="0"/>
            </w:pPr>
            <w:r>
              <w:rPr>
                <w:sz w:val="17"/>
              </w:rPr>
              <w:t>PV tax dollars and ATR gap</w:t>
            </w:r>
          </w:p>
        </w:tc>
        <w:tc>
          <w:tcPr>
            <w:tcW w:type="dxa" w:w="3175"/>
            <w:vAlign w:val="center"/>
            <w:tcMar>
              <w:top w:w="90" w:type="dxa"/>
              <w:start w:w="90" w:type="dxa"/>
              <w:bottom w:w="90" w:type="dxa"/>
              <w:end w:w="90" w:type="dxa"/>
            </w:tcMar>
            <w:shd w:fill="F3F5F7"/>
          </w:tcPr>
          <w:p>
            <w:pPr>
              <w:spacing w:after="0"/>
            </w:pPr>
            <w:r>
              <w:rPr>
                <w:sz w:val="17"/>
              </w:rPr>
              <w:t>consumption, liquidity, labour/timing and CEV</w:t>
            </w:r>
          </w:p>
        </w:tc>
      </w:tr>
    </w:tbl>
    <w:p>
      <w:pPr>
        <w:spacing w:after="20"/>
        <w:widowControl/>
      </w:pPr>
    </w:p>
    <w:p>
      <w:pPr>
        <w:pStyle w:val="Heading1"/>
        <w:pBdr>
          <w:bottom w:val="single" w:sz="8" w:space="5" w:color="D9E1E8"/>
        </w:pBdr>
        <w:widowControl/>
      </w:pPr>
      <w:r>
        <w:t>Appendix C. Specific audit findings from the repositories</w:t>
      </w:r>
    </w:p>
    <w:p>
      <w:pPr>
        <w:pStyle w:val="ListBullet"/>
        <w:spacing w:after="60"/>
        <w:widowControl/>
      </w:pPr>
      <w:r>
        <w:rPr>
          <w:rFonts w:ascii="Consolas" w:hAnsi="Consolas"/>
          <w:color w:val="17365D"/>
          <w:sz w:val="19"/>
        </w:rPr>
        <w:t>make_figures.R</w:t>
      </w:r>
      <w:r>
        <w:t xml:space="preserve"> labels four income definitions: real CPI, nominal, average-income growth and lifecycle.</w:t>
      </w:r>
    </w:p>
    <w:p>
      <w:pPr>
        <w:pStyle w:val="ListBullet"/>
        <w:spacing w:after="60"/>
        <w:widowControl/>
      </w:pPr>
      <w:r>
        <w:t>The main average-income file contains 964 income cells with roughly 12,016 people in most cells, representing 11,583,502 people.</w:t>
      </w:r>
    </w:p>
    <w:p>
      <w:pPr>
        <w:pStyle w:val="ListBullet"/>
        <w:spacing w:after="60"/>
        <w:widowControl/>
      </w:pPr>
      <w:r>
        <w:t xml:space="preserve">Literal weighting of </w:t>
      </w:r>
      <w:r>
        <w:rPr>
          <w:rFonts w:ascii="Consolas" w:hAnsi="Consolas"/>
          <w:color w:val="17365D"/>
          <w:sz w:val="19"/>
        </w:rPr>
        <w:t>better_off</w:t>
      </w:r>
      <w:r>
        <w:t xml:space="preserve"> in that file gives 41.27 percent, not 80 percent.</w:t>
      </w:r>
    </w:p>
    <w:p>
      <w:pPr>
        <w:pStyle w:val="ListBullet"/>
        <w:spacing w:after="60"/>
        <w:widowControl/>
      </w:pPr>
      <w:r>
        <w:rPr>
          <w:rFonts w:ascii="Consolas" w:hAnsi="Consolas"/>
          <w:color w:val="17365D"/>
          <w:sz w:val="19"/>
        </w:rPr>
        <w:t>avg_lr_plot_revneutral</w:t>
      </w:r>
      <w:r>
        <w:t xml:space="preserve"> is produced from the ordinary average-income-growth series in the available code; no budget adjustment is applied there.</w:t>
      </w:r>
    </w:p>
    <w:p>
      <w:pPr>
        <w:pStyle w:val="ListBullet"/>
        <w:spacing w:after="60"/>
        <w:widowControl/>
      </w:pPr>
      <w:r>
        <w:t xml:space="preserve">The long-run distribution and Shapley figures rely on files retained under </w:t>
      </w:r>
      <w:r>
        <w:rPr>
          <w:rFonts w:ascii="Consolas" w:hAnsi="Consolas"/>
          <w:color w:val="17365D"/>
          <w:sz w:val="19"/>
        </w:rPr>
        <w:t>OLD</w:t>
      </w:r>
      <w:r>
        <w:t>, while updated July outputs drive the new averaging figures.</w:t>
      </w:r>
    </w:p>
    <w:p>
      <w:pPr>
        <w:pStyle w:val="ListBullet"/>
        <w:spacing w:after="60"/>
        <w:widowControl/>
      </w:pPr>
      <w:r>
        <w:t>The old Shapley labels require especially careful checking: the raw dimension-to-label mapping should be verified against the secure transformation code before substantive interpretation.</w:t>
      </w:r>
    </w:p>
    <w:p>
      <w:pPr>
        <w:pStyle w:val="ListBullet"/>
        <w:spacing w:after="60"/>
        <w:widowControl/>
      </w:pPr>
      <w:r>
        <w:t>The July regression workbooks contain eight specifications, while the PDF shows four. The table should be rebuilt programmatically.</w:t>
      </w:r>
    </w:p>
    <w:p>
      <w:pPr>
        <w:pStyle w:val="ListBullet"/>
        <w:spacing w:after="60"/>
        <w:widowControl/>
      </w:pPr>
      <w:r>
        <w:t>The AgeGenerationTaxRates cumulative formula is internally tested for fixed convex scales and correctly reveals that the current adjustment can be negative.</w:t>
      </w:r>
    </w:p>
    <w:p>
      <w:pPr>
        <w:pStyle w:val="ListBullet"/>
        <w:spacing w:after="60"/>
        <w:widowControl/>
      </w:pPr>
      <w:r>
        <w:t>Its real-income mode with nominal, unindexed brackets can produce current averaged liability above ordinary tax; this is a units/schedule result and should be explained, not treated as a contradiction.</w:t>
      </w:r>
    </w:p>
    <w:p>
      <w:pPr>
        <w:pStyle w:val="ListBullet"/>
        <w:spacing w:after="60"/>
        <w:widowControl/>
      </w:pPr>
      <w:r>
        <w:t>The gamma-share income simulations are formula stress tests, not calibrated earnings processes.</w:t>
      </w:r>
    </w:p>
    <w:p>
      <w:pPr>
        <w:pStyle w:val="ListBullet"/>
        <w:spacing w:after="60"/>
        <w:widowControl/>
      </w:pPr>
      <w:r>
        <w:t>The income-growth outputs validate cross-profile neutrality under matching benchmark units to numerical precision.</w:t>
      </w:r>
    </w:p>
    <w:p>
      <w:pPr>
        <w:pStyle w:val="ListBullet"/>
        <w:spacing w:after="60"/>
        <w:widowControl/>
      </w:pPr>
      <w:r>
        <w:t>The five-path waterfall is a stylised example with average real income of $100,000 in 2025 prices; it is not based on a representative PLIDA path.</w:t>
      </w:r>
    </w:p>
    <w:p>
      <w:pPr>
        <w:pStyle w:val="Heading1"/>
        <w:pBdr>
          <w:bottom w:val="single" w:sz="8" w:space="5" w:color="D9E1E8"/>
        </w:pBdr>
        <w:widowControl/>
      </w:pPr>
      <w:r>
        <w:t>Sources and institutional references</w:t>
      </w:r>
    </w:p>
    <w:p>
      <w:pPr>
        <w:widowControl/>
      </w:pPr>
      <w:r>
        <w:t>The paper’s existing bibliography provides the main academic foundation, especially Vickrey (1939, 1947), Creedy (1979), Farhi and Werning (2013), Heathcote, Storesletten and Violante (2014, 2017), Guvenen and co-authors (2014, 2021), Musgrave (1990), Weinzierl (2011), and the Australian earnings-risk work by Tin and Tran.</w:t>
      </w:r>
    </w:p>
    <w:p>
      <w:pPr>
        <w:pStyle w:val="Heading2"/>
      </w:pPr>
      <w:r>
        <w:t>Literature added for the OLG assessment</w:t>
      </w:r>
    </w:p>
    <w:p>
      <w:r>
        <w:t>The direct-model literature was checked on 23 July 2026. Working-paper status and revision dates matter because several of the closest contributions are not yet final journal articles.</w:t>
      </w:r>
    </w:p>
    <w:p>
      <w:pPr>
        <w:pStyle w:val="ListBullet"/>
      </w:pPr>
      <w:hyperlink r:id="rId22">
        <w:r>
          <w:rPr>
            <w:color w:val="176B87"/>
            <w:u w:val="single"/>
          </w:rPr>
          <w:t>Vickrey (1939), “Averaging of Income for Income-Tax Purposes.”</w:t>
        </w:r>
      </w:hyperlink>
      <w:r>
        <w:t xml:space="preserve"> Journal of Political Economy 47(3): 379–397.</w:t>
      </w:r>
    </w:p>
    <w:p>
      <w:pPr>
        <w:pStyle w:val="ListBullet"/>
      </w:pPr>
      <w:hyperlink r:id="rId23">
        <w:r>
          <w:rPr>
            <w:color w:val="176B87"/>
            <w:u w:val="single"/>
          </w:rPr>
          <w:t>Creedy (1979), “Income Averaging and Progressive Taxation.”</w:t>
        </w:r>
      </w:hyperlink>
      <w:r>
        <w:t xml:space="preserve"> Journal of Public Economics 12(3): 387–397.</w:t>
      </w:r>
    </w:p>
    <w:p>
      <w:pPr>
        <w:pStyle w:val="ListBullet"/>
      </w:pPr>
      <w:hyperlink r:id="rId24">
        <w:r>
          <w:rPr>
            <w:color w:val="176B87"/>
            <w:u w:val="single"/>
          </w:rPr>
          <w:t>Huggett and Parra (2010), “How Well Does the U.S. Social Insurance System Provide Social Insurance?”</w:t>
        </w:r>
      </w:hyperlink>
      <w:r>
        <w:t xml:space="preserve"> Journal of Political Economy 118(1): 76–112.</w:t>
      </w:r>
    </w:p>
    <w:p>
      <w:pPr>
        <w:pStyle w:val="ListBullet"/>
      </w:pPr>
      <w:hyperlink r:id="rId25">
        <w:r>
          <w:rPr>
            <w:color w:val="176B87"/>
            <w:u w:val="single"/>
          </w:rPr>
          <w:t>Steinerberger and Tsyvinski (2020), “On Vickrey’s Income Averaging.”</w:t>
        </w:r>
      </w:hyperlink>
      <w:r>
        <w:t xml:space="preserve"> NBER Working Paper 27024.</w:t>
      </w:r>
    </w:p>
    <w:p>
      <w:pPr>
        <w:pStyle w:val="ListBullet"/>
      </w:pPr>
      <w:hyperlink r:id="rId26">
        <w:r>
          <w:rPr>
            <w:color w:val="176B87"/>
            <w:u w:val="single"/>
          </w:rPr>
          <w:t>Sato (2021), “A Proposal for Lifetime Income Taxation: The Vickrey Mechanism Revisited.”</w:t>
        </w:r>
      </w:hyperlink>
      <w:r>
        <w:t xml:space="preserve"> Tokyo Foundation for Policy Research.</w:t>
      </w:r>
    </w:p>
    <w:p>
      <w:pPr>
        <w:pStyle w:val="ListBullet"/>
      </w:pPr>
      <w:hyperlink r:id="rId27">
        <w:r>
          <w:rPr>
            <w:color w:val="176B87"/>
            <w:u w:val="single"/>
          </w:rPr>
          <w:t>Kapička (2020), “History Dependent Income Taxation in an Overlapping Generations Economy” and “Quantifying the Welfare Gains from History Dependent Income Taxation.”</w:t>
        </w:r>
      </w:hyperlink>
      <w:r>
        <w:t xml:space="preserve"> Author’s working-paper page; the latter was listed as R&amp;R at JPE on that page.</w:t>
      </w:r>
    </w:p>
    <w:p>
      <w:pPr>
        <w:pStyle w:val="ListBullet"/>
      </w:pPr>
      <w:hyperlink r:id="rId28">
        <w:r>
          <w:rPr>
            <w:color w:val="176B87"/>
            <w:u w:val="single"/>
          </w:rPr>
          <w:t>Batzer (2022), “Seeking the Rent Seekers: Optimal Life Cycle Taxation with Differentiated Human Capital.”</w:t>
        </w:r>
      </w:hyperlink>
      <w:r>
        <w:t xml:space="preserve"> Dissertation chapter/working paper.</w:t>
      </w:r>
    </w:p>
    <w:p>
      <w:pPr>
        <w:pStyle w:val="ListBullet"/>
      </w:pPr>
      <w:hyperlink r:id="rId29">
        <w:r>
          <w:rPr>
            <w:color w:val="176B87"/>
            <w:u w:val="single"/>
          </w:rPr>
          <w:t>Krueger and Wu (2025; revised March 2026), “Taxes on Lifetime Income: A Good Idea?”</w:t>
        </w:r>
      </w:hyperlink>
      <w:r>
        <w:t xml:space="preserve"> NBER Working Paper 33664.</w:t>
      </w:r>
    </w:p>
    <w:p>
      <w:pPr>
        <w:pStyle w:val="ListBullet"/>
      </w:pPr>
      <w:hyperlink r:id="rId30">
        <w:r>
          <w:rPr>
            <w:color w:val="176B87"/>
            <w:u w:val="single"/>
          </w:rPr>
          <w:t>Conesa and Krueger (2006), “On the Optimal Progressivity of the Income Tax Code.”</w:t>
        </w:r>
      </w:hyperlink>
      <w:r>
        <w:t xml:space="preserve"> Journal of Monetary Economics 53(7): 1425–1450.</w:t>
      </w:r>
    </w:p>
    <w:p>
      <w:pPr>
        <w:pStyle w:val="ListBullet"/>
      </w:pPr>
      <w:hyperlink r:id="rId31">
        <w:r>
          <w:rPr>
            <w:color w:val="176B87"/>
            <w:u w:val="single"/>
          </w:rPr>
          <w:t>Conesa, Kitao and Krueger (2009), “Taxing Capital? Not a Bad Idea after All!”</w:t>
        </w:r>
      </w:hyperlink>
      <w:r>
        <w:t xml:space="preserve"> American Economic Review 99(1): 25–48.</w:t>
      </w:r>
    </w:p>
    <w:p>
      <w:pPr>
        <w:pStyle w:val="ListBullet"/>
      </w:pPr>
      <w:hyperlink r:id="rId32">
        <w:r>
          <w:rPr>
            <w:color w:val="176B87"/>
            <w:u w:val="single"/>
          </w:rPr>
          <w:t>Weinzierl (2011), “The Surprising Power of Age-Dependent Taxes.”</w:t>
        </w:r>
      </w:hyperlink>
      <w:r>
        <w:t xml:space="preserve"> Review of Economic Studies 78(4): 1490–1518.</w:t>
      </w:r>
    </w:p>
    <w:p>
      <w:pPr>
        <w:pStyle w:val="ListBullet"/>
      </w:pPr>
      <w:hyperlink r:id="rId33">
        <w:r>
          <w:rPr>
            <w:color w:val="176B87"/>
            <w:u w:val="single"/>
          </w:rPr>
          <w:t>Farhi and Werning (2013), “Insurance and Taxation over the Life Cycle.”</w:t>
        </w:r>
      </w:hyperlink>
      <w:r>
        <w:t xml:space="preserve"> Review of Economic Studies 80(2): 596–635.</w:t>
      </w:r>
    </w:p>
    <w:p>
      <w:pPr>
        <w:pStyle w:val="ListBullet"/>
      </w:pPr>
      <w:hyperlink r:id="rId34">
        <w:r>
          <w:rPr>
            <w:color w:val="176B87"/>
            <w:u w:val="single"/>
          </w:rPr>
          <w:t>Heathcote, Storesletten and Violante (2020), “Optimal Progressivity with Age-Dependent Taxation.”</w:t>
        </w:r>
      </w:hyperlink>
      <w:r>
        <w:t xml:space="preserve"> Journal of Public Economics 189: 104074.</w:t>
      </w:r>
    </w:p>
    <w:p>
      <w:pPr>
        <w:pStyle w:val="ListBullet"/>
      </w:pPr>
      <w:hyperlink r:id="rId35">
        <w:r>
          <w:rPr>
            <w:color w:val="176B87"/>
            <w:u w:val="single"/>
          </w:rPr>
          <w:t>Arellano, Blundell and Bonhomme (2017), “Earnings and Consumption Dynamics: A Nonlinear Panel Data Framework.”</w:t>
        </w:r>
      </w:hyperlink>
      <w:r>
        <w:t xml:space="preserve"> Econometrica 85(3): 693–734.</w:t>
      </w:r>
    </w:p>
    <w:p>
      <w:pPr>
        <w:pStyle w:val="ListBullet"/>
      </w:pPr>
      <w:hyperlink r:id="rId36">
        <w:r>
          <w:rPr>
            <w:color w:val="176B87"/>
            <w:u w:val="single"/>
          </w:rPr>
          <w:t>Guvenen, Karahan, Ozkan and Song (2021), “What Do Data on Millions of U.S. Workers Reveal About Lifecycle Earnings Dynamics?”</w:t>
        </w:r>
      </w:hyperlink>
      <w:r>
        <w:t xml:space="preserve"> Econometrica 89(5): 2303–2339.</w:t>
      </w:r>
    </w:p>
    <w:p>
      <w:pPr>
        <w:widowControl/>
      </w:pPr>
      <w:r>
        <w:t>Current institutional and journal information consulted for this review:</w:t>
      </w:r>
    </w:p>
    <w:p>
      <w:pPr>
        <w:pStyle w:val="ListBullet"/>
        <w:spacing w:after="60"/>
        <w:widowControl/>
      </w:pPr>
      <w:hyperlink r:id="rId11">
        <w:r>
          <w:rPr>
            <w:color w:val="1F4E79"/>
            <w:u w:val="single"/>
          </w:rPr>
          <w:t>Australian Taxation Office: concessions and existing income averaging</w:t>
        </w:r>
      </w:hyperlink>
    </w:p>
    <w:p>
      <w:pPr>
        <w:pStyle w:val="ListBullet"/>
        <w:spacing w:after="60"/>
        <w:widowControl/>
      </w:pPr>
      <w:hyperlink r:id="rId12">
        <w:r>
          <w:rPr>
            <w:color w:val="1F4E79"/>
            <w:u w:val="single"/>
          </w:rPr>
          <w:t>Australian legislation: long-term averaging for primary producers</w:t>
        </w:r>
      </w:hyperlink>
    </w:p>
    <w:p>
      <w:pPr>
        <w:pStyle w:val="ListBullet"/>
        <w:spacing w:after="60"/>
        <w:widowControl/>
      </w:pPr>
      <w:hyperlink r:id="rId13">
        <w:r>
          <w:rPr>
            <w:color w:val="1F4E79"/>
            <w:u w:val="single"/>
          </w:rPr>
          <w:t>Australian Taxation Office: income averaging for special professionals</w:t>
        </w:r>
      </w:hyperlink>
    </w:p>
    <w:p>
      <w:pPr>
        <w:pStyle w:val="ListBullet"/>
        <w:spacing w:after="60"/>
        <w:widowControl/>
      </w:pPr>
      <w:hyperlink r:id="rId14">
        <w:r>
          <w:rPr>
            <w:color w:val="1F4E79"/>
            <w:u w:val="single"/>
          </w:rPr>
          <w:t>Australian Taxation Office: current capital-gains discount guidance</w:t>
        </w:r>
      </w:hyperlink>
    </w:p>
    <w:p>
      <w:pPr>
        <w:pStyle w:val="ListBullet"/>
        <w:spacing w:after="60"/>
        <w:widowControl/>
      </w:pPr>
      <w:hyperlink r:id="rId15">
        <w:r>
          <w:rPr>
            <w:color w:val="1F4E79"/>
            <w:u w:val="single"/>
          </w:rPr>
          <w:t>Journal of Public Economics: aims and scope</w:t>
        </w:r>
      </w:hyperlink>
    </w:p>
    <w:p>
      <w:pPr>
        <w:pStyle w:val="ListBullet"/>
        <w:spacing w:after="60"/>
        <w:widowControl/>
      </w:pPr>
      <w:hyperlink r:id="rId16">
        <w:r>
          <w:rPr>
            <w:color w:val="1F4E79"/>
            <w:u w:val="single"/>
          </w:rPr>
          <w:t>National Tax Journal: scope</w:t>
        </w:r>
      </w:hyperlink>
    </w:p>
    <w:p>
      <w:pPr>
        <w:pStyle w:val="ListBullet"/>
        <w:spacing w:after="60"/>
        <w:widowControl/>
      </w:pPr>
      <w:hyperlink r:id="rId17">
        <w:r>
          <w:rPr>
            <w:color w:val="1F4E79"/>
            <w:u w:val="single"/>
          </w:rPr>
          <w:t>Fiscal Studies: aims and scope</w:t>
        </w:r>
      </w:hyperlink>
    </w:p>
    <w:p>
      <w:pPr>
        <w:pStyle w:val="ListBullet"/>
        <w:spacing w:after="60"/>
        <w:widowControl/>
      </w:pPr>
      <w:hyperlink r:id="rId18">
        <w:r>
          <w:rPr>
            <w:color w:val="1F4E79"/>
            <w:u w:val="single"/>
          </w:rPr>
          <w:t>International Tax and Public Finance: aims and scope</w:t>
        </w:r>
      </w:hyperlink>
    </w:p>
    <w:p>
      <w:pPr>
        <w:pStyle w:val="ListBullet"/>
        <w:spacing w:after="60"/>
        <w:widowControl/>
      </w:pPr>
      <w:hyperlink r:id="rId19">
        <w:r>
          <w:rPr>
            <w:color w:val="1F4E79"/>
            <w:u w:val="single"/>
          </w:rPr>
          <w:t>Journal of Economic Inequality: aims and scope</w:t>
        </w:r>
      </w:hyperlink>
    </w:p>
    <w:p>
      <w:pPr>
        <w:pStyle w:val="ListBullet"/>
        <w:spacing w:after="60"/>
        <w:widowControl/>
      </w:pPr>
      <w:hyperlink r:id="rId20">
        <w:r>
          <w:rPr>
            <w:color w:val="1F4E79"/>
            <w:u w:val="single"/>
          </w:rPr>
          <w:t>Public Finance Review: journal overview</w:t>
        </w:r>
      </w:hyperlink>
    </w:p>
    <w:p>
      <w:pPr>
        <w:pStyle w:val="ListBullet"/>
        <w:spacing w:after="60"/>
        <w:widowControl/>
      </w:pPr>
      <w:hyperlink r:id="rId21">
        <w:r>
          <w:rPr>
            <w:color w:val="1F4E79"/>
            <w:u w:val="single"/>
          </w:rPr>
          <w:t>Australian Economic Review: journal overview</w:t>
        </w:r>
      </w:hyperlink>
    </w:p>
    <w:p>
      <w:pPr>
        <w:widowControl/>
      </w:pPr>
      <w:r>
        <w:t>All online institutional and journal information was checked on 23 July 2026. Journal recommendations concern intellectual fit, not a prediction of acceptance.</w:t>
      </w:r>
    </w:p>
    <w:sectPr w:rsidR="00FC693F" w:rsidRPr="0006063C" w:rsidSect="00034616">
      <w:headerReference w:type="default" r:id="rId9"/>
      <w:footerReference w:type="default" r:id="rId10"/>
      <w:pgSz w:w="11906" w:h="16838"/>
      <w:pgMar w:top="1134"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 xml:space="preserve">e61 paper review  •  23 July 2026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5" w:color="D9E1E8"/>
      </w:pBdr>
    </w:pPr>
    <w:r>
      <w:rPr>
        <w:rFonts w:ascii="Aptos" w:hAnsi="Aptos"/>
        <w:b/>
        <w:color w:val="1F4E79"/>
        <w:sz w:val="15"/>
      </w:rPr>
      <w:t>AVERAGING REVIEW  |  RESEARCH-DESIGN AND PUBLICATION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C7A7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pPr>
    <w:rPr>
      <w:rFonts w:asciiTheme="majorHAnsi" w:eastAsiaTheme="majorEastAsia" w:hAnsiTheme="majorHAnsi" w:cstheme="majorBidi" w:ascii="Aptos Display" w:hAnsi="Aptos Display"/>
      <w:b/>
      <w:i/>
      <w:iCs/>
      <w:color w:val="2C7A7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Callout">
    <w:name w:val="Executive Callout"/>
    <w:pPr>
      <w:spacing w:before="120" w:after="160"/>
      <w:ind w:left="397" w:right="397"/>
    </w:pPr>
    <w:rPr>
      <w:rFonts w:ascii="Aptos" w:hAnsi="Aptos"/>
      <w:i/>
      <w:color w:val="17365D"/>
      <w:sz w:val="22"/>
    </w:rPr>
  </w:style>
  <w:style w:type="paragraph" w:customStyle="1" w:styleId="SmallNote">
    <w:name w:val="Small Note"/>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to.gov.au/businesses-and-organisations/income-deductions-and-concessions/incentives-and-concessions/concessions" TargetMode="External"/><Relationship Id="rId12" Type="http://schemas.openxmlformats.org/officeDocument/2006/relationships/hyperlink" Target="https://www.ato.gov.au/law/view/print?DocID=PAC%2F19970038%2F392-60&amp;PiT=99991231235958" TargetMode="External"/><Relationship Id="rId13" Type="http://schemas.openxmlformats.org/officeDocument/2006/relationships/hyperlink" Target="https://www.ato.gov.au/api/public/content/0-7e25012e-6432-40d6-92bf-afab3fd59b76" TargetMode="External"/><Relationship Id="rId14" Type="http://schemas.openxmlformats.org/officeDocument/2006/relationships/hyperlink" Target="https://www.ato.gov.au/api/public/content/0-65b4e9ab-f991-4913-be7e-82752b721b0a" TargetMode="External"/><Relationship Id="rId15" Type="http://schemas.openxmlformats.org/officeDocument/2006/relationships/hyperlink" Target="https://www.sciencedirect.com/journal/journal-of-public-economics" TargetMode="External"/><Relationship Id="rId16" Type="http://schemas.openxmlformats.org/officeDocument/2006/relationships/hyperlink" Target="https://ntanet.org/publications/ntj/" TargetMode="External"/><Relationship Id="rId17" Type="http://schemas.openxmlformats.org/officeDocument/2006/relationships/hyperlink" Target="https://onlinelibrary.wiley.com/page/journal/14755890/homepage/productinformation.html" TargetMode="External"/><Relationship Id="rId18" Type="http://schemas.openxmlformats.org/officeDocument/2006/relationships/hyperlink" Target="https://link.springer.com/journal/10797/aims-and-scope" TargetMode="External"/><Relationship Id="rId19" Type="http://schemas.openxmlformats.org/officeDocument/2006/relationships/hyperlink" Target="https://link.springer.com/journal/10888/aims-and-scope" TargetMode="External"/><Relationship Id="rId20" Type="http://schemas.openxmlformats.org/officeDocument/2006/relationships/hyperlink" Target="https://journals.sagepub.com/home/pfr" TargetMode="External"/><Relationship Id="rId21" Type="http://schemas.openxmlformats.org/officeDocument/2006/relationships/hyperlink" Target="https://onlinelibrary.wiley.com/journal/14678462" TargetMode="External"/><Relationship Id="rId22" Type="http://schemas.openxmlformats.org/officeDocument/2006/relationships/hyperlink" Target="https://doi.org/10.1086/255390" TargetMode="External"/><Relationship Id="rId23" Type="http://schemas.openxmlformats.org/officeDocument/2006/relationships/hyperlink" Target="https://doi.org/10.1016/0047-2727(79)90039-2" TargetMode="External"/><Relationship Id="rId24" Type="http://schemas.openxmlformats.org/officeDocument/2006/relationships/hyperlink" Target="https://doi.org/10.1086/651513" TargetMode="External"/><Relationship Id="rId25" Type="http://schemas.openxmlformats.org/officeDocument/2006/relationships/hyperlink" Target="https://www.nber.org/papers/w27024" TargetMode="External"/><Relationship Id="rId26" Type="http://schemas.openxmlformats.org/officeDocument/2006/relationships/hyperlink" Target="https://www.tokyofoundation.org/research/detail.php?id=817" TargetMode="External"/><Relationship Id="rId27" Type="http://schemas.openxmlformats.org/officeDocument/2006/relationships/hyperlink" Target="https://sites.google.com/site/mkapicka/research" TargetMode="External"/><Relationship Id="rId28" Type="http://schemas.openxmlformats.org/officeDocument/2006/relationships/hyperlink" Target="https://sites.google.com/view/rmbatzer/research" TargetMode="External"/><Relationship Id="rId29" Type="http://schemas.openxmlformats.org/officeDocument/2006/relationships/hyperlink" Target="https://www.nber.org/papers/w33664" TargetMode="External"/><Relationship Id="rId30" Type="http://schemas.openxmlformats.org/officeDocument/2006/relationships/hyperlink" Target="https://www.nber.org/papers/w11044" TargetMode="External"/><Relationship Id="rId31" Type="http://schemas.openxmlformats.org/officeDocument/2006/relationships/hyperlink" Target="https://www.nber.org/papers/w12880" TargetMode="External"/><Relationship Id="rId32" Type="http://schemas.openxmlformats.org/officeDocument/2006/relationships/hyperlink" Target="https://doi.org/10.1093/restud/rdr001" TargetMode="External"/><Relationship Id="rId33" Type="http://schemas.openxmlformats.org/officeDocument/2006/relationships/hyperlink" Target="https://doi.org/10.1093/restud/rds048" TargetMode="External"/><Relationship Id="rId34" Type="http://schemas.openxmlformats.org/officeDocument/2006/relationships/hyperlink" Target="https://www.nber.org/papers/w25617" TargetMode="External"/><Relationship Id="rId35" Type="http://schemas.openxmlformats.org/officeDocument/2006/relationships/hyperlink" Target="https://doi.org/10.3982/ECTA13795" TargetMode="External"/><Relationship Id="rId36" Type="http://schemas.openxmlformats.org/officeDocument/2006/relationships/hyperlink" Target="https://doi.org/10.3982/ECTA146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Averaging review</dc:title>
  <dc:subject>Research-design and publication review of annual tax assessment and income averaging in Australia</dc:subject>
  <dc:creator>OpenAI Codex</dc:creator>
  <cp:keywords>income averaging, annual assessment, Australian taxation, PLIDA, welfare, journal submission</cp:keywords>
  <dc:description>Prepared 23 July 2026</dc:description>
  <cp:lastModifiedBy/>
  <cp:revision>1</cp:revision>
  <dcterms:created xsi:type="dcterms:W3CDTF">2013-12-23T23:15:00Z</dcterms:created>
  <dcterms:modified xsi:type="dcterms:W3CDTF">2013-12-23T23:15:00Z</dcterms:modified>
  <cp:category/>
</cp:coreProperties>
</file>