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Consumption Scarring Review</w:t>
      </w:r>
    </w:p>
    <w:p>
      <w:pPr>
        <w:pStyle w:val="Subtitle"/>
      </w:pPr>
      <w:r>
        <w:t xml:space="preserve">Review of </w:t>
      </w:r>
      <w:r>
        <w:rPr>
          <w:i/>
        </w:rPr>
        <w:t>What Can Consumption Smoothing Tell Us About Benefit Targeting?</w:t>
      </w:r>
    </w:p>
    <w:p>
      <w:r>
        <w:rPr>
          <w:b/>
        </w:rPr>
        <w:t>Draft reviewed:</w:t>
      </w:r>
      <w:r>
        <w:t xml:space="preserve"> 22 July 2026 working paper</w:t>
      </w:r>
    </w:p>
    <w:p>
      <w:r>
        <w:rPr>
          <w:b/>
        </w:rPr>
        <w:t>Prepared:</w:t>
      </w:r>
      <w:r>
        <w:t xml:space="preserve"> 23 July 2026</w:t>
      </w:r>
    </w:p>
    <w:p>
      <w:r>
        <w:rPr>
          <w:b/>
        </w:rPr>
        <w:t>Scope:</w:t>
      </w:r>
      <w:r>
        <w:t xml:space="preserve"> Consumption-scarring specification, instrumental-variable design, paper rewrite, and journal strategy</w:t>
      </w:r>
    </w:p>
    <w:tbl>
      <w:tblPr>
        <w:tblW w:type="auto" w:w="0"/>
        <w:jc w:val="center"/>
        <w:tblLook w:firstColumn="1" w:firstRow="1" w:lastColumn="0" w:lastRow="0" w:noHBand="0" w:noVBand="1" w:val="04A0"/>
      </w:tblPr>
      <w:tblGrid>
        <w:gridCol w:w="9638"/>
      </w:tblGrid>
      <w:tr>
        <w:tc>
          <w:tcPr>
            <w:tcW w:type="dxa" w:w="9638"/>
            <w:shd w:fill="EAF2F7"/>
          </w:tcPr>
          <w:p>
            <w:r>
              <w:rPr>
                <w:b/>
                <w:color w:val="18364E"/>
              </w:rPr>
              <w:t>Overall assessment.</w:t>
            </w:r>
            <w:r>
              <w:rPr>
                <w:color w:val="18364E"/>
              </w:rPr>
              <w:t xml:space="preserve"> This is a promising paper with a genuinely interesting question and a strong conceptual insight: expenditure after job loss is not synonymous with welfare-relevant consumption because employment itself creates expenses. I would not yet be comfortable with the principal empirical conclusions. The event study is useful descriptive evidence, but it does not currently identify whether benefit targeting is successful or whether job loss causes persistent consumption hysteresis. The IV has an excellent first stage, but its exclusion restriction and its transfer from working from home to unemployment are not presently credible enough to support the 15% and 83% headline calculations.</w:t>
            </w:r>
          </w:p>
        </w:tc>
      </w:tr>
    </w:tbl>
    <w:p/>
    <w:p>
      <w:pPr>
        <w:pStyle w:val="Heading2"/>
      </w:pPr>
      <w:r>
        <w:t>Recommended strategy</w:t>
      </w:r>
    </w:p>
    <w:p>
      <w:pPr>
        <w:pStyle w:val="ListBullet"/>
      </w:pPr>
      <w:r>
        <w:t>Rebuild the event study around first involuntary displacement and predetermined benefit eligibility.</w:t>
      </w:r>
    </w:p>
    <w:p>
      <w:pPr>
        <w:pStyle w:val="ListBullet"/>
      </w:pPr>
      <w:r>
        <w:t>Make expenditure-category decomposition the principal evidence on work expenses.</w:t>
      </w:r>
    </w:p>
    <w:p>
      <w:pPr>
        <w:pStyle w:val="ListBullet"/>
      </w:pPr>
      <w:r>
        <w:t>Retain the WFH IV only as a qualified supporting benchmark unless it passes substantially stronger validity tests.</w:t>
      </w:r>
    </w:p>
    <w:p>
      <w:pPr>
        <w:pStyle w:val="ListBullet"/>
      </w:pPr>
      <w:r>
        <w:t>Rewrite the paper around measured spending and benefit nonreceipt, with more restrained welfare and macroeconomic claims.</w:t>
      </w:r>
    </w:p>
    <w:p>
      <w:r>
        <w:br w:type="page"/>
      </w:r>
    </w:p>
    <w:p>
      <w:pPr>
        <w:pStyle w:val="Heading1"/>
      </w:pPr>
      <w:r>
        <w:t>1. Consumption-scarring specification and empirics</w:t>
      </w:r>
    </w:p>
    <w:p>
      <w:pPr>
        <w:pStyle w:val="Heading2"/>
      </w:pPr>
      <w:r>
        <w:t>1.1 What is already good</w:t>
      </w:r>
    </w:p>
    <w:p>
      <w:r>
        <w:t>The strongest elements are:</w:t>
      </w:r>
    </w:p>
    <w:p>
      <w:pPr>
        <w:pStyle w:val="ListBullet"/>
      </w:pPr>
      <w:r>
        <w:t>The question is important and under-studied: benefit nonrecipients are usually missing from unemployment-insurance consumption research.</w:t>
      </w:r>
    </w:p>
    <w:p>
      <w:pPr>
        <w:pStyle w:val="ListBullet"/>
      </w:pPr>
      <w:r>
        <w:t>HILDA provides a long household panel, labour-market calendars, assets, partner income, expectations, and detailed expenditure categories.</w:t>
      </w:r>
    </w:p>
    <w:p>
      <w:pPr>
        <w:pStyle w:val="ListBullet"/>
      </w:pPr>
      <w:r>
        <w:t>The paper recognises the important distinction between expenditure and consumption.</w:t>
      </w:r>
    </w:p>
    <w:p>
      <w:pPr>
        <w:pStyle w:val="ListBullet"/>
      </w:pPr>
      <w:r>
        <w:t>Using Sun–Abraham and Callaway–Sant’Anna is preferable to relying only on conventional two-way fixed effects.</w:t>
      </w:r>
    </w:p>
    <w:p>
      <w:pPr>
        <w:pStyle w:val="ListBullet"/>
      </w:pPr>
      <w:r>
        <w:t>The draft is candid that job loss is selected rather than randomly assigned.</w:t>
      </w:r>
    </w:p>
    <w:p>
      <w:pPr>
        <w:pStyle w:val="ListBullet"/>
      </w:pPr>
      <w:r>
        <w:t>The focus on Australia’s means-tested, non-contributory system has a distinctive public-policy rationale.</w:t>
      </w:r>
    </w:p>
    <w:p>
      <w:r>
        <w:t>The empirical work is therefore a useful foundation. Several design features nevertheless need to change before the event-study estimates can carry the paper’s targeting and welfare conclusions.</w:t>
      </w:r>
    </w:p>
    <w:p>
      <w:pPr>
        <w:pStyle w:val="Heading2"/>
      </w:pPr>
      <w:r>
        <w:t>1.2 Job loss is recurrent, while the estimator assumes an absorbing treatment</w:t>
      </w:r>
    </w:p>
    <w:p>
      <w:r>
        <w:t>Sun–Abraham is designed for an absorbing treatment: once treated, a unit remains treated. Job loss is not absorbing. People regain employment and can lose another job. The draft reports more job-loss events than individuals, suggesting recurrent events may enter the analysis.</w:t>
      </w:r>
    </w:p>
    <w:p>
      <w:r>
        <w:t>The paper needs to define exactly:</w:t>
      </w:r>
    </w:p>
    <w:p>
      <w:pPr>
        <w:pStyle w:val="ListBullet"/>
      </w:pPr>
      <w:r>
        <w:t>whether treatment is the first observed job loss;</w:t>
      </w:r>
    </w:p>
    <w:p>
      <w:pPr>
        <w:pStyle w:val="ListBullet"/>
      </w:pPr>
      <w:r>
        <w:t>whether later losses are ignored, censored, or treated as outcomes of the first loss;</w:t>
      </w:r>
    </w:p>
    <w:p>
      <w:pPr>
        <w:pStyle w:val="ListBullet"/>
      </w:pPr>
      <w:r>
        <w:t>whether individuals can contribute multiple event windows;</w:t>
      </w:r>
    </w:p>
    <w:p>
      <w:pPr>
        <w:pStyle w:val="ListBullet"/>
      </w:pPr>
      <w:r>
        <w:t>how re-employment is represented; and</w:t>
      </w:r>
    </w:p>
    <w:p>
      <w:pPr>
        <w:pStyle w:val="ListBullet"/>
      </w:pPr>
      <w:r>
        <w:t>what “treated” means several years after the original job loss.</w:t>
      </w:r>
    </w:p>
    <w:p>
      <w:r>
        <w:t>The preferred main design is a stacked first-event study:</w:t>
      </w:r>
    </w:p>
    <w:p>
      <w:pPr>
        <w:pStyle w:val="ListNumber"/>
      </w:pPr>
      <w:r>
        <w:t>Identify the first involuntary displacement after at least three continuously observed pre-event years.</w:t>
      </w:r>
    </w:p>
    <w:p>
      <w:pPr>
        <w:pStyle w:val="ListNumber"/>
      </w:pPr>
      <w:r>
        <w:t>Exclude or separately classify earlier displacement histories.</w:t>
      </w:r>
    </w:p>
    <w:p>
      <w:pPr>
        <w:pStyle w:val="ListNumber"/>
      </w:pPr>
      <w:r>
        <w:t>Construct cohort-specific comparison groups of workers who remain employed and have not yet been displaced in that calendar year.</w:t>
      </w:r>
    </w:p>
    <w:p>
      <w:pPr>
        <w:pStyle w:val="ListNumber"/>
      </w:pPr>
      <w:r>
        <w:t>Prevent control observations from overlapping contaminated post-treatment windows.</w:t>
      </w:r>
    </w:p>
    <w:p>
      <w:pPr>
        <w:pStyle w:val="ListNumber"/>
      </w:pPr>
      <w:r>
        <w:t>Treat subsequent unemployment or job loss as a possible dynamic consequence of the initial event.</w:t>
      </w:r>
    </w:p>
    <w:p>
      <w:r>
        <w:t>Never-treated workers can remain a sensitivity analysis. They are likely to have more stable employment histories and better counterfactual spending growth than displaced workers. Using them exclusively risks embedding permanent differences in stability into the estimated “scar.”</w:t>
      </w:r>
    </w:p>
    <w:p>
      <w:pPr>
        <w:pStyle w:val="Heading2"/>
      </w:pPr>
      <w:r>
        <w:t>1.3 Benefit nonreceipt is a post-treatment classification</w:t>
      </w:r>
    </w:p>
    <w:p>
      <w:r>
        <w:t>Whether somebody receives JobSeeker after losing work depends on:</w:t>
      </w:r>
    </w:p>
    <w:p>
      <w:pPr>
        <w:pStyle w:val="ListBullet"/>
      </w:pPr>
      <w:r>
        <w:t>statutory eligibility;</w:t>
      </w:r>
    </w:p>
    <w:p>
      <w:pPr>
        <w:pStyle w:val="ListBullet"/>
      </w:pPr>
      <w:r>
        <w:t>assets and partner income;</w:t>
      </w:r>
    </w:p>
    <w:p>
      <w:pPr>
        <w:pStyle w:val="ListBullet"/>
      </w:pPr>
      <w:r>
        <w:t>expected unemployment duration;</w:t>
      </w:r>
    </w:p>
    <w:p>
      <w:pPr>
        <w:pStyle w:val="ListBullet"/>
      </w:pPr>
      <w:r>
        <w:t>take-up costs and stigma;</w:t>
      </w:r>
    </w:p>
    <w:p>
      <w:pPr>
        <w:pStyle w:val="ListBullet"/>
      </w:pPr>
      <w:r>
        <w:t>knowledge of the system;</w:t>
      </w:r>
    </w:p>
    <w:p>
      <w:pPr>
        <w:pStyle w:val="ListBullet"/>
      </w:pPr>
      <w:r>
        <w:t>claim-processing delays; and</w:t>
      </w:r>
    </w:p>
    <w:p>
      <w:pPr>
        <w:pStyle w:val="ListBullet"/>
      </w:pPr>
      <w:r>
        <w:t>the severity and type of the job-loss shock.</w:t>
      </w:r>
    </w:p>
    <w:p>
      <w:r>
        <w:t>Receipt is therefore a behavioural and administrative outcome following job loss. It is not an exogenous characteristic of the household.</w:t>
      </w:r>
    </w:p>
    <w:p>
      <w:r>
        <w:t>For a paper about targeting, construct groups from pre-job-loss information:</w:t>
      </w:r>
    </w:p>
    <w:p>
      <w:pPr>
        <w:pStyle w:val="ListBullet"/>
      </w:pPr>
      <w:r>
        <w:t>predicted ineligible under statutory rules;</w:t>
      </w:r>
    </w:p>
    <w:p>
      <w:pPr>
        <w:pStyle w:val="ListBullet"/>
      </w:pPr>
      <w:r>
        <w:t>predicted eligible and subsequently receiving JobSeeker;</w:t>
      </w:r>
    </w:p>
    <w:p>
      <w:pPr>
        <w:pStyle w:val="ListBullet"/>
      </w:pPr>
      <w:r>
        <w:t>predicted eligible but not receiving JobSeeker; and</w:t>
      </w:r>
    </w:p>
    <w:p>
      <w:pPr>
        <w:pStyle w:val="ListBullet"/>
      </w:pPr>
      <w:r>
        <w:t>eligibility uncertain because required information is unavailable.</w:t>
      </w:r>
    </w:p>
    <w:p>
      <w:r>
        <w:t>Use lagged assets, partner income, residency, age, family circumstances, previous earnings, and other eligibility variables. Then estimate heterogeneity by predicted eligibility, liquid wealth, unsecured debt, and access to partner income.</w:t>
      </w:r>
    </w:p>
    <w:p>
      <w:r>
        <w:t>The present nonrecipient results are informative as a description of a selected group. They do not by themselves establish that targeting rules successfully exclude self-insured households.</w:t>
      </w:r>
    </w:p>
    <w:p>
      <w:pPr>
        <w:pStyle w:val="Heading2"/>
      </w:pPr>
      <w:r>
        <w:t>1.4 The sample uses post-treatment restrictions</w:t>
      </w:r>
    </w:p>
    <w:p>
      <w:r>
        <w:t>The draft excludes people who move out of the labour force or onto another income-support payment after job loss. Those transitions can be caused by job loss and may identify some of the most adversely affected households.</w:t>
      </w:r>
    </w:p>
    <w:p>
      <w:r>
        <w:t>The cohort should be defined among people employed before displacement and retained regardless of whether they subsequently become:</w:t>
      </w:r>
    </w:p>
    <w:p>
      <w:pPr>
        <w:pStyle w:val="ListBullet"/>
      </w:pPr>
      <w:r>
        <w:t>unemployed;</w:t>
      </w:r>
    </w:p>
    <w:p>
      <w:pPr>
        <w:pStyle w:val="ListBullet"/>
      </w:pPr>
      <w:r>
        <w:t>not in the labour force;</w:t>
      </w:r>
    </w:p>
    <w:p>
      <w:pPr>
        <w:pStyle w:val="ListBullet"/>
      </w:pPr>
      <w:r>
        <w:t>disabled or caring;</w:t>
      </w:r>
    </w:p>
    <w:p>
      <w:pPr>
        <w:pStyle w:val="ListBullet"/>
      </w:pPr>
      <w:r>
        <w:t>recipients of another payment; or</w:t>
      </w:r>
    </w:p>
    <w:p>
      <w:pPr>
        <w:pStyle w:val="ListBullet"/>
      </w:pPr>
      <w:r>
        <w:t>missing from employment.</w:t>
      </w:r>
    </w:p>
    <w:p>
      <w:r>
        <w:t>These transitions should be outcomes or mechanisms, not sample inclusion rules. If the estimand intentionally conditions on remaining in the labour force, label it as a selected-population estimand and discuss the resulting limits.</w:t>
      </w:r>
    </w:p>
    <w:p>
      <w:r>
        <w:t>The “household head” definition also needs to be fixed before treatment. Job loss, separation, household moves, or changes in earnings can alter who is classified as the household head or main earner. Use a stable pre-event reference person and document how household identifiers and consumption are followed when household composition changes.</w:t>
      </w:r>
    </w:p>
    <w:p>
      <w:pPr>
        <w:pStyle w:val="Heading2"/>
      </w:pPr>
      <w:r>
        <w:t>1.5 Several controls are post-treatment mediators</w:t>
      </w:r>
    </w:p>
    <w:p>
      <w:r>
        <w:t>Employment, household income, partnering, household size, children, partner earnings, and additional benefit receipt can all change because of job loss.</w:t>
      </w:r>
    </w:p>
    <w:p>
      <w:r>
        <w:t>Controlling for them does not simply remove an explanation while preserving the same causal estimand. It changes the estimand and can introduce collider bias.</w:t>
      </w:r>
    </w:p>
    <w:p>
      <w:r>
        <w:t>The main event study should use:</w:t>
      </w:r>
    </w:p>
    <w:p>
      <w:pPr>
        <w:pStyle w:val="ListBullet"/>
      </w:pPr>
      <w:r>
        <w:t>household/person fixed effects;</w:t>
      </w:r>
    </w:p>
    <w:p>
      <w:pPr>
        <w:pStyle w:val="ListBullet"/>
      </w:pPr>
      <w:r>
        <w:t>calendar-year effects;</w:t>
      </w:r>
    </w:p>
    <w:p>
      <w:pPr>
        <w:pStyle w:val="ListBullet"/>
      </w:pPr>
      <w:r>
        <w:t>predetermined or lagged covariates; and</w:t>
      </w:r>
    </w:p>
    <w:p>
      <w:pPr>
        <w:pStyle w:val="ListBullet"/>
      </w:pPr>
      <w:r>
        <w:t>baseline characteristics interacted with calendar time where appropriate.</w:t>
      </w:r>
    </w:p>
    <w:p>
      <w:r>
        <w:t>Employment and household-income specifications can be presented as descriptive mechanism exercises, but not as proof that the residual is a direct psychological effect of displacement.</w:t>
      </w:r>
    </w:p>
    <w:p>
      <w:r>
        <w:t>The statement that the remaining spending difference represents greater risk aversion, changed habits, or hysteresis is too strong. Other explanations include:</w:t>
      </w:r>
    </w:p>
    <w:p>
      <w:pPr>
        <w:pStyle w:val="ListBullet"/>
      </w:pPr>
      <w:r>
        <w:t>lower expected permanent income;</w:t>
      </w:r>
    </w:p>
    <w:p>
      <w:pPr>
        <w:pStyle w:val="ListBullet"/>
      </w:pPr>
      <w:r>
        <w:t>wealth depletion or debt repayment;</w:t>
      </w:r>
    </w:p>
    <w:p>
      <w:pPr>
        <w:pStyle w:val="ListBullet"/>
      </w:pPr>
      <w:r>
        <w:t>lower hours, wages, or job quality;</w:t>
      </w:r>
    </w:p>
    <w:p>
      <w:pPr>
        <w:pStyle w:val="ListBullet"/>
      </w:pPr>
      <w:r>
        <w:t>health and household-composition changes;</w:t>
      </w:r>
    </w:p>
    <w:p>
      <w:pPr>
        <w:pStyle w:val="ListBullet"/>
      </w:pPr>
      <w:r>
        <w:t>recurrent unemployment risk;</w:t>
      </w:r>
    </w:p>
    <w:p>
      <w:pPr>
        <w:pStyle w:val="ListBullet"/>
      </w:pPr>
      <w:r>
        <w:t>relocation and housing changes; and</w:t>
      </w:r>
    </w:p>
    <w:p>
      <w:pPr>
        <w:pStyle w:val="ListBullet"/>
      </w:pPr>
      <w:r>
        <w:t>selective re-employment.</w:t>
      </w:r>
    </w:p>
    <w:p>
      <w:r>
        <w:t>The paper should measure these channels before assigning a behavioural interpretation. HILDA expectations, financial stress, wealth, debt, mental health, hours, tenure, occupation, and job satisfaction may be useful.</w:t>
      </w:r>
    </w:p>
    <w:p>
      <w:pPr>
        <w:pStyle w:val="Heading2"/>
      </w:pPr>
      <w:r>
        <w:t>1.6 Annual expenditure and event timing need to be aligned</w:t>
      </w:r>
    </w:p>
    <w:p>
      <w:r>
        <w:t>The labour-market calendar may identify job loss within a year, while HILDA expenditure measures cover different reference periods:</w:t>
      </w:r>
    </w:p>
    <w:p>
      <w:pPr>
        <w:pStyle w:val="ListBullet"/>
      </w:pPr>
      <w:r>
        <w:t>current weekly spending annualised;</w:t>
      </w:r>
    </w:p>
    <w:p>
      <w:pPr>
        <w:pStyle w:val="ListBullet"/>
      </w:pPr>
      <w:r>
        <w:t>monthly expenditure annualised; and</w:t>
      </w:r>
    </w:p>
    <w:p>
      <w:pPr>
        <w:pStyle w:val="ListBullet"/>
      </w:pPr>
      <w:r>
        <w:t>expenditure over the previous financial year.</w:t>
      </w:r>
    </w:p>
    <w:p>
      <w:r>
        <w:t>The event-year coefficient may therefore combine spending before and after job loss. It may also compare different exposure durations across households.</w:t>
      </w:r>
    </w:p>
    <w:p>
      <w:r>
        <w:t>For each expenditure item, document:</w:t>
      </w:r>
    </w:p>
    <w:p>
      <w:pPr>
        <w:pStyle w:val="ListBullet"/>
      </w:pPr>
      <w:r>
        <w:t>its exact reference period;</w:t>
      </w:r>
    </w:p>
    <w:p>
      <w:pPr>
        <w:pStyle w:val="ListBullet"/>
      </w:pPr>
      <w:r>
        <w:t>the month of displacement;</w:t>
      </w:r>
    </w:p>
    <w:p>
      <w:pPr>
        <w:pStyle w:val="ListBullet"/>
      </w:pPr>
      <w:r>
        <w:t>months of post-displacement exposure captured by the outcome;</w:t>
      </w:r>
    </w:p>
    <w:p>
      <w:pPr>
        <w:pStyle w:val="ListBullet"/>
      </w:pPr>
      <w:r>
        <w:t>interview timing; and</w:t>
      </w:r>
    </w:p>
    <w:p>
      <w:pPr>
        <w:pStyle w:val="ListBullet"/>
      </w:pPr>
      <w:r>
        <w:t>whether the measure is reported, imputed, or constructed.</w:t>
      </w:r>
    </w:p>
    <w:p>
      <w:r>
        <w:t>Useful checks include:</w:t>
      </w:r>
    </w:p>
    <w:p>
      <w:pPr>
        <w:pStyle w:val="ListBullet"/>
      </w:pPr>
      <w:r>
        <w:t>excluding events too close to the interview;</w:t>
      </w:r>
    </w:p>
    <w:p>
      <w:pPr>
        <w:pStyle w:val="ListBullet"/>
      </w:pPr>
      <w:r>
        <w:t>estimating results by months since displacement;</w:t>
      </w:r>
    </w:p>
    <w:p>
      <w:pPr>
        <w:pStyle w:val="ListBullet"/>
      </w:pPr>
      <w:r>
        <w:t>using the first complete post-job-loss expenditure year;</w:t>
      </w:r>
    </w:p>
    <w:p>
      <w:pPr>
        <w:pStyle w:val="ListBullet"/>
      </w:pPr>
      <w:r>
        <w:t>separating job losses occurring early and late in the financial year; and</w:t>
      </w:r>
    </w:p>
    <w:p>
      <w:pPr>
        <w:pStyle w:val="ListBullet"/>
      </w:pPr>
      <w:r>
        <w:t>estimating fortnightly/monthly outcomes if any are available.</w:t>
      </w:r>
    </w:p>
    <w:p>
      <w:r>
        <w:t>The paper should reconcile an additional inconsistency: the methods section describes one event-time window, while the figures extend from approximately −5 to +5. The reference period of −2 should also be explained and clearly marked.</w:t>
      </w:r>
    </w:p>
    <w:p>
      <w:pPr>
        <w:pStyle w:val="Heading2"/>
      </w:pPr>
      <w:r>
        <w:t>1.7 The expenditure basket needs redesign</w:t>
      </w:r>
    </w:p>
    <w:p>
      <w:r>
        <w:t>The current “non-durable” basket includes groceries, clothing, utilities, insurance, education, healthcare, vehicle maintenance, and telecommunications. These have different adjustment costs and relationships to employment.</w:t>
      </w:r>
    </w:p>
    <w:p>
      <w:r>
        <w:t>Construct four preregistered baskets:</w:t>
      </w:r>
    </w:p>
    <w:p>
      <w:pPr>
        <w:pStyle w:val="ListNumber"/>
      </w:pPr>
      <w:r>
        <w:rPr>
          <w:b/>
        </w:rPr>
        <w:t>Core welfare-relevant consumption:</w:t>
      </w:r>
      <w:r>
        <w:t xml:space="preserve"> groceries and other frequently consumed essentials.</w:t>
      </w:r>
    </w:p>
    <w:p>
      <w:pPr>
        <w:pStyle w:val="ListNumber"/>
      </w:pPr>
      <w:r>
        <w:rPr>
          <w:b/>
        </w:rPr>
        <w:t>Clearly employment-linked spending:</w:t>
      </w:r>
      <w:r>
        <w:t xml:space="preserve"> commuting, public transport, fuel, meals away from home, work clothing, and possibly childcare.</w:t>
      </w:r>
    </w:p>
    <w:p>
      <w:pPr>
        <w:pStyle w:val="ListNumber"/>
      </w:pPr>
      <w:r>
        <w:rPr>
          <w:b/>
        </w:rPr>
        <w:t>Home costs:</w:t>
      </w:r>
      <w:r>
        <w:t xml:space="preserve"> utilities, internet, and home-related expenditure.</w:t>
      </w:r>
    </w:p>
    <w:p>
      <w:pPr>
        <w:pStyle w:val="ListNumber"/>
      </w:pPr>
      <w:r>
        <w:rPr>
          <w:b/>
        </w:rPr>
        <w:t>Committed or infrequent spending:</w:t>
      </w:r>
      <w:r>
        <w:t xml:space="preserve"> insurance, education, healthcare, and vehicle maintenance.</w:t>
      </w:r>
    </w:p>
    <w:p>
      <w:r>
        <w:t>The primary outcome should be real expenditure per adult equivalent. Controlling for the square root of household size is not identical to constructing an equivalised outcome, particularly when household composition changes after displacement.</w:t>
      </w:r>
    </w:p>
    <w:p>
      <w:r>
        <w:t>Report effects on both:</w:t>
      </w:r>
    </w:p>
    <w:p>
      <w:pPr>
        <w:pStyle w:val="ListBullet"/>
      </w:pPr>
      <w:r>
        <w:t>the log or inverse-hyperbolic-sine level of expenditure; and</w:t>
      </w:r>
    </w:p>
    <w:p>
      <w:pPr>
        <w:pStyle w:val="ListBullet"/>
      </w:pPr>
      <w:r>
        <w:t>expenditure shares and dollar amounts.</w:t>
      </w:r>
    </w:p>
    <w:p>
      <w:r>
        <w:t>The category decomposition is likely to be more persuasive than attempting to infer all work expenses through the WFH IV.</w:t>
      </w:r>
    </w:p>
    <w:p>
      <w:pPr>
        <w:pStyle w:val="Heading2"/>
      </w:pPr>
      <w:r>
        <w:t>1.8 Outlier handling is a major risk</w:t>
      </w:r>
    </w:p>
    <w:p>
      <w:r>
        <w:t>The appendix says results and pre-trends change when the top 1% of annual consumption changes are removed and acknowledges that large changes are more common among displaced workers.</w:t>
      </w:r>
    </w:p>
    <w:p>
      <w:r>
        <w:t>Dropping observations based on realised outcome changes can remove genuine treatment effects and induce selection.</w:t>
      </w:r>
    </w:p>
    <w:p>
      <w:r>
        <w:t>Use:</w:t>
      </w:r>
    </w:p>
    <w:p>
      <w:pPr>
        <w:pStyle w:val="ListBullet"/>
      </w:pPr>
      <w:r>
        <w:t>transparent full-sample estimates;</w:t>
      </w:r>
    </w:p>
    <w:p>
      <w:pPr>
        <w:pStyle w:val="ListBullet"/>
      </w:pPr>
      <w:r>
        <w:t>predetermined winsorisation thresholds based on outcome levels rather than treatment-specific changes;</w:t>
      </w:r>
    </w:p>
    <w:p>
      <w:pPr>
        <w:pStyle w:val="ListBullet"/>
      </w:pPr>
      <w:r>
        <w:t>inverse-hyperbolic-sine and robust estimators;</w:t>
      </w:r>
    </w:p>
    <w:p>
      <w:pPr>
        <w:pStyle w:val="ListBullet"/>
      </w:pPr>
      <w:r>
        <w:t>median or quantile estimates;</w:t>
      </w:r>
    </w:p>
    <w:p>
      <w:pPr>
        <w:pStyle w:val="ListBullet"/>
      </w:pPr>
      <w:r>
        <w:t>leave-extremes-in sensitivity; and</w:t>
      </w:r>
    </w:p>
    <w:p>
      <w:pPr>
        <w:pStyle w:val="ListBullet"/>
      </w:pPr>
      <w:r>
        <w:t>a table showing how many treated and control observations each rule removes.</w:t>
      </w:r>
    </w:p>
    <w:p>
      <w:r>
        <w:t>The main result should not depend on a treatment-correlated trimming rule.</w:t>
      </w:r>
    </w:p>
    <w:p>
      <w:pPr>
        <w:pStyle w:val="Heading2"/>
      </w:pPr>
      <w:r>
        <w:t>1.9 Inference and graphical claims need tightening</w:t>
      </w:r>
    </w:p>
    <w:p>
      <w:r>
        <w:t>The nonrecipient analysis has approximately 434 individuals. Long-horizon estimates will rely on fewer cohorts and continuing respondents.</w:t>
      </w:r>
    </w:p>
    <w:p>
      <w:r>
        <w:t>Report at every event time:</w:t>
      </w:r>
    </w:p>
    <w:p>
      <w:pPr>
        <w:pStyle w:val="ListBullet"/>
      </w:pPr>
      <w:r>
        <w:t>number of treated individuals;</w:t>
      </w:r>
    </w:p>
    <w:p>
      <w:pPr>
        <w:pStyle w:val="ListBullet"/>
      </w:pPr>
      <w:r>
        <w:t>number of cohorts contributing;</w:t>
      </w:r>
    </w:p>
    <w:p>
      <w:pPr>
        <w:pStyle w:val="ListBullet"/>
      </w:pPr>
      <w:r>
        <w:t>cohort weights;</w:t>
      </w:r>
    </w:p>
    <w:p>
      <w:pPr>
        <w:pStyle w:val="ListBullet"/>
      </w:pPr>
      <w:r>
        <w:t>number of comparison observations;</w:t>
      </w:r>
    </w:p>
    <w:p>
      <w:pPr>
        <w:pStyle w:val="ListBullet"/>
      </w:pPr>
      <w:r>
        <w:t>attrition; and</w:t>
      </w:r>
    </w:p>
    <w:p>
      <w:pPr>
        <w:pStyle w:val="ListBullet"/>
      </w:pPr>
      <w:r>
        <w:t>simultaneous confidence bands.</w:t>
      </w:r>
    </w:p>
    <w:p>
      <w:r>
        <w:t>Cluster at the original household/person level and explain the treatment of HILDA survey weights and panel attrition. Callaway–Sant’Anna simultaneous bands do not simply “account for autocorrelation”; the paper should describe the actual bootstrap and clustering procedure.</w:t>
      </w:r>
    </w:p>
    <w:p>
      <w:r>
        <w:t>Several textual claims are stronger than the figures support:</w:t>
      </w:r>
    </w:p>
    <w:p>
      <w:pPr>
        <w:pStyle w:val="ListBullet"/>
      </w:pPr>
      <w:r>
        <w:t>The Callaway–Sant’Anna intervals are wide and often include zero.</w:t>
      </w:r>
    </w:p>
    <w:p>
      <w:pPr>
        <w:pStyle w:val="ListBullet"/>
      </w:pPr>
      <w:r>
        <w:t>The nonrecipient series does not appear uniformly 5% below counterfactual at every horizon through year five.</w:t>
      </w:r>
    </w:p>
    <w:p>
      <w:pPr>
        <w:pStyle w:val="ListBullet"/>
      </w:pPr>
      <w:r>
        <w:t>Grocery expenditure has substantial pre-trends.</w:t>
      </w:r>
    </w:p>
    <w:p>
      <w:pPr>
        <w:pStyle w:val="ListBullet"/>
      </w:pPr>
      <w:r>
        <w:t>Benefit-recipient and nonrecipient differences are discussed without direct equality tests.</w:t>
      </w:r>
    </w:p>
    <w:p>
      <w:pPr>
        <w:pStyle w:val="ListBullet"/>
      </w:pPr>
      <w:r>
        <w:t>The recipient sample appears small and is estimated using a different method, limiting comparability.</w:t>
      </w:r>
    </w:p>
    <w:p>
      <w:r>
        <w:t>A more defensible summary is:</w:t>
      </w:r>
    </w:p>
    <w:tbl>
      <w:tblPr>
        <w:tblW w:type="auto" w:w="0"/>
        <w:jc w:val="center"/>
        <w:tblLook w:firstColumn="1" w:firstRow="1" w:lastColumn="0" w:lastRow="0" w:noHBand="0" w:noVBand="1" w:val="04A0"/>
      </w:tblPr>
      <w:tblGrid>
        <w:gridCol w:w="9638"/>
      </w:tblGrid>
      <w:tr>
        <w:tc>
          <w:tcPr>
            <w:tcW w:type="dxa" w:w="9638"/>
            <w:shd w:fill="EAF2F7"/>
          </w:tcPr>
          <w:p>
            <w:r>
              <w:rPr>
                <w:color w:val="18364E"/>
              </w:rPr>
              <w:t>“Nonrecipients experience an immediate measured spending decline of approximately 6–7%. Medium-run estimates remain generally negative but are imprecisely estimated and sensitive to estimator, horizon, and sample construction.”</w:t>
            </w:r>
          </w:p>
        </w:tc>
      </w:tr>
    </w:tbl>
    <w:p/>
    <w:p>
      <w:pPr>
        <w:pStyle w:val="Heading2"/>
      </w:pPr>
      <w:r>
        <w:t>1.10 Preferred event-study specification</w:t>
      </w:r>
    </w:p>
    <w:p>
      <w:r>
        <w:t>The preferred empirical package would contain:</w:t>
      </w:r>
    </w:p>
    <w:p>
      <w:pPr>
        <w:pStyle w:val="ListNumber"/>
      </w:pPr>
      <w:r>
        <w:t>A first-involuntary-displacement stacked event study with not-yet-treated risk-set controls.</w:t>
      </w:r>
    </w:p>
    <w:p>
      <w:pPr>
        <w:pStyle w:val="ListNumber"/>
      </w:pPr>
      <w:r>
        <w:t>A never-treated comparison as sensitivity.</w:t>
      </w:r>
    </w:p>
    <w:p>
      <w:pPr>
        <w:pStyle w:val="ListNumber"/>
      </w:pPr>
      <w:r>
        <w:t>Predetermined eligibility groups and formal tests of coefficient differences.</w:t>
      </w:r>
    </w:p>
    <w:p>
      <w:pPr>
        <w:pStyle w:val="ListNumber"/>
      </w:pPr>
      <w:r>
        <w:t>A specification without time-varying post-treatment controls as the main result.</w:t>
      </w:r>
    </w:p>
    <w:p>
      <w:pPr>
        <w:pStyle w:val="ListNumber"/>
      </w:pPr>
      <w:r>
        <w:t>Event-time-specific sample counts and simultaneous confidence bands.</w:t>
      </w:r>
    </w:p>
    <w:p>
      <w:pPr>
        <w:pStyle w:val="ListNumber"/>
      </w:pPr>
      <w:r>
        <w:t>Full-sample and robust-outcome estimates.</w:t>
      </w:r>
    </w:p>
    <w:p>
      <w:pPr>
        <w:pStyle w:val="ListNumber"/>
      </w:pPr>
      <w:r>
        <w:t>An exact alignment between displacement month and expenditure reference period.</w:t>
      </w:r>
    </w:p>
    <w:p>
      <w:pPr>
        <w:pStyle w:val="ListNumber"/>
      </w:pPr>
      <w:r>
        <w:t>Results for core, employment-linked, home, and committed expenditure baskets.</w:t>
      </w:r>
    </w:p>
    <w:p>
      <w:pPr>
        <w:pStyle w:val="ListNumber"/>
      </w:pPr>
      <w:r>
        <w:t>Sensitivity to household attrition, labour-force exit, and later job loss.</w:t>
      </w:r>
    </w:p>
    <w:p>
      <w:pPr>
        <w:pStyle w:val="ListNumber"/>
      </w:pPr>
      <w:r>
        <w:t>Honest language that distinguishes descriptive event-time gaps from causal displacement effects.</w:t>
      </w:r>
    </w:p>
    <w:p>
      <w:r>
        <w:br w:type="page"/>
      </w:r>
    </w:p>
    <w:p>
      <w:pPr>
        <w:pStyle w:val="Heading1"/>
      </w:pPr>
      <w:r>
        <w:t>2. Completing the IV analysis</w:t>
      </w:r>
    </w:p>
    <w:p>
      <w:pPr>
        <w:pStyle w:val="Heading2"/>
      </w:pPr>
      <w:r>
        <w:t>2.1 Is the general design appropriate?</w:t>
      </w:r>
    </w:p>
    <w:p>
      <w:r>
        <w:t>The idea is clever, but the current specification is not appropriate as the central causal design. The instrument predicts WFH strongly: a ten-percentage-point higher 2019 industry–occupation WFH share predicts approximately four percentage points more WFH in 2020. Relevance is not the principal problem.</w:t>
      </w:r>
    </w:p>
    <w:p>
      <w:pPr>
        <w:pStyle w:val="Heading2"/>
      </w:pPr>
      <w:r>
        <w:t>2.2 Exclusion restriction</w:t>
      </w:r>
    </w:p>
    <w:p>
      <w:r>
        <w:t>Industry–occupation WFH propensity is also related to:</w:t>
      </w:r>
    </w:p>
    <w:p>
      <w:pPr>
        <w:pStyle w:val="ListBullet"/>
      </w:pPr>
      <w:r>
        <w:t>pandemic shutdown exposure;</w:t>
      </w:r>
    </w:p>
    <w:p>
      <w:pPr>
        <w:pStyle w:val="ListBullet"/>
      </w:pPr>
      <w:r>
        <w:t>employment and earnings risk;</w:t>
      </w:r>
    </w:p>
    <w:p>
      <w:pPr>
        <w:pStyle w:val="ListBullet"/>
      </w:pPr>
      <w:r>
        <w:t>JobKeeper coverage;</w:t>
      </w:r>
    </w:p>
    <w:p>
      <w:pPr>
        <w:pStyle w:val="ListBullet"/>
      </w:pPr>
      <w:r>
        <w:t>occupational wage growth;</w:t>
      </w:r>
    </w:p>
    <w:p>
      <w:pPr>
        <w:pStyle w:val="ListBullet"/>
      </w:pPr>
      <w:r>
        <w:t>commuting distance and urban location;</w:t>
      </w:r>
    </w:p>
    <w:p>
      <w:pPr>
        <w:pStyle w:val="ListBullet"/>
      </w:pPr>
      <w:r>
        <w:t>education, income, and housing;</w:t>
      </w:r>
    </w:p>
    <w:p>
      <w:pPr>
        <w:pStyle w:val="ListBullet"/>
      </w:pPr>
      <w:r>
        <w:t>infection exposure;</w:t>
      </w:r>
    </w:p>
    <w:p>
      <w:pPr>
        <w:pStyle w:val="ListBullet"/>
      </w:pPr>
      <w:r>
        <w:t>ability to substitute household production;</w:t>
      </w:r>
    </w:p>
    <w:p>
      <w:pPr>
        <w:pStyle w:val="ListBullet"/>
      </w:pPr>
      <w:r>
        <w:t>childcare disruption; and</w:t>
      </w:r>
    </w:p>
    <w:p>
      <w:pPr>
        <w:pStyle w:val="ListBullet"/>
      </w:pPr>
      <w:r>
        <w:t>industry-specific spending opportunities.</w:t>
      </w:r>
    </w:p>
    <w:p>
      <w:r>
        <w:t>These factors can affect expenditure directly without operating through WFH. Post-treatment controls such as 2020 income cannot close these channels without changing the estimand.</w:t>
      </w:r>
    </w:p>
    <w:p>
      <w:r>
        <w:t>The grocery estimate is a useful falsification outcome, but a statistically insignificant estimate does not validate exclusion. Its point estimate is not especially close to zero and the confidence interval is wide enough to include economically important changes.</w:t>
      </w:r>
    </w:p>
    <w:p>
      <w:pPr>
        <w:pStyle w:val="Heading2"/>
      </w:pPr>
      <w:r>
        <w:t>2.3 Transportability</w:t>
      </w:r>
    </w:p>
    <w:p>
      <w:r>
        <w:t>Even a valid IV would estimate the effect of pandemic-induced WFH among continuously employed workers who did not work from home in 2019.</w:t>
      </w:r>
    </w:p>
    <w:p>
      <w:r>
        <w:t>That is not automatically the cost of employment for unemployed nonrecipients:</w:t>
      </w:r>
    </w:p>
    <w:p>
      <w:pPr>
        <w:pStyle w:val="ListBullet"/>
      </w:pPr>
      <w:r>
        <w:t>WFH workers remain employed and continue to incur home-office costs.</w:t>
      </w:r>
    </w:p>
    <w:p>
      <w:pPr>
        <w:pStyle w:val="ListBullet"/>
      </w:pPr>
      <w:r>
        <w:t>Unemployed workers gain substantially more non-market time.</w:t>
      </w:r>
    </w:p>
    <w:p>
      <w:pPr>
        <w:pStyle w:val="ListBullet"/>
      </w:pPr>
      <w:r>
        <w:t>The two groups differ in occupation, income, wealth, and household composition.</w:t>
      </w:r>
    </w:p>
    <w:p>
      <w:pPr>
        <w:pStyle w:val="ListBullet"/>
      </w:pPr>
      <w:r>
        <w:t>COVID altered shopping, mobility, childcare, precautionary behaviour, and consumption opportunities.</w:t>
      </w:r>
    </w:p>
    <w:p>
      <w:pPr>
        <w:pStyle w:val="ListBullet"/>
      </w:pPr>
      <w:r>
        <w:t>The IV identifies a local effect for WFH compliers.</w:t>
      </w:r>
    </w:p>
    <w:p>
      <w:r>
        <w:t>The bridge between these populations is an external-validity assumption, not part of IV identification. It needs to be stated and tested where possible.</w:t>
      </w:r>
    </w:p>
    <w:p>
      <w:pPr>
        <w:pStyle w:val="Heading2"/>
      </w:pPr>
      <w:r>
        <w:t>2.4 The proposed Bartik extension does not solve the problem</w:t>
      </w:r>
    </w:p>
    <w:p>
      <w:r>
        <w:t>The proposed instrument is essentially:</w:t>
      </w:r>
    </w:p>
    <w:p>
      <w:r>
        <w:rPr>
          <w:rFonts w:ascii="Consolas" w:hAnsi="Consolas"/>
          <w:color w:val="18364E"/>
          <w:sz w:val="19"/>
        </w:rPr>
        <w:t>baseline WFH exposure × one national WFH time shift</w:t>
      </w:r>
      <w:r>
        <w:t>.</w:t>
      </w:r>
    </w:p>
    <w:p>
      <w:r>
        <w:t>With one aggregate shift, the instrument largely becomes baseline teleworkability interacted with time. It does not provide the many plausibly exogenous shocks contemplated by modern shift-share designs, where identification rests on quasi-random shocks at the shock level.</w:t>
      </w:r>
    </w:p>
    <w:p>
      <w:r>
        <w:t>It may be described as a panel exposure design. Calling it Bartik does not strengthen exclusion. With only 2019 and 2020, it is effectively equivalent to the cross-sectional exposure instrument. With a longer panel, it requires strong evidence that high- and low-teleworkability cells would otherwise have had parallel expenditure trends.</w:t>
      </w:r>
    </w:p>
    <w:p>
      <w:pPr>
        <w:pStyle w:val="Heading2"/>
      </w:pPr>
      <w:r>
        <w:t>2.5 Employer-provided computers are not a convincing instrument</w:t>
      </w:r>
    </w:p>
    <w:p>
      <w:r>
        <w:t>Computer provision predicts occupation, employer quality, wages, fringe benefits, firm size, job security, and potentially direct household computer expenditure. These can directly affect consumption.</w:t>
      </w:r>
    </w:p>
    <w:p>
      <w:r>
        <w:t>Use computer provision as:</w:t>
      </w:r>
    </w:p>
    <w:p>
      <w:pPr>
        <w:pStyle w:val="ListBullet"/>
      </w:pPr>
      <w:r>
        <w:t>a first-stage predictor;</w:t>
      </w:r>
    </w:p>
    <w:p>
      <w:pPr>
        <w:pStyle w:val="ListBullet"/>
      </w:pPr>
      <w:r>
        <w:t>a control;</w:t>
      </w:r>
    </w:p>
    <w:p>
      <w:pPr>
        <w:pStyle w:val="ListBullet"/>
      </w:pPr>
      <w:r>
        <w:t>heterogeneity; or</w:t>
      </w:r>
    </w:p>
    <w:p>
      <w:pPr>
        <w:pStyle w:val="ListBullet"/>
      </w:pPr>
      <w:r>
        <w:t>triangulation evidence.</w:t>
      </w:r>
    </w:p>
    <w:p>
      <w:r>
        <w:t>It should not be the primary excluded instrument unless an institutional rule generates plausibly exogenous computer provision.</w:t>
      </w:r>
    </w:p>
    <w:p>
      <w:pPr>
        <w:pStyle w:val="Heading2"/>
      </w:pPr>
      <w:r>
        <w:t>2.6 Recommended way to finish the IV</w:t>
      </w:r>
    </w:p>
    <w:p>
      <w:pPr>
        <w:pStyle w:val="Heading3"/>
      </w:pPr>
      <w:r>
        <w:t>Preferred interpretation</w:t>
      </w:r>
    </w:p>
    <w:p>
      <w:r>
        <w:t>Reframe the estimand as:</w:t>
      </w:r>
    </w:p>
    <w:tbl>
      <w:tblPr>
        <w:tblW w:type="auto" w:w="0"/>
        <w:jc w:val="center"/>
        <w:tblLook w:firstColumn="1" w:firstRow="1" w:lastColumn="0" w:lastRow="0" w:noHBand="0" w:noVBand="1" w:val="04A0"/>
      </w:tblPr>
      <w:tblGrid>
        <w:gridCol w:w="9638"/>
      </w:tblGrid>
      <w:tr>
        <w:tc>
          <w:tcPr>
            <w:tcW w:type="dxa" w:w="9638"/>
            <w:shd w:fill="EAF2F7"/>
          </w:tcPr>
          <w:p>
            <w:r>
              <w:rPr>
                <w:color w:val="18364E"/>
              </w:rPr>
              <w:t>“The effect of pandemic-induced working from home on household expenditure among continuously employed workers who previously worked away from home.”</w:t>
            </w:r>
          </w:p>
        </w:tc>
      </w:tr>
    </w:tbl>
    <w:p/>
    <w:p>
      <w:r>
        <w:t>Do not initially call this the cost of work or transport it directly to unemployed households.</w:t>
      </w:r>
    </w:p>
    <w:p>
      <w:pPr>
        <w:pStyle w:val="Heading3"/>
      </w:pPr>
      <w:r>
        <w:t>Required empirical work</w:t>
      </w:r>
    </w:p>
    <w:p>
      <w:pPr>
        <w:pStyle w:val="ListNumber"/>
      </w:pPr>
      <w:r>
        <w:t>Use continuous WFH hours or the share of weekly hours at home rather than only a binary indicator.</w:t>
      </w:r>
    </w:p>
    <w:p>
      <w:pPr>
        <w:pStyle w:val="ListNumber"/>
      </w:pPr>
      <w:r>
        <w:t>Construct exposure from 2017–2018 or an external pre-pandemic teleworkability classification rather than contemporaneous sample composition.</w:t>
      </w:r>
    </w:p>
    <w:p>
      <w:pPr>
        <w:pStyle w:val="ListNumber"/>
      </w:pPr>
      <w:r>
        <w:t>Use leave-one-out industry–occupation shares and report cell sizes.</w:t>
      </w:r>
    </w:p>
    <w:p>
      <w:pPr>
        <w:pStyle w:val="ListNumber"/>
      </w:pPr>
      <w:r>
        <w:t>Use only pre-2020 controls in the principal specification.</w:t>
      </w:r>
    </w:p>
    <w:p>
      <w:pPr>
        <w:pStyle w:val="ListNumber"/>
      </w:pPr>
      <w:r>
        <w:t>Report reduced form, first stage, OLS, and 2SLS side by side.</w:t>
      </w:r>
    </w:p>
    <w:p>
      <w:pPr>
        <w:pStyle w:val="ListNumber"/>
      </w:pPr>
      <w:r>
        <w:t>Cluster at the instrument-assignment level—industry–occupation—not only household.</w:t>
      </w:r>
    </w:p>
    <w:p>
      <w:pPr>
        <w:pStyle w:val="ListNumber"/>
      </w:pPr>
      <w:r>
        <w:t>Report the number of assignment clusters and use wild-cluster inference if it is small.</w:t>
      </w:r>
    </w:p>
    <w:p>
      <w:pPr>
        <w:pStyle w:val="ListNumber"/>
      </w:pPr>
      <w:r>
        <w:t>Report weak-IV-robust Anderson–Rubin or conditional-likelihood-ratio intervals, not only the conventional F-statistic.</w:t>
      </w:r>
    </w:p>
    <w:p>
      <w:pPr>
        <w:pStyle w:val="ListNumber"/>
      </w:pPr>
      <w:r>
        <w:t>Test whether high- and low-exposure cells had different expenditure changes during 2017–2019.</w:t>
      </w:r>
    </w:p>
    <w:p>
      <w:pPr>
        <w:pStyle w:val="ListNumber"/>
      </w:pPr>
      <w:r>
        <w:t>Estimate post-2020 persistence and placebo effects.</w:t>
      </w:r>
    </w:p>
    <w:p>
      <w:pPr>
        <w:pStyle w:val="ListNumber"/>
      </w:pPr>
      <w:r>
        <w:t>Include state-by-year effects and flexible pre-pandemic industry and occupation trends where feasible.</w:t>
      </w:r>
    </w:p>
    <w:p>
      <w:pPr>
        <w:pStyle w:val="ListNumber"/>
      </w:pPr>
      <w:r>
        <w:t>Conduct plausible-exogeneity bounds showing how large a direct occupation/industry pandemic effect would overturn the result.</w:t>
      </w:r>
    </w:p>
    <w:p>
      <w:r>
        <w:t>The most persuasive expenditure pattern would be:</w:t>
      </w:r>
    </w:p>
    <w:p>
      <w:pPr>
        <w:pStyle w:val="ListBullet"/>
      </w:pPr>
      <w:r>
        <w:t>large reductions in commuting, public transport, fuel, meals away, and work clothing;</w:t>
      </w:r>
    </w:p>
    <w:p>
      <w:pPr>
        <w:pStyle w:val="ListBullet"/>
      </w:pPr>
      <w:r>
        <w:t>offsetting increases in utilities, internet, and home costs; and</w:t>
      </w:r>
    </w:p>
    <w:p>
      <w:pPr>
        <w:pStyle w:val="ListBullet"/>
      </w:pPr>
      <w:r>
        <w:t>little change in core groceries and other non-work essentials.</w:t>
      </w:r>
    </w:p>
    <w:p>
      <w:r>
        <w:t>A single total-nondurable coefficient is not enough to identify work expenses.</w:t>
      </w:r>
    </w:p>
    <w:p>
      <w:pPr>
        <w:pStyle w:val="Heading2"/>
      </w:pPr>
      <w:r>
        <w:t>2.7 Do not interpret the coefficient as a spending share</w:t>
      </w:r>
    </w:p>
    <w:p>
      <w:r>
        <w:t>The coefficient of −0.155 is a log change. Its exact percentage interpretation is approximately:</w:t>
      </w:r>
    </w:p>
    <w:p>
      <w:r>
        <w:rPr>
          <w:rFonts w:ascii="Consolas" w:hAnsi="Consolas"/>
          <w:color w:val="18364E"/>
          <w:sz w:val="19"/>
        </w:rPr>
        <w:t>exp(−0.155) − 1 = −14.4%</w:t>
      </w:r>
      <w:r>
        <w:t>.</w:t>
      </w:r>
    </w:p>
    <w:p>
      <w:r>
        <w:t>It does not establish that 15% of all non-durable spending is a work expense. It estimates a local annual expenditure change associated with instrument-induced WFH, conditional on the IV assumptions.</w:t>
      </w:r>
    </w:p>
    <w:p>
      <w:pPr>
        <w:pStyle w:val="Heading2"/>
      </w:pPr>
      <w:r>
        <w:t>2.8 The 83% calculation is not currently defensible</w:t>
      </w:r>
    </w:p>
    <w:p>
      <w:r>
        <w:t>Multiplying the WFH estimate by 36.2% of a year and dividing by 6.7% assumes:</w:t>
      </w:r>
    </w:p>
    <w:p>
      <w:pPr>
        <w:pStyle w:val="ListBullet"/>
      </w:pPr>
      <w:r>
        <w:t>the WFH coefficient represents a complete year of exposure;</w:t>
      </w:r>
    </w:p>
    <w:p>
      <w:pPr>
        <w:pStyle w:val="ListBullet"/>
      </w:pPr>
      <w:r>
        <w:t>effects scale linearly with months;</w:t>
      </w:r>
    </w:p>
    <w:p>
      <w:pPr>
        <w:pStyle w:val="ListBullet"/>
      </w:pPr>
      <w:r>
        <w:t>WFH and unemployment eliminate the same expenditure;</w:t>
      </w:r>
    </w:p>
    <w:p>
      <w:pPr>
        <w:pStyle w:val="ListBullet"/>
      </w:pPr>
      <w:r>
        <w:t>the WFH local treatment effect transports to displaced nonrecipients;</w:t>
      </w:r>
    </w:p>
    <w:p>
      <w:pPr>
        <w:pStyle w:val="ListBullet"/>
      </w:pPr>
      <w:r>
        <w:t>WFH intensity is homogeneous; and</w:t>
      </w:r>
    </w:p>
    <w:p>
      <w:pPr>
        <w:pStyle w:val="ListBullet"/>
      </w:pPr>
      <w:r>
        <w:t>there are no home-cost or home-production differences.</w:t>
      </w:r>
    </w:p>
    <w:p>
      <w:r>
        <w:t>The annual 2020 coefficient already reflects respondents’ actual and heterogeneous WFH durations. Prorating it again may double-scale exposure.</w:t>
      </w:r>
    </w:p>
    <w:p>
      <w:r>
        <w:t>If retaining this bridge, present a transparent bound rather than a point estimate. Show every scaling assumption separately and report a wide range based on alternative WFH-duration and transportability assumptions.</w:t>
      </w:r>
    </w:p>
    <w:p>
      <w:pPr>
        <w:pStyle w:val="Heading2"/>
      </w:pPr>
      <w:r>
        <w:t>2.9 A cleaner fallback</w:t>
      </w:r>
    </w:p>
    <w:p>
      <w:r>
        <w:t>The paper may be stronger if it drops the causal-IV claim and instead uses:</w:t>
      </w:r>
    </w:p>
    <w:p>
      <w:pPr>
        <w:pStyle w:val="ListBullet"/>
      </w:pPr>
      <w:r>
        <w:t>direct event studies of clearly work-related expenditure categories;</w:t>
      </w:r>
    </w:p>
    <w:p>
      <w:pPr>
        <w:pStyle w:val="ListBullet"/>
      </w:pPr>
      <w:r>
        <w:t>comparisons with groceries, home costs, and committed expenditure;</w:t>
      </w:r>
    </w:p>
    <w:p>
      <w:pPr>
        <w:pStyle w:val="ListBullet"/>
      </w:pPr>
      <w:r>
        <w:t>time-use and commuting information;</w:t>
      </w:r>
    </w:p>
    <w:p>
      <w:pPr>
        <w:pStyle w:val="ListBullet"/>
      </w:pPr>
      <w:r>
        <w:t>WFH results as a descriptive external benchmark; and</w:t>
      </w:r>
    </w:p>
    <w:p>
      <w:pPr>
        <w:pStyle w:val="ListBullet"/>
      </w:pPr>
      <w:r>
        <w:t>bounds on the fraction of the 6.7% decline attributable to employment-linked expenditure.</w:t>
      </w:r>
    </w:p>
    <w:p>
      <w:r>
        <w:t>The cleanest finish is likely to retain the WFH exercise in the appendix as supporting evidence and make the item-level job-loss decomposition the primary mechanism analysis.</w:t>
      </w:r>
    </w:p>
    <w:p>
      <w:r>
        <w:br w:type="page"/>
      </w:r>
    </w:p>
    <w:p>
      <w:pPr>
        <w:pStyle w:val="Heading1"/>
      </w:pPr>
      <w:r>
        <w:t>3. Rewriting the paper</w:t>
      </w:r>
    </w:p>
    <w:p>
      <w:pPr>
        <w:pStyle w:val="Heading2"/>
      </w:pPr>
      <w:r>
        <w:t>3.1 Central claim</w:t>
      </w:r>
    </w:p>
    <w:p>
      <w:r>
        <w:t>A defensible core claim is:</w:t>
      </w:r>
    </w:p>
    <w:tbl>
      <w:tblPr>
        <w:tblW w:type="auto" w:w="0"/>
        <w:jc w:val="center"/>
        <w:tblLook w:firstColumn="1" w:firstRow="1" w:lastColumn="0" w:lastRow="0" w:noHBand="0" w:noVBand="1" w:val="04A0"/>
      </w:tblPr>
      <w:tblGrid>
        <w:gridCol w:w="9638"/>
      </w:tblGrid>
      <w:tr>
        <w:tc>
          <w:tcPr>
            <w:tcW w:type="dxa" w:w="9638"/>
            <w:shd w:fill="EAF2F7"/>
          </w:tcPr>
          <w:p>
            <w:r>
              <w:rPr>
                <w:color w:val="18364E"/>
              </w:rPr>
              <w:t>“Benefit nonrecipients reduce measured non-durable expenditure after job loss, but much of the immediate reduction is concentrated in expenditure linked to employment. Medium-run spending remains lower, although its magnitude and behavioural interpretation are uncertain.”</w:t>
            </w:r>
          </w:p>
        </w:tc>
      </w:tr>
    </w:tbl>
    <w:p/>
    <w:p>
      <w:r>
        <w:t>That is interesting and policy-relevant. It does not require claiming that targeting is optimal or that 83% of the decline is explained.</w:t>
      </w:r>
    </w:p>
    <w:p>
      <w:pPr>
        <w:pStyle w:val="Heading2"/>
      </w:pPr>
      <w:r>
        <w:t>3.2 Suggested title</w:t>
      </w:r>
    </w:p>
    <w:p>
      <w:r>
        <w:rPr>
          <w:b/>
        </w:rPr>
        <w:t>Preferred</w:t>
      </w:r>
    </w:p>
    <w:p>
      <w:r>
        <w:rPr>
          <w:i/>
        </w:rPr>
        <w:t>Household Spending after Job Loss among Benefit Nonrecipients in Australia</w:t>
      </w:r>
    </w:p>
    <w:p>
      <w:r>
        <w:rPr>
          <w:b/>
        </w:rPr>
        <w:t>Alternatives</w:t>
      </w:r>
    </w:p>
    <w:p>
      <w:pPr>
        <w:pStyle w:val="ListBullet"/>
      </w:pPr>
      <w:r>
        <w:rPr>
          <w:i/>
        </w:rPr>
        <w:t>Job Loss, Benefit Nonreceipt, and Household Spending</w:t>
      </w:r>
    </w:p>
    <w:p>
      <w:pPr>
        <w:pStyle w:val="ListBullet"/>
      </w:pPr>
      <w:r>
        <w:rPr>
          <w:i/>
        </w:rPr>
        <w:t>Does Benefit Nonreceipt Identify the Self-Insured? Evidence from Australia</w:t>
      </w:r>
    </w:p>
    <w:p>
      <w:pPr>
        <w:pStyle w:val="ListBullet"/>
      </w:pPr>
      <w:r>
        <w:rPr>
          <w:i/>
        </w:rPr>
        <w:t>Expenditure versus Consumption after Job Loss</w:t>
      </w:r>
    </w:p>
    <w:p>
      <w:r>
        <w:t>Use “consumption” only when the outcome or interpretation genuinely warrants it. Most HILDA variables measure reported expenditure.</w:t>
      </w:r>
    </w:p>
    <w:p>
      <w:pPr>
        <w:pStyle w:val="Heading2"/>
      </w:pPr>
      <w:r>
        <w:t>3.3 Contribution statement</w:t>
      </w:r>
    </w:p>
    <w:p>
      <w:r>
        <w:t>The revised paper should make three contributions:</w:t>
      </w:r>
    </w:p>
    <w:p>
      <w:pPr>
        <w:pStyle w:val="ListNumber"/>
      </w:pPr>
      <w:r>
        <w:t>It documents household expenditure paths after job loss among benefit nonrecipients, a group largely omitted from the unemployment-insurance consumption literature.</w:t>
      </w:r>
    </w:p>
    <w:p>
      <w:pPr>
        <w:pStyle w:val="ListNumber"/>
      </w:pPr>
      <w:r>
        <w:t>It separates predetermined eligibility from realised take-up and relates spending responses to liquid self-insurance capacity.</w:t>
      </w:r>
    </w:p>
    <w:p>
      <w:pPr>
        <w:pStyle w:val="ListNumber"/>
      </w:pPr>
      <w:r>
        <w:t>It shows why employment-linked expenditure can make measured spending changes overstate changes in welfare-relevant consumption.</w:t>
      </w:r>
    </w:p>
    <w:p>
      <w:r>
        <w:t>Avoid claiming a causal displacement effect unless the design is narrowed to a plausibly exogenous event such as employer closure, mass layoff, or clearly involuntary redundancy.</w:t>
      </w:r>
    </w:p>
    <w:p>
      <w:pPr>
        <w:pStyle w:val="Heading2"/>
      </w:pPr>
      <w:r>
        <w:t>3.4 Recommended paper structure</w:t>
      </w:r>
    </w:p>
    <w:p>
      <w:pPr>
        <w:pStyle w:val="ListNumber"/>
      </w:pPr>
      <w:r>
        <w:rPr>
          <w:b/>
        </w:rPr>
        <w:t>Introduction</w:t>
      </w:r>
    </w:p>
    <w:p>
      <w:pPr>
        <w:pStyle w:val="ListBullet"/>
      </w:pPr>
      <w:r>
        <w:t>Targeting question.</w:t>
      </w:r>
    </w:p>
    <w:p>
      <w:pPr>
        <w:pStyle w:val="ListBullet"/>
      </w:pPr>
      <w:r>
        <w:t>Why nonreceipt is informative but selected.</w:t>
      </w:r>
    </w:p>
    <w:p>
      <w:pPr>
        <w:pStyle w:val="ListBullet"/>
      </w:pPr>
      <w:r>
        <w:t>Expenditure-versus-consumption distinction.</w:t>
      </w:r>
    </w:p>
    <w:p>
      <w:pPr>
        <w:pStyle w:val="ListBullet"/>
      </w:pPr>
      <w:r>
        <w:t>Main findings with uncertainty.</w:t>
      </w:r>
    </w:p>
    <w:p>
      <w:pPr>
        <w:pStyle w:val="ListBullet"/>
      </w:pPr>
      <w:r>
        <w:t>Contribution and limitations.</w:t>
      </w:r>
    </w:p>
    <w:p>
      <w:pPr>
        <w:pStyle w:val="ListNumber"/>
      </w:pPr>
      <w:r>
        <w:rPr>
          <w:b/>
        </w:rPr>
        <w:t>Australian benefit targeting</w:t>
      </w:r>
    </w:p>
    <w:p>
      <w:pPr>
        <w:pStyle w:val="ListBullet"/>
      </w:pPr>
      <w:r>
        <w:t>Eligibility rules.</w:t>
      </w:r>
    </w:p>
    <w:p>
      <w:pPr>
        <w:pStyle w:val="ListBullet"/>
      </w:pPr>
      <w:r>
        <w:t>Predicted eligibility versus take-up.</w:t>
      </w:r>
    </w:p>
    <w:p>
      <w:pPr>
        <w:pStyle w:val="ListBullet"/>
      </w:pPr>
      <w:r>
        <w:t>Why nonrecipients are heterogeneous.</w:t>
      </w:r>
    </w:p>
    <w:p>
      <w:pPr>
        <w:pStyle w:val="ListNumber"/>
      </w:pPr>
      <w:r>
        <w:rPr>
          <w:b/>
        </w:rPr>
        <w:t>HILDA data and cohort construction</w:t>
      </w:r>
    </w:p>
    <w:p>
      <w:pPr>
        <w:pStyle w:val="ListBullet"/>
      </w:pPr>
      <w:r>
        <w:t>Stable pre-event household reference person.</w:t>
      </w:r>
    </w:p>
    <w:p>
      <w:pPr>
        <w:pStyle w:val="ListBullet"/>
      </w:pPr>
      <w:r>
        <w:t>First displacement.</w:t>
      </w:r>
    </w:p>
    <w:p>
      <w:pPr>
        <w:pStyle w:val="ListBullet"/>
      </w:pPr>
      <w:r>
        <w:t>Expenditure timing.</w:t>
      </w:r>
    </w:p>
    <w:p>
      <w:pPr>
        <w:pStyle w:val="ListBullet"/>
      </w:pPr>
      <w:r>
        <w:t>Predicted eligibility.</w:t>
      </w:r>
    </w:p>
    <w:p>
      <w:pPr>
        <w:pStyle w:val="ListBullet"/>
      </w:pPr>
      <w:r>
        <w:t>Sample flow and attrition.</w:t>
      </w:r>
    </w:p>
    <w:p>
      <w:pPr>
        <w:pStyle w:val="ListNumber"/>
      </w:pPr>
      <w:r>
        <w:rPr>
          <w:b/>
        </w:rPr>
        <w:t>Spending following job loss</w:t>
      </w:r>
    </w:p>
    <w:p>
      <w:pPr>
        <w:pStyle w:val="ListBullet"/>
      </w:pPr>
      <w:r>
        <w:t>Stacked event-study design.</w:t>
      </w:r>
    </w:p>
    <w:p>
      <w:pPr>
        <w:pStyle w:val="ListBullet"/>
      </w:pPr>
      <w:r>
        <w:t>Main overall and nonrecipient estimates.</w:t>
      </w:r>
    </w:p>
    <w:p>
      <w:pPr>
        <w:pStyle w:val="ListBullet"/>
      </w:pPr>
      <w:r>
        <w:t>Pre-trends, cohort support, and inference.</w:t>
      </w:r>
    </w:p>
    <w:p>
      <w:pPr>
        <w:pStyle w:val="ListBullet"/>
      </w:pPr>
      <w:r>
        <w:t>Involuntary displacement.</w:t>
      </w:r>
    </w:p>
    <w:p>
      <w:pPr>
        <w:pStyle w:val="ListNumber"/>
      </w:pPr>
      <w:r>
        <w:rPr>
          <w:b/>
        </w:rPr>
        <w:t>Is the spending decline welfare-relevant?</w:t>
      </w:r>
    </w:p>
    <w:p>
      <w:pPr>
        <w:pStyle w:val="ListBullet"/>
      </w:pPr>
      <w:r>
        <w:t>Category decomposition.</w:t>
      </w:r>
    </w:p>
    <w:p>
      <w:pPr>
        <w:pStyle w:val="ListBullet"/>
      </w:pPr>
      <w:r>
        <w:t>Employment-linked versus core expenditure.</w:t>
      </w:r>
    </w:p>
    <w:p>
      <w:pPr>
        <w:pStyle w:val="ListBullet"/>
      </w:pPr>
      <w:r>
        <w:t>WFH benchmark or IV, with qualifications.</w:t>
      </w:r>
    </w:p>
    <w:p>
      <w:pPr>
        <w:pStyle w:val="ListBullet"/>
      </w:pPr>
      <w:r>
        <w:t>Bounds.</w:t>
      </w:r>
    </w:p>
    <w:p>
      <w:pPr>
        <w:pStyle w:val="ListNumber"/>
      </w:pPr>
      <w:r>
        <w:rPr>
          <w:b/>
        </w:rPr>
        <w:t>Targeting implications</w:t>
      </w:r>
    </w:p>
    <w:p>
      <w:pPr>
        <w:pStyle w:val="ListBullet"/>
      </w:pPr>
      <w:r>
        <w:t>Heterogeneity by predicted eligibility, liquid assets, debt, and partner income.</w:t>
      </w:r>
    </w:p>
    <w:p>
      <w:pPr>
        <w:pStyle w:val="ListBullet"/>
      </w:pPr>
      <w:r>
        <w:t>What the results do and do not imply about self-insurance.</w:t>
      </w:r>
    </w:p>
    <w:p>
      <w:pPr>
        <w:pStyle w:val="ListNumber"/>
      </w:pPr>
      <w:r>
        <w:rPr>
          <w:b/>
        </w:rPr>
        <w:t>Conclusion</w:t>
      </w:r>
    </w:p>
    <w:p>
      <w:r>
        <w:t>The standalone literature-review section can be shortened and integrated into the introduction and mechanism sections.</w:t>
      </w:r>
    </w:p>
    <w:p>
      <w:pPr>
        <w:pStyle w:val="Heading2"/>
      </w:pPr>
      <w:r>
        <w:t>3.5 Claims to remove or narrow</w:t>
      </w:r>
    </w:p>
    <w:p>
      <w:r>
        <w:t>Do not currently claim that:</w:t>
      </w:r>
    </w:p>
    <w:p>
      <w:pPr>
        <w:pStyle w:val="ListBullet"/>
      </w:pPr>
      <w:r>
        <w:t>benefit targeting mostly excludes people who are self-insured;</w:t>
      </w:r>
    </w:p>
    <w:p>
      <w:pPr>
        <w:pStyle w:val="ListBullet"/>
      </w:pPr>
      <w:r>
        <w:t>the IV causally measures work expenses;</w:t>
      </w:r>
    </w:p>
    <w:p>
      <w:pPr>
        <w:pStyle w:val="ListBullet"/>
      </w:pPr>
      <w:r>
        <w:t>work expenses explain 83% of the initial decline;</w:t>
      </w:r>
    </w:p>
    <w:p>
      <w:pPr>
        <w:pStyle w:val="ListBullet"/>
      </w:pPr>
      <w:r>
        <w:t>persistent spending proves increased risk aversion or new habits;</w:t>
      </w:r>
    </w:p>
    <w:p>
      <w:pPr>
        <w:pStyle w:val="ListBullet"/>
      </w:pPr>
      <w:r>
        <w:t>the results establish aggregate-demand hysteresis; or</w:t>
      </w:r>
    </w:p>
    <w:p>
      <w:pPr>
        <w:pStyle w:val="ListBullet"/>
      </w:pPr>
      <w:r>
        <w:t>expanding benefit eligibility would be an ineffective macro-stabilisation tool.</w:t>
      </w:r>
    </w:p>
    <w:p>
      <w:r>
        <w:t>The final claim requires take-up, statutory benefit amounts, marginal propensities to consume, fiscal cost, financing, and general-equilibrium effects—not only expenditure following job loss.</w:t>
      </w:r>
    </w:p>
    <w:p>
      <w:pPr>
        <w:pStyle w:val="Heading2"/>
      </w:pPr>
      <w:r>
        <w:t>3.6 Abstract blueprint</w:t>
      </w:r>
    </w:p>
    <w:p>
      <w:r>
        <w:t>A suitable final abstract could follow this structure:</w:t>
      </w:r>
    </w:p>
    <w:tbl>
      <w:tblPr>
        <w:tblW w:type="auto" w:w="0"/>
        <w:jc w:val="center"/>
        <w:tblLook w:firstColumn="1" w:firstRow="1" w:lastColumn="0" w:lastRow="0" w:noHBand="0" w:noVBand="1" w:val="04A0"/>
      </w:tblPr>
      <w:tblGrid>
        <w:gridCol w:w="9638"/>
      </w:tblGrid>
      <w:tr>
        <w:tc>
          <w:tcPr>
            <w:tcW w:type="dxa" w:w="9638"/>
            <w:shd w:fill="EAF2F7"/>
          </w:tcPr>
          <w:p>
            <w:r>
              <w:rPr>
                <w:color w:val="18364E"/>
              </w:rPr>
              <w:t>“We study household expenditure following job loss among working-age Australians who do not receive unemployment assistance. Using longitudinal HILDA data and a stacked event-study design, we compare first-time involuntarily displaced workers with workers not yet displaced, distinguishing statutory ineligibility from non-take-up. Nonrecipients reduce measured non-durable expenditure by [estimate and confidence interval] after job loss, while medium-run estimates are [summary with uncertainty]. Category-level results show that [share/range] of the immediate decline is concentrated in employment-linked expenditure. A supplementary WFH design provides [qualified supporting result]. The evidence suggests that measured expenditure declines overstate changes in welfare-relevant consumption, but does not imply that all nonrecipients are fully insured.”</w:t>
            </w:r>
          </w:p>
        </w:tc>
      </w:tr>
    </w:tbl>
    <w:p/>
    <w:p>
      <w:pPr>
        <w:pStyle w:val="Heading2"/>
      </w:pPr>
      <w:r>
        <w:t>3.7 Main exhibit package</w:t>
      </w:r>
    </w:p>
    <w:p>
      <w:pPr>
        <w:pStyle w:val="ListNumber"/>
      </w:pPr>
      <w:r>
        <w:t>Sample construction and eligibility classification.</w:t>
      </w:r>
    </w:p>
    <w:p>
      <w:pPr>
        <w:pStyle w:val="ListNumber"/>
      </w:pPr>
      <w:r>
        <w:t>Pre-event characteristics and spending trends.</w:t>
      </w:r>
    </w:p>
    <w:p>
      <w:pPr>
        <w:pStyle w:val="ListNumber"/>
      </w:pPr>
      <w:r>
        <w:t>Main first-involuntary-displacement event study.</w:t>
      </w:r>
    </w:p>
    <w:p>
      <w:pPr>
        <w:pStyle w:val="ListNumber"/>
      </w:pPr>
      <w:r>
        <w:t>Results by predicted eligibility and liquid assets.</w:t>
      </w:r>
    </w:p>
    <w:p>
      <w:pPr>
        <w:pStyle w:val="ListNumber"/>
      </w:pPr>
      <w:r>
        <w:t>Category-specific effects: work-linked, core, home, and committed spending.</w:t>
      </w:r>
    </w:p>
    <w:p>
      <w:pPr>
        <w:pStyle w:val="ListNumber"/>
      </w:pPr>
      <w:r>
        <w:t>WFH estimates and bounds, preferably in the appendix unless substantially strengthened.</w:t>
      </w:r>
    </w:p>
    <w:p>
      <w:pPr>
        <w:pStyle w:val="ListNumber"/>
      </w:pPr>
      <w:r>
        <w:t>Robustness table covering controls, outliers, timing, control groups, and attrition.</w:t>
      </w:r>
    </w:p>
    <w:p>
      <w:r>
        <w:t>Every event-study figure should identify the omitted period, display simultaneous bands, and show event-time sample counts underneath or in an accompanying table.</w:t>
      </w:r>
    </w:p>
    <w:p>
      <w:r>
        <w:br w:type="page"/>
      </w:r>
    </w:p>
    <w:p>
      <w:pPr>
        <w:pStyle w:val="Heading1"/>
      </w:pPr>
      <w:r>
        <w:t>4. Journal strategy</w:t>
      </w:r>
    </w:p>
    <w:p>
      <w:pPr>
        <w:pStyle w:val="Heading2"/>
      </w:pPr>
      <w:r>
        <w:t>4.1 Recommended submission ladder</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vAlign w:val="center"/>
            <w:shd w:fill="18364E"/>
          </w:tcPr>
          <w:p>
            <w:pPr>
              <w:spacing w:after="0"/>
            </w:pPr>
            <w:r>
              <w:rPr>
                <w:rFonts w:ascii="Aptos" w:hAnsi="Aptos"/>
                <w:b/>
                <w:color w:val="FFFFFF"/>
                <w:sz w:val="16"/>
              </w:rPr>
              <w:t>Journal</w:t>
            </w:r>
          </w:p>
        </w:tc>
        <w:tc>
          <w:tcPr>
            <w:tcW w:type="dxa" w:w="3213"/>
            <w:vAlign w:val="center"/>
            <w:shd w:fill="18364E"/>
          </w:tcPr>
          <w:p>
            <w:pPr>
              <w:spacing w:after="0"/>
            </w:pPr>
            <w:r>
              <w:rPr>
                <w:rFonts w:ascii="Aptos" w:hAnsi="Aptos"/>
                <w:b/>
                <w:color w:val="FFFFFF"/>
                <w:sz w:val="16"/>
              </w:rPr>
              <w:t>Fit</w:t>
            </w:r>
          </w:p>
        </w:tc>
        <w:tc>
          <w:tcPr>
            <w:tcW w:type="dxa" w:w="3213"/>
            <w:vAlign w:val="center"/>
            <w:shd w:fill="18364E"/>
          </w:tcPr>
          <w:p>
            <w:pPr>
              <w:spacing w:after="0"/>
            </w:pPr>
            <w:r>
              <w:rPr>
                <w:rFonts w:ascii="Aptos" w:hAnsi="Aptos"/>
                <w:b/>
                <w:color w:val="FFFFFF"/>
                <w:sz w:val="16"/>
              </w:rPr>
              <w:t>What the paper would need</w:t>
            </w:r>
          </w:p>
        </w:tc>
      </w:tr>
      <w:tr>
        <w:tc>
          <w:tcPr>
            <w:tcW w:type="dxa" w:w="3213"/>
            <w:vAlign w:val="center"/>
          </w:tcPr>
          <w:p>
            <w:pPr>
              <w:spacing w:after="0"/>
            </w:pPr>
            <w:r>
              <w:rPr>
                <w:rFonts w:ascii="Aptos" w:hAnsi="Aptos"/>
                <w:sz w:val="16"/>
              </w:rPr>
              <w:t>Labour Economics</w:t>
            </w:r>
          </w:p>
        </w:tc>
        <w:tc>
          <w:tcPr>
            <w:tcW w:type="dxa" w:w="3213"/>
            <w:vAlign w:val="center"/>
          </w:tcPr>
          <w:p>
            <w:pPr>
              <w:spacing w:after="0"/>
            </w:pPr>
            <w:r>
              <w:rPr>
                <w:rFonts w:ascii="Aptos" w:hAnsi="Aptos"/>
                <w:sz w:val="16"/>
              </w:rPr>
              <w:t>Best ambitious target</w:t>
            </w:r>
          </w:p>
        </w:tc>
        <w:tc>
          <w:tcPr>
            <w:tcW w:type="dxa" w:w="3213"/>
            <w:vAlign w:val="center"/>
          </w:tcPr>
          <w:p>
            <w:pPr>
              <w:spacing w:after="0"/>
            </w:pPr>
            <w:r>
              <w:rPr>
                <w:rFonts w:ascii="Aptos" w:hAnsi="Aptos"/>
                <w:sz w:val="16"/>
              </w:rPr>
              <w:t>Redesigned job-loss study, predetermined eligibility, credible inference, and restrained IV interpretation</w:t>
            </w:r>
          </w:p>
        </w:tc>
      </w:tr>
      <w:tr>
        <w:tc>
          <w:tcPr>
            <w:tcW w:type="dxa" w:w="3213"/>
            <w:vAlign w:val="center"/>
            <w:shd w:fill="F2F4F5"/>
          </w:tcPr>
          <w:p>
            <w:pPr>
              <w:spacing w:after="0"/>
            </w:pPr>
            <w:r>
              <w:rPr>
                <w:rFonts w:ascii="Aptos" w:hAnsi="Aptos"/>
                <w:sz w:val="16"/>
              </w:rPr>
              <w:t>Review of Economics of the Household</w:t>
            </w:r>
          </w:p>
        </w:tc>
        <w:tc>
          <w:tcPr>
            <w:tcW w:type="dxa" w:w="3213"/>
            <w:vAlign w:val="center"/>
            <w:shd w:fill="F2F4F5"/>
          </w:tcPr>
          <w:p>
            <w:pPr>
              <w:spacing w:after="0"/>
            </w:pPr>
            <w:r>
              <w:rPr>
                <w:rFonts w:ascii="Aptos" w:hAnsi="Aptos"/>
                <w:sz w:val="16"/>
              </w:rPr>
              <w:t>Strong household-economics fit</w:t>
            </w:r>
          </w:p>
        </w:tc>
        <w:tc>
          <w:tcPr>
            <w:tcW w:type="dxa" w:w="3213"/>
            <w:vAlign w:val="center"/>
            <w:shd w:fill="F2F4F5"/>
          </w:tcPr>
          <w:p>
            <w:pPr>
              <w:spacing w:after="0"/>
            </w:pPr>
            <w:r>
              <w:rPr>
                <w:rFonts w:ascii="Aptos" w:hAnsi="Aptos"/>
                <w:sz w:val="16"/>
              </w:rPr>
              <w:t>Greater emphasis on consumption, wealth, partner insurance, and household adjustment</w:t>
            </w:r>
          </w:p>
        </w:tc>
      </w:tr>
      <w:tr>
        <w:tc>
          <w:tcPr>
            <w:tcW w:type="dxa" w:w="3213"/>
            <w:vAlign w:val="center"/>
          </w:tcPr>
          <w:p>
            <w:pPr>
              <w:spacing w:after="0"/>
            </w:pPr>
            <w:r>
              <w:rPr>
                <w:rFonts w:ascii="Aptos" w:hAnsi="Aptos"/>
                <w:sz w:val="16"/>
              </w:rPr>
              <w:t>Economic Record</w:t>
            </w:r>
          </w:p>
        </w:tc>
        <w:tc>
          <w:tcPr>
            <w:tcW w:type="dxa" w:w="3213"/>
            <w:vAlign w:val="center"/>
          </w:tcPr>
          <w:p>
            <w:pPr>
              <w:spacing w:after="0"/>
            </w:pPr>
            <w:r>
              <w:rPr>
                <w:rFonts w:ascii="Aptos" w:hAnsi="Aptos"/>
                <w:sz w:val="16"/>
              </w:rPr>
              <w:t>Very good and realistic Australian-policy target</w:t>
            </w:r>
          </w:p>
        </w:tc>
        <w:tc>
          <w:tcPr>
            <w:tcW w:type="dxa" w:w="3213"/>
            <w:vAlign w:val="center"/>
          </w:tcPr>
          <w:p>
            <w:pPr>
              <w:spacing w:after="0"/>
            </w:pPr>
            <w:r>
              <w:rPr>
                <w:rFonts w:ascii="Aptos" w:hAnsi="Aptos"/>
                <w:sz w:val="16"/>
              </w:rPr>
              <w:t>Rigorous event study; causal claims may remain deliberately limited</w:t>
            </w:r>
          </w:p>
        </w:tc>
      </w:tr>
      <w:tr>
        <w:tc>
          <w:tcPr>
            <w:tcW w:type="dxa" w:w="3213"/>
            <w:vAlign w:val="center"/>
            <w:shd w:fill="F2F4F5"/>
          </w:tcPr>
          <w:p>
            <w:pPr>
              <w:spacing w:after="0"/>
            </w:pPr>
            <w:r>
              <w:rPr>
                <w:rFonts w:ascii="Aptos" w:hAnsi="Aptos"/>
                <w:sz w:val="16"/>
              </w:rPr>
              <w:t>Australian Economic Review</w:t>
            </w:r>
          </w:p>
        </w:tc>
        <w:tc>
          <w:tcPr>
            <w:tcW w:type="dxa" w:w="3213"/>
            <w:vAlign w:val="center"/>
            <w:shd w:fill="F2F4F5"/>
          </w:tcPr>
          <w:p>
            <w:pPr>
              <w:spacing w:after="0"/>
            </w:pPr>
            <w:r>
              <w:rPr>
                <w:rFonts w:ascii="Aptos" w:hAnsi="Aptos"/>
                <w:sz w:val="16"/>
              </w:rPr>
              <w:t>Strong policy-facing option</w:t>
            </w:r>
          </w:p>
        </w:tc>
        <w:tc>
          <w:tcPr>
            <w:tcW w:type="dxa" w:w="3213"/>
            <w:vAlign w:val="center"/>
            <w:shd w:fill="F2F4F5"/>
          </w:tcPr>
          <w:p>
            <w:pPr>
              <w:spacing w:after="0"/>
            </w:pPr>
            <w:r>
              <w:rPr>
                <w:rFonts w:ascii="Aptos" w:hAnsi="Aptos"/>
                <w:sz w:val="16"/>
              </w:rPr>
              <w:t>Transparent descriptive/causal classification and clear Australian policy implications</w:t>
            </w:r>
          </w:p>
        </w:tc>
      </w:tr>
      <w:tr>
        <w:tc>
          <w:tcPr>
            <w:tcW w:type="dxa" w:w="3213"/>
            <w:vAlign w:val="center"/>
          </w:tcPr>
          <w:p>
            <w:pPr>
              <w:spacing w:after="0"/>
            </w:pPr>
            <w:r>
              <w:rPr>
                <w:rFonts w:ascii="Aptos" w:hAnsi="Aptos"/>
                <w:sz w:val="16"/>
              </w:rPr>
              <w:t>Journal of Public Economics</w:t>
            </w:r>
          </w:p>
        </w:tc>
        <w:tc>
          <w:tcPr>
            <w:tcW w:type="dxa" w:w="3213"/>
            <w:vAlign w:val="center"/>
          </w:tcPr>
          <w:p>
            <w:pPr>
              <w:spacing w:after="0"/>
            </w:pPr>
            <w:r>
              <w:rPr>
                <w:rFonts w:ascii="Aptos" w:hAnsi="Aptos"/>
                <w:sz w:val="16"/>
              </w:rPr>
              <w:t>Stretch</w:t>
            </w:r>
          </w:p>
        </w:tc>
        <w:tc>
          <w:tcPr>
            <w:tcW w:type="dxa" w:w="3213"/>
            <w:vAlign w:val="center"/>
          </w:tcPr>
          <w:p>
            <w:pPr>
              <w:spacing w:after="0"/>
            </w:pPr>
            <w:r>
              <w:rPr>
                <w:rFonts w:ascii="Aptos" w:hAnsi="Aptos"/>
                <w:sz w:val="16"/>
              </w:rPr>
              <w:t>Much stronger targeting identification and a credible work-cost mechanism or bounds</w:t>
            </w:r>
          </w:p>
        </w:tc>
      </w:tr>
      <w:tr>
        <w:tc>
          <w:tcPr>
            <w:tcW w:type="dxa" w:w="3213"/>
            <w:vAlign w:val="center"/>
            <w:shd w:fill="F2F4F5"/>
          </w:tcPr>
          <w:p>
            <w:pPr>
              <w:spacing w:after="0"/>
            </w:pPr>
            <w:r>
              <w:rPr>
                <w:rFonts w:ascii="Aptos" w:hAnsi="Aptos"/>
                <w:sz w:val="16"/>
              </w:rPr>
              <w:t>Review of Income and Wealth</w:t>
            </w:r>
          </w:p>
        </w:tc>
        <w:tc>
          <w:tcPr>
            <w:tcW w:type="dxa" w:w="3213"/>
            <w:vAlign w:val="center"/>
            <w:shd w:fill="F2F4F5"/>
          </w:tcPr>
          <w:p>
            <w:pPr>
              <w:spacing w:after="0"/>
            </w:pPr>
            <w:r>
              <w:rPr>
                <w:rFonts w:ascii="Aptos" w:hAnsi="Aptos"/>
                <w:sz w:val="16"/>
              </w:rPr>
              <w:t>Conditional</w:t>
            </w:r>
          </w:p>
        </w:tc>
        <w:tc>
          <w:tcPr>
            <w:tcW w:type="dxa" w:w="3213"/>
            <w:vAlign w:val="center"/>
            <w:shd w:fill="F2F4F5"/>
          </w:tcPr>
          <w:p>
            <w:pPr>
              <w:spacing w:after="0"/>
            </w:pPr>
            <w:r>
              <w:rPr>
                <w:rFonts w:ascii="Aptos" w:hAnsi="Aptos"/>
                <w:sz w:val="16"/>
              </w:rPr>
              <w:t>A stronger methodological measurement contribution, ideally with comparative relevance</w:t>
            </w:r>
          </w:p>
        </w:tc>
      </w:tr>
      <w:tr>
        <w:tc>
          <w:tcPr>
            <w:tcW w:type="dxa" w:w="3213"/>
            <w:vAlign w:val="center"/>
          </w:tcPr>
          <w:p>
            <w:pPr>
              <w:spacing w:after="0"/>
            </w:pPr>
            <w:r>
              <w:rPr>
                <w:rFonts w:ascii="Aptos" w:hAnsi="Aptos"/>
                <w:sz w:val="16"/>
              </w:rPr>
              <w:t>Journal of Economic Behavior &amp; Organization</w:t>
            </w:r>
          </w:p>
        </w:tc>
        <w:tc>
          <w:tcPr>
            <w:tcW w:type="dxa" w:w="3213"/>
            <w:vAlign w:val="center"/>
          </w:tcPr>
          <w:p>
            <w:pPr>
              <w:spacing w:after="0"/>
            </w:pPr>
            <w:r>
              <w:rPr>
                <w:rFonts w:ascii="Aptos" w:hAnsi="Aptos"/>
                <w:sz w:val="16"/>
              </w:rPr>
              <w:t>Conditional</w:t>
            </w:r>
          </w:p>
        </w:tc>
        <w:tc>
          <w:tcPr>
            <w:tcW w:type="dxa" w:w="3213"/>
            <w:vAlign w:val="center"/>
          </w:tcPr>
          <w:p>
            <w:pPr>
              <w:spacing w:after="0"/>
            </w:pPr>
            <w:r>
              <w:rPr>
                <w:rFonts w:ascii="Aptos" w:hAnsi="Aptos"/>
                <w:sz w:val="16"/>
              </w:rPr>
              <w:t>Direct evidence on expectations, habits, or risk preferences rather than residual interpretation</w:t>
            </w:r>
          </w:p>
        </w:tc>
      </w:tr>
    </w:tbl>
    <w:p/>
    <w:p>
      <w:pPr>
        <w:pStyle w:val="Heading2"/>
      </w:pPr>
      <w:r>
        <w:t>4.2 Best ambitious target: Labour Economics</w:t>
      </w:r>
    </w:p>
    <w:p>
      <w:r>
        <w:t>After the event-study redesign and a more cautious mechanism section, this offers the best combination of fit and ambition. The paper directly concerns job displacement, benefit receipt, household responses, and labour-market policy.</w:t>
      </w:r>
    </w:p>
    <w:p>
      <w:r>
        <w:t>The paper would need:</w:t>
      </w:r>
    </w:p>
    <w:p>
      <w:pPr>
        <w:pStyle w:val="ListBullet"/>
      </w:pPr>
      <w:r>
        <w:t>a clean first-job-loss design;</w:t>
      </w:r>
    </w:p>
    <w:p>
      <w:pPr>
        <w:pStyle w:val="ListBullet"/>
      </w:pPr>
      <w:r>
        <w:t>predetermined eligibility groups;</w:t>
      </w:r>
    </w:p>
    <w:p>
      <w:pPr>
        <w:pStyle w:val="ListBullet"/>
      </w:pPr>
      <w:r>
        <w:t>credible inference;</w:t>
      </w:r>
    </w:p>
    <w:p>
      <w:pPr>
        <w:pStyle w:val="ListBullet"/>
      </w:pPr>
      <w:r>
        <w:t>transparent expenditure measurement; and</w:t>
      </w:r>
    </w:p>
    <w:p>
      <w:pPr>
        <w:pStyle w:val="ListBullet"/>
      </w:pPr>
      <w:r>
        <w:t>a restrained interpretation of the WFH exercise.</w:t>
      </w:r>
    </w:p>
    <w:p>
      <w:pPr>
        <w:pStyle w:val="Heading2"/>
      </w:pPr>
      <w:r>
        <w:t>4.3 Strong household-economics alternative</w:t>
      </w:r>
    </w:p>
    <w:p>
      <w:r>
        <w:t xml:space="preserve">The </w:t>
      </w:r>
      <w:r>
        <w:rPr>
          <w:i/>
        </w:rPr>
        <w:t>Review of Economics of the Household</w:t>
      </w:r>
      <w:r>
        <w:t xml:space="preserve"> is a natural fit if the paper emphasises household consumption, savings, wealth, partner insurance, time allocation, and benefit targeting. It may be preferable to </w:t>
      </w:r>
      <w:r>
        <w:rPr>
          <w:i/>
        </w:rPr>
        <w:t>Labour Economics</w:t>
      </w:r>
      <w:r>
        <w:t xml:space="preserve"> if the revised contribution becomes more about household smoothing than labour displacement.</w:t>
      </w:r>
    </w:p>
    <w:p>
      <w:pPr>
        <w:pStyle w:val="Heading2"/>
      </w:pPr>
      <w:r>
        <w:t>4.4 Very good Australian-policy outlet: Economic Record</w:t>
      </w:r>
    </w:p>
    <w:p>
      <w:r>
        <w:rPr>
          <w:i/>
        </w:rPr>
        <w:t>Economic Record</w:t>
      </w:r>
      <w:r>
        <w:t xml:space="preserve"> is especially appropriate because it publishes applied and policy research and explicitly provides a forum for evidence on the Australian economy.</w:t>
      </w:r>
    </w:p>
    <w:p>
      <w:r>
        <w:t>This may be the strongest target if the event study remains deliberately descriptive rather than quasi-causal. The Australian institutional setting would be a feature rather than an external-validity limitation.</w:t>
      </w:r>
    </w:p>
    <w:p>
      <w:pPr>
        <w:pStyle w:val="Heading2"/>
      </w:pPr>
      <w:r>
        <w:t>4.5 Policy-facing option: Australian Economic Review</w:t>
      </w:r>
    </w:p>
    <w:p>
      <w:r>
        <w:t xml:space="preserve">If the authors want a policy audience and retain a transparent descriptive design, the </w:t>
      </w:r>
      <w:r>
        <w:rPr>
          <w:i/>
        </w:rPr>
        <w:t>Australian Economic Review</w:t>
      </w:r>
      <w:r>
        <w:t xml:space="preserve"> is a good fit. Its structured abstract explicitly asks authors to describe whether the analysis is descriptive or causal, which aligns well with the revised paper’s required transparency.</w:t>
      </w:r>
    </w:p>
    <w:p>
      <w:pPr>
        <w:pStyle w:val="Heading2"/>
      </w:pPr>
      <w:r>
        <w:t>4.6 Stretch target: Journal of Public Economics</w:t>
      </w:r>
    </w:p>
    <w:p>
      <w:r>
        <w:t>JPubE is plausible only after a substantial redesign that turns the paper into a contribution about benefit-targeting rules rather than spending correlations.</w:t>
      </w:r>
    </w:p>
    <w:p>
      <w:r>
        <w:t>For that submission, I would want:</w:t>
      </w:r>
    </w:p>
    <w:p>
      <w:pPr>
        <w:pStyle w:val="ListBullet"/>
      </w:pPr>
      <w:r>
        <w:t>predicted statutory eligibility;</w:t>
      </w:r>
    </w:p>
    <w:p>
      <w:pPr>
        <w:pStyle w:val="ListBullet"/>
      </w:pPr>
      <w:r>
        <w:t>credible involuntary-displacement variation;</w:t>
      </w:r>
    </w:p>
    <w:p>
      <w:pPr>
        <w:pStyle w:val="ListBullet"/>
      </w:pPr>
      <w:r>
        <w:t>strong evidence on the marginal utility and self-insurance of excluded households;</w:t>
      </w:r>
    </w:p>
    <w:p>
      <w:pPr>
        <w:pStyle w:val="ListBullet"/>
      </w:pPr>
      <w:r>
        <w:t>formal heterogeneity tied to targeting rules; and</w:t>
      </w:r>
    </w:p>
    <w:p>
      <w:pPr>
        <w:pStyle w:val="ListBullet"/>
      </w:pPr>
      <w:r>
        <w:t>either a much stronger work-cost design or no reliance on the IV.</w:t>
      </w:r>
    </w:p>
    <w:p>
      <w:r>
        <w:t>The current identification would be vulnerable to desk rejection.</w:t>
      </w:r>
    </w:p>
    <w:p>
      <w:pPr>
        <w:pStyle w:val="Heading2"/>
      </w:pPr>
      <w:r>
        <w:t>4.7 Conditional alternatives</w:t>
      </w:r>
    </w:p>
    <w:p>
      <w:r>
        <w:rPr>
          <w:b/>
        </w:rPr>
        <w:t>Review of Income and Wealth</w:t>
      </w:r>
      <w:r>
        <w:t xml:space="preserve"> is suitable if the paper becomes primarily a measurement contribution about expenditure versus consumption. The journal tends to prefer methodological or comparative contributions, so a single-country HILDA application is not its most natural fit without a stronger measurement innovation.</w:t>
      </w:r>
    </w:p>
    <w:p>
      <w:r>
        <w:rPr>
          <w:b/>
        </w:rPr>
        <w:t>Journal of Economic Behavior &amp; Organization</w:t>
      </w:r>
      <w:r>
        <w:t xml:space="preserve"> becomes appropriate only if the paper directly measures changed expectations, risk preferences, precautionary behaviour, or habit formation. Persistent residual spending gaps alone do not identify those mechanisms.</w:t>
      </w:r>
    </w:p>
    <w:p>
      <w:r>
        <w:rPr>
          <w:b/>
        </w:rPr>
        <w:t>Oxford Economic Papers</w:t>
      </w:r>
      <w:r>
        <w:t xml:space="preserve"> is possible with a substantially stronger design, but it is less naturally targeted than </w:t>
      </w:r>
      <w:r>
        <w:rPr>
          <w:i/>
        </w:rPr>
        <w:t>Labour Economics</w:t>
      </w:r>
      <w:r>
        <w:t>.</w:t>
      </w:r>
    </w:p>
    <w:p>
      <w:pPr>
        <w:pStyle w:val="Heading2"/>
      </w:pPr>
      <w:r>
        <w:t>4.8 Recommended order</w:t>
      </w:r>
    </w:p>
    <w:p>
      <w:pPr>
        <w:pStyle w:val="ListNumber"/>
      </w:pPr>
      <w:r>
        <w:rPr>
          <w:i/>
        </w:rPr>
        <w:t>Labour Economics</w:t>
      </w:r>
      <w:r>
        <w:t>, after a strong redesign.</w:t>
      </w:r>
    </w:p>
    <w:p>
      <w:pPr>
        <w:pStyle w:val="ListNumber"/>
      </w:pPr>
      <w:r>
        <w:rPr>
          <w:i/>
        </w:rPr>
        <w:t>Review of Economics of the Household</w:t>
      </w:r>
      <w:r>
        <w:t xml:space="preserve"> or </w:t>
      </w:r>
      <w:r>
        <w:rPr>
          <w:i/>
        </w:rPr>
        <w:t>Economic Record</w:t>
      </w:r>
      <w:r>
        <w:t>, depending on the final household-versus-policy emphasis.</w:t>
      </w:r>
    </w:p>
    <w:p>
      <w:pPr>
        <w:pStyle w:val="ListNumber"/>
      </w:pPr>
      <w:r>
        <w:rPr>
          <w:i/>
        </w:rPr>
        <w:t>Australian Economic Review</w:t>
      </w:r>
      <w:r>
        <w:t xml:space="preserve"> if the paper remains more descriptive and policy-facing.</w:t>
      </w:r>
    </w:p>
    <w:p>
      <w:r>
        <w:t>I would not submit the current version. The critical sequence is to redefine the cohort and eligibility groups, rebuild the event study, decide whether the IV is supporting or central, and only then rewrite the abstract and policy conclusions.</w:t>
      </w:r>
    </w:p>
    <w:p>
      <w:r>
        <w:br w:type="page"/>
      </w:r>
    </w:p>
    <w:p>
      <w:pPr>
        <w:pStyle w:val="Heading1"/>
      </w:pPr>
      <w:r>
        <w:t>5. Prioritised action plan</w:t>
      </w:r>
    </w:p>
    <w:p>
      <w:pPr>
        <w:pStyle w:val="Heading2"/>
      </w:pPr>
      <w:r>
        <w:t>P0: Required before rewriting</w:t>
      </w:r>
    </w:p>
    <w:p>
      <w:pPr>
        <w:pStyle w:val="ListBullet"/>
      </w:pPr>
      <w:r>
        <w:t>☐ Define first and recurrent job-loss events consistently.</w:t>
      </w:r>
    </w:p>
    <w:p>
      <w:pPr>
        <w:pStyle w:val="ListBullet"/>
      </w:pPr>
      <w:r>
        <w:t>☐ Use an ex-ante cohort and retain post-job-loss labour-force exits.</w:t>
      </w:r>
    </w:p>
    <w:p>
      <w:pPr>
        <w:pStyle w:val="ListBullet"/>
      </w:pPr>
      <w:r>
        <w:t>☐ Construct predicted statutory eligibility from pre-event variables.</w:t>
      </w:r>
    </w:p>
    <w:p>
      <w:pPr>
        <w:pStyle w:val="ListBullet"/>
      </w:pPr>
      <w:r>
        <w:t>☐ Replace never-treated-only controls with not-yet-treated risk-set controls as the main design.</w:t>
      </w:r>
    </w:p>
    <w:p>
      <w:pPr>
        <w:pStyle w:val="ListBullet"/>
      </w:pPr>
      <w:r>
        <w:t>☐ Remove post-treatment controls from the main specification.</w:t>
      </w:r>
    </w:p>
    <w:p>
      <w:pPr>
        <w:pStyle w:val="ListBullet"/>
      </w:pPr>
      <w:r>
        <w:t>☐ Align expenditure reference periods with displacement timing.</w:t>
      </w:r>
    </w:p>
    <w:p>
      <w:pPr>
        <w:pStyle w:val="ListBullet"/>
      </w:pPr>
      <w:r>
        <w:t>☐ Re-estimate with transparent full-sample and robust-outcome methods.</w:t>
      </w:r>
    </w:p>
    <w:p>
      <w:pPr>
        <w:pStyle w:val="ListBullet"/>
      </w:pPr>
      <w:r>
        <w:t>☐ Report cohort/event-time counts and simultaneous confidence bands.</w:t>
      </w:r>
    </w:p>
    <w:p>
      <w:pPr>
        <w:pStyle w:val="ListBullet"/>
      </w:pPr>
      <w:r>
        <w:t>☐ Reconcile every figure, event horizon, reference period, and textual numerical claim.</w:t>
      </w:r>
    </w:p>
    <w:p>
      <w:pPr>
        <w:pStyle w:val="Heading2"/>
      </w:pPr>
      <w:r>
        <w:t>P1: Required for an ambitious journal submission</w:t>
      </w:r>
    </w:p>
    <w:p>
      <w:pPr>
        <w:pStyle w:val="ListBullet"/>
      </w:pPr>
      <w:r>
        <w:t>☐ Make involuntary displacement the preferred event definition.</w:t>
      </w:r>
    </w:p>
    <w:p>
      <w:pPr>
        <w:pStyle w:val="ListBullet"/>
      </w:pPr>
      <w:r>
        <w:t>☐ Construct welfare-relevant, employment-linked, home-cost, and committed-expenditure baskets.</w:t>
      </w:r>
    </w:p>
    <w:p>
      <w:pPr>
        <w:pStyle w:val="ListBullet"/>
      </w:pPr>
      <w:r>
        <w:t>☐ Estimate formal differences across predicted-eligibility and wealth groups.</w:t>
      </w:r>
    </w:p>
    <w:p>
      <w:pPr>
        <w:pStyle w:val="ListBullet"/>
      </w:pPr>
      <w:r>
        <w:t>☐ Test attrition, household reformation, and recurrent-displacement sensitivity.</w:t>
      </w:r>
    </w:p>
    <w:p>
      <w:pPr>
        <w:pStyle w:val="ListBullet"/>
      </w:pPr>
      <w:r>
        <w:t>☐ Reframe the WFH IV as a local WFH expenditure effect.</w:t>
      </w:r>
    </w:p>
    <w:p>
      <w:pPr>
        <w:pStyle w:val="ListBullet"/>
      </w:pPr>
      <w:r>
        <w:t>☐ Use pre-pandemic/external teleworkability, continuous WFH intensity, and assignment-level inference.</w:t>
      </w:r>
    </w:p>
    <w:p>
      <w:pPr>
        <w:pStyle w:val="ListBullet"/>
      </w:pPr>
      <w:r>
        <w:t>☐ Report reduced form, first stage, OLS, 2SLS, weak-IV intervals, and placebo trends.</w:t>
      </w:r>
    </w:p>
    <w:p>
      <w:pPr>
        <w:pStyle w:val="ListBullet"/>
      </w:pPr>
      <w:r>
        <w:t>☐ Replace the 83% calculation with explicit bounds.</w:t>
      </w:r>
    </w:p>
    <w:p>
      <w:pPr>
        <w:pStyle w:val="Heading2"/>
      </w:pPr>
      <w:r>
        <w:t>P2: Valuable mechanism work</w:t>
      </w:r>
    </w:p>
    <w:p>
      <w:pPr>
        <w:pStyle w:val="ListBullet"/>
      </w:pPr>
      <w:r>
        <w:t>☐ Measure wealth depletion, debt, financial stress, expected job loss, and expected income.</w:t>
      </w:r>
    </w:p>
    <w:p>
      <w:pPr>
        <w:pStyle w:val="ListBullet"/>
      </w:pPr>
      <w:r>
        <w:t>☐ Examine hours, wage, job quality, occupation, tenure, health, and household composition.</w:t>
      </w:r>
    </w:p>
    <w:p>
      <w:pPr>
        <w:pStyle w:val="ListBullet"/>
      </w:pPr>
      <w:r>
        <w:t>☐ Use time-use and commuting measures to triangulate employment-linked expenditure.</w:t>
      </w:r>
    </w:p>
    <w:p>
      <w:pPr>
        <w:pStyle w:val="ListBullet"/>
      </w:pPr>
      <w:r>
        <w:t>☐ Explore employer closure or mass-layoff events as a more plausibly exogenous displacement design.</w:t>
      </w:r>
    </w:p>
    <w:tbl>
      <w:tblPr>
        <w:tblW w:type="auto" w:w="0"/>
        <w:jc w:val="center"/>
        <w:tblLook w:firstColumn="1" w:firstRow="1" w:lastColumn="0" w:lastRow="0" w:noHBand="0" w:noVBand="1" w:val="04A0"/>
      </w:tblPr>
      <w:tblGrid>
        <w:gridCol w:w="9638"/>
      </w:tblGrid>
      <w:tr>
        <w:tc>
          <w:tcPr>
            <w:tcW w:type="dxa" w:w="9638"/>
            <w:shd w:fill="EAF2F7"/>
          </w:tcPr>
          <w:p>
            <w:r>
              <w:rPr>
                <w:b/>
                <w:color w:val="18364E"/>
              </w:rPr>
              <w:t>Final recommendation.</w:t>
            </w:r>
            <w:r>
              <w:rPr>
                <w:color w:val="18364E"/>
              </w:rPr>
              <w:t xml:space="preserve"> The most coherent and finishable paper is an event-study analysis of spending after first involuntary job loss among benefit nonrecipients, organised around predetermined eligibility and direct expenditure-category evidence. The WFH IV should support that analysis rather than carry the conclusion that targeting is successful. With those changes, </w:t>
            </w:r>
            <w:r>
              <w:rPr>
                <w:i/>
                <w:color w:val="18364E"/>
              </w:rPr>
              <w:t>Labour Economics</w:t>
            </w:r>
            <w:r>
              <w:rPr>
                <w:color w:val="18364E"/>
              </w:rPr>
              <w:t xml:space="preserve"> is a sensible ambitious target; </w:t>
            </w:r>
            <w:r>
              <w:rPr>
                <w:i/>
                <w:color w:val="18364E"/>
              </w:rPr>
              <w:t>Economic Record</w:t>
            </w:r>
            <w:r>
              <w:rPr>
                <w:color w:val="18364E"/>
              </w:rPr>
              <w:t xml:space="preserve"> or the </w:t>
            </w:r>
            <w:r>
              <w:rPr>
                <w:i/>
                <w:color w:val="18364E"/>
              </w:rPr>
              <w:t>Review of Economics of the Household</w:t>
            </w:r>
            <w:r>
              <w:rPr>
                <w:color w:val="18364E"/>
              </w:rPr>
              <w:t xml:space="preserve"> are strong and realistic alternatives.</w:t>
            </w:r>
          </w:p>
        </w:tc>
      </w:tr>
    </w:tbl>
    <w:p/>
    <w:p>
      <w:pPr>
        <w:pStyle w:val="Heading1"/>
      </w:pPr>
      <w:r>
        <w:t>Selected methodological and journal links</w:t>
      </w:r>
    </w:p>
    <w:p>
      <w:pPr>
        <w:pStyle w:val="ListBullet"/>
      </w:pPr>
      <w:r>
        <w:t xml:space="preserve">Sun, L. and Abraham, S., “Estimating Dynamic Treatment Effects in Event Studies with Heterogeneous Treatment Effects.” </w:t>
      </w:r>
      <w:hyperlink r:id="rId11">
        <w:r>
          <w:rPr>
            <w:color w:val="2C6384"/>
            <w:u w:val="single"/>
          </w:rPr>
          <w:t>DOI</w:t>
        </w:r>
      </w:hyperlink>
      <w:r>
        <w:t>.</w:t>
      </w:r>
    </w:p>
    <w:p>
      <w:pPr>
        <w:pStyle w:val="ListBullet"/>
      </w:pPr>
      <w:r>
        <w:t xml:space="preserve">Callaway, B. and Sant’Anna, P., “Difference-in-Differences with Multiple Time Periods.” </w:t>
      </w:r>
      <w:hyperlink r:id="rId12">
        <w:r>
          <w:rPr>
            <w:color w:val="2C6384"/>
            <w:u w:val="single"/>
          </w:rPr>
          <w:t>DOI</w:t>
        </w:r>
      </w:hyperlink>
      <w:r>
        <w:t>.</w:t>
      </w:r>
    </w:p>
    <w:p>
      <w:pPr>
        <w:pStyle w:val="ListBullet"/>
      </w:pPr>
      <w:r>
        <w:t xml:space="preserve">Borusyak, K., Hull, P., and Jaravel, X., “Quasi-Experimental Shift-Share Research Designs.” </w:t>
      </w:r>
      <w:hyperlink r:id="rId13">
        <w:r>
          <w:rPr>
            <w:color w:val="2C6384"/>
            <w:u w:val="single"/>
          </w:rPr>
          <w:t>NBER page</w:t>
        </w:r>
      </w:hyperlink>
      <w:r>
        <w:t>.</w:t>
      </w:r>
    </w:p>
    <w:p>
      <w:pPr>
        <w:pStyle w:val="ListBullet"/>
      </w:pPr>
      <w:r>
        <w:t xml:space="preserve">HILDA Statistical Report, including measurement of working from home. </w:t>
      </w:r>
      <w:hyperlink r:id="rId14">
        <w:r>
          <w:rPr>
            <w:color w:val="2C6384"/>
            <w:u w:val="single"/>
          </w:rPr>
          <w:t>Report</w:t>
        </w:r>
      </w:hyperlink>
      <w:r>
        <w:t>.</w:t>
      </w:r>
    </w:p>
    <w:p>
      <w:pPr>
        <w:pStyle w:val="ListBullet"/>
      </w:pPr>
      <w:r>
        <w:rPr>
          <w:i/>
        </w:rPr>
        <w:t>Labour Economics</w:t>
      </w:r>
      <w:r>
        <w:t xml:space="preserve">. </w:t>
      </w:r>
      <w:hyperlink r:id="rId15">
        <w:r>
          <w:rPr>
            <w:color w:val="2C6384"/>
            <w:u w:val="single"/>
          </w:rPr>
          <w:t>Journal page</w:t>
        </w:r>
      </w:hyperlink>
      <w:r>
        <w:t>.</w:t>
      </w:r>
    </w:p>
    <w:p>
      <w:pPr>
        <w:pStyle w:val="ListBullet"/>
      </w:pPr>
      <w:r>
        <w:rPr>
          <w:i/>
        </w:rPr>
        <w:t>Journal of Public Economics</w:t>
      </w:r>
      <w:r>
        <w:t xml:space="preserve">. </w:t>
      </w:r>
      <w:hyperlink r:id="rId16">
        <w:r>
          <w:rPr>
            <w:color w:val="2C6384"/>
            <w:u w:val="single"/>
          </w:rPr>
          <w:t>Journal page</w:t>
        </w:r>
      </w:hyperlink>
      <w:r>
        <w:t>.</w:t>
      </w:r>
    </w:p>
    <w:p>
      <w:pPr>
        <w:pStyle w:val="ListBullet"/>
      </w:pPr>
      <w:r>
        <w:rPr>
          <w:i/>
        </w:rPr>
        <w:t>Economic Record</w:t>
      </w:r>
      <w:r>
        <w:t xml:space="preserve">. </w:t>
      </w:r>
      <w:hyperlink r:id="rId17">
        <w:r>
          <w:rPr>
            <w:color w:val="2C6384"/>
            <w:u w:val="single"/>
          </w:rPr>
          <w:t>Author guidelines</w:t>
        </w:r>
      </w:hyperlink>
      <w:r>
        <w:t>.</w:t>
      </w:r>
    </w:p>
    <w:p>
      <w:pPr>
        <w:pStyle w:val="ListBullet"/>
      </w:pPr>
      <w:r>
        <w:rPr>
          <w:i/>
        </w:rPr>
        <w:t>Australian Economic Review</w:t>
      </w:r>
      <w:r>
        <w:t xml:space="preserve">. </w:t>
      </w:r>
      <w:hyperlink r:id="rId18">
        <w:r>
          <w:rPr>
            <w:color w:val="2C6384"/>
            <w:u w:val="single"/>
          </w:rPr>
          <w:t>Author guidelines</w:t>
        </w:r>
      </w:hyperlink>
      <w:r>
        <w:t>.</w:t>
      </w:r>
    </w:p>
    <w:p>
      <w:pPr>
        <w:pStyle w:val="ListBullet"/>
      </w:pPr>
      <w:r>
        <w:rPr>
          <w:i/>
        </w:rPr>
        <w:t>Review of Income and Wealth</w:t>
      </w:r>
      <w:r>
        <w:t xml:space="preserve">. </w:t>
      </w:r>
      <w:hyperlink r:id="rId19">
        <w:r>
          <w:rPr>
            <w:color w:val="2C6384"/>
            <w:u w:val="single"/>
          </w:rPr>
          <w:t>Journal page</w:t>
        </w:r>
      </w:hyperlink>
      <w:r>
        <w:t>.</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37A"/>
        <w:sz w:val="16"/>
      </w:rPr>
      <w:t xml:space="preserve">Working paper review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737A"/>
        <w:sz w:val="16"/>
      </w:rPr>
      <w:t>Consumption scarring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64E"/>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C6384"/>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836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6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C63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jeconom.2020.09.006" TargetMode="External"/><Relationship Id="rId12" Type="http://schemas.openxmlformats.org/officeDocument/2006/relationships/hyperlink" Target="https://doi.org/10.1016/j.jeconom.2020.12.001" TargetMode="External"/><Relationship Id="rId13" Type="http://schemas.openxmlformats.org/officeDocument/2006/relationships/hyperlink" Target="https://www.nber.org/papers/w24997" TargetMode="External"/><Relationship Id="rId14" Type="http://schemas.openxmlformats.org/officeDocument/2006/relationships/hyperlink" Target="https://melbourneinstitute.unimelb.edu.au/__data/assets/pdf_file/0008/4841909/HILDA_Statistical_Report_2023.pdf" TargetMode="External"/><Relationship Id="rId15" Type="http://schemas.openxmlformats.org/officeDocument/2006/relationships/hyperlink" Target="https://www.sciencedirect.com/journal/labour-economics" TargetMode="External"/><Relationship Id="rId16" Type="http://schemas.openxmlformats.org/officeDocument/2006/relationships/hyperlink" Target="https://www.sciencedirect.com/journal/journal-of-public-economics" TargetMode="External"/><Relationship Id="rId17" Type="http://schemas.openxmlformats.org/officeDocument/2006/relationships/hyperlink" Target="https://onlinelibrary.wiley.com/page/journal/14754932/homepage/forauthors.html" TargetMode="External"/><Relationship Id="rId18" Type="http://schemas.openxmlformats.org/officeDocument/2006/relationships/hyperlink" Target="https://onlinelibrary.wiley.com/page/journal/14678462/homepage/forauthors.html" TargetMode="External"/><Relationship Id="rId19" Type="http://schemas.openxmlformats.org/officeDocument/2006/relationships/hyperlink" Target="https://onlinelibrary.wiley.com/journal/14754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Consumption Scarring Review</dc:title>
  <dc:subject>Review of empirical specification, IV design, paper structure, and journal strategy</dc:subject>
  <dc:creator>Technical review prepared for the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