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Roadmap to a Journal of Public Economics Submission</w:t>
      </w:r>
    </w:p>
    <w:p>
      <w:pPr>
        <w:pStyle w:val="Subtitle"/>
      </w:pPr>
      <w:r>
        <w:t>Labour Market Effects of the COVID Supplement</w:t>
      </w:r>
    </w:p>
    <w:p>
      <w:pPr>
        <w:spacing w:after="300"/>
      </w:pPr>
      <w:r>
        <w:rPr>
          <w:rFonts w:ascii="Aptos" w:hAnsi="Aptos"/>
          <w:b/>
          <w:color w:val="2C6384"/>
          <w:sz w:val="22"/>
        </w:rPr>
        <w:t>Re-evaluation based on manuscript version 10 and structural model 15</w:t>
      </w:r>
    </w:p>
    <w:p>
      <w:pPr/>
      <w:r>
        <w:rPr>
          <w:b/>
        </w:rPr>
        <w:t>Prepared:</w:t>
      </w:r>
      <w:r>
        <w:t xml:space="preserve"> 23 July 2026</w:t>
      </w:r>
    </w:p>
    <w:p>
      <w:pPr/>
      <w:r>
        <w:rPr>
          <w:b/>
        </w:rPr>
        <w:t>Manuscript reviewed:</w:t>
      </w:r>
      <w:r>
        <w:t xml:space="preserve"> </w:t>
      </w:r>
      <w:r>
        <w:rPr>
          <w:i/>
        </w:rPr>
        <w:t>Labour Market Effects of the COVID Supplement</w:t>
      </w:r>
      <w:r>
        <w:t>, 22 July 2026 PDF (62 pages)</w:t>
      </w:r>
    </w:p>
    <w:p>
      <w:pPr/>
      <w:r>
        <w:rPr>
          <w:b/>
        </w:rPr>
        <w:t>Model reviewed:</w:t>
      </w:r>
      <w:r>
        <w:t xml:space="preserve"> </w:t>
      </w:r>
      <w:r>
        <w:rPr>
          <w:rFonts w:ascii="Consolas" w:hAnsi="Consolas"/>
          <w:color w:val="18364E"/>
          <w:sz w:val="19"/>
        </w:rPr>
        <w:t>15_structural_separation_model.jl</w:t>
      </w:r>
      <w:r>
        <w:t xml:space="preserve"> and all model-15 CSV outputs in the TVHENZ project</w:t>
      </w:r>
    </w:p>
    <w:p>
      <w:pPr/>
      <w:r>
        <w:rPr>
          <w:b/>
        </w:rPr>
        <w:t>Empirical materials reviewed:</w:t>
      </w:r>
      <w:r>
        <w:t xml:space="preserve"> the available R scripts and cleared aggregate inputs in </w:t>
      </w:r>
      <w:r>
        <w:rPr>
          <w:rFonts w:ascii="Consolas" w:hAnsi="Consolas"/>
          <w:color w:val="18364E"/>
          <w:sz w:val="19"/>
        </w:rPr>
        <w:t>initial_RDD</w:t>
      </w:r>
    </w:p>
    <w:p>
      <w:pPr/>
      <w:r>
        <w:rPr>
          <w:b/>
        </w:rPr>
        <w:t>Intended outlet:</w:t>
      </w:r>
      <w:r>
        <w:t xml:space="preserve"> </w:t>
      </w:r>
      <w:r>
        <w:rPr>
          <w:i/>
        </w:rPr>
        <w:t>Journal of Public Economics</w:t>
      </w:r>
      <w:r>
        <w:t xml:space="preserve"> (JPubE)</w:t>
      </w:r>
    </w:p>
    <w:p>
      <w:pPr>
        <w:pStyle w:val="Callout"/>
        <w:shd w:fill="EAF2F7"/>
        <w:pBdr>
          <w:left w:val="single" w:sz="18" w:space="5" w:color="2C6384"/>
        </w:pBdr>
      </w:pPr>
      <w:r>
        <w:rPr>
          <w:b/>
        </w:rPr>
        <w:t>Bottom line.</w:t>
      </w:r>
      <w:r>
        <w:t xml:space="preserve"> The project has a potentially strong public-economics question, unusually valuable linked administrative data, and an intuitively appealing Australia–New Zealand comparison. It is not yet ready for JPubE. The decisive work is not cosmetic. The empirical cohort/risk-set construction and inference must first be rebuilt; model 15 must then be presented as a partially identified interpretation exercise unless additional moments discipline it; and the paper must be rewritten around a narrower, internally consistent contribution. If those steps produce stable results, a regular JPubE submission is plausible. Submitting the current draft would face a high risk of desk rejection or a fundamental identification objection in review.</w:t>
      </w:r>
    </w:p>
    <w:p>
      <w:pPr>
        <w:pStyle w:val="Heading2"/>
      </w:pPr>
      <w:r>
        <w:t>Contents</w:t>
      </w:r>
    </w:p>
    <w:p>
      <w:pPr>
        <w:pStyle w:val="ListNumber"/>
      </w:pPr>
      <w:r>
        <w:t>Executive assessment and submission gates</w:t>
      </w:r>
    </w:p>
    <w:p>
      <w:pPr>
        <w:pStyle w:val="ListNumber"/>
      </w:pPr>
      <w:r>
        <w:t>What was reviewed and what model 15 changes</w:t>
      </w:r>
    </w:p>
    <w:p>
      <w:pPr>
        <w:pStyle w:val="ListNumber"/>
      </w:pPr>
      <w:r>
        <w:t>Empirical work required</w:t>
      </w:r>
    </w:p>
    <w:p>
      <w:pPr>
        <w:pStyle w:val="ListNumber"/>
      </w:pPr>
      <w:r>
        <w:t>Structural-model work required</w:t>
      </w:r>
    </w:p>
    <w:p>
      <w:pPr>
        <w:pStyle w:val="ListNumber"/>
      </w:pPr>
      <w:r>
        <w:t>Framing, structure, and writing</w:t>
      </w:r>
    </w:p>
    <w:p>
      <w:pPr>
        <w:pStyle w:val="ListNumber"/>
      </w:pPr>
      <w:r>
        <w:t>A concrete execution plan</w:t>
      </w:r>
    </w:p>
    <w:p>
      <w:pPr>
        <w:pStyle w:val="ListNumber"/>
      </w:pPr>
      <w:r>
        <w:t>JPubE submission package</w:t>
      </w:r>
    </w:p>
    <w:p>
      <w:pPr>
        <w:pStyle w:val="ListNumber"/>
      </w:pPr>
      <w:r>
        <w:t>Detailed audit notes and references</w:t>
      </w:r>
    </w:p>
    <w:p>
      <w:r>
        <w:br w:type="page"/>
      </w:r>
    </w:p>
    <w:p>
      <w:pPr>
        <w:pStyle w:val="Heading1"/>
      </w:pPr>
      <w:r>
        <w:t>1. Executive assessment and submission gates</w:t>
      </w:r>
    </w:p>
    <w:p>
      <w:pPr>
        <w:pStyle w:val="Heading2"/>
      </w:pPr>
      <w:r>
        <w:t>1.1 Overall assessment</w:t>
      </w:r>
    </w:p>
    <w:p>
      <w:pPr/>
      <w:r>
        <w:t>The paper asks a first-order public-finance question: how much did a large, temporary increase in unemployment assistance affect movement into and out of employment during a severe aggregate shock? The institutional contrast is valuable. Australian citizens could receive JobSeeker and the Coronavirus Supplement, while many New Zealand citizens working in the same Australian labour markets could not. Linked payroll, tax, social-security, and demographic records can potentially measure weekly employment transitions much more accurately than survey data.</w:t>
      </w:r>
    </w:p>
    <w:p>
      <w:pPr/>
      <w:r>
        <w:t>That combination can interest JPubE. The journal explicitly seeks original public-economics research using modern theory and quantitative analysis, with policy lessons of international interest (</w:t>
      </w:r>
      <w:hyperlink r:id="rId11">
        <w:r>
          <w:rPr>
            <w:color w:val="2C6384"/>
            <w:u w:val="single"/>
          </w:rPr>
          <w:t>JPubE aims and scope</w:t>
        </w:r>
      </w:hyperlink>
      <w:r>
        <w:t>). The challenge is that a 2026 paper about 2020 must deliver a durable insight about unemployment insurance or emergency income support, not merely describe one pandemic programme. JPubE’s short-paper policy says pandemic papers receive no special preference and are most likely to succeed when they offer broad, lasting insights (</w:t>
      </w:r>
      <w:hyperlink r:id="rId12">
        <w:r>
          <w:rPr>
            <w:color w:val="2C6384"/>
            <w:u w:val="single"/>
          </w:rPr>
          <w:t>JPubE short-paper policy</w:t>
        </w:r>
      </w:hyperlink>
      <w:r>
        <w:t>).</w:t>
      </w:r>
    </w:p>
    <w:p>
      <w:pPr/>
      <w:r>
        <w:t>The current draft has three types of vulnerability:</w:t>
      </w:r>
    </w:p>
    <w:p>
      <w:pPr>
        <w:pStyle w:val="ListBullet"/>
      </w:pPr>
      <w:r>
        <w:rPr>
          <w:b/>
        </w:rPr>
        <w:t>Identification and sample construction.</w:t>
      </w:r>
      <w:r>
        <w:t xml:space="preserve"> Treatment is defined using realised 2020 benefit receipt and the analysis sample is conditioned on experiencing future non-employment. Those are post-treatment variables. In particular, restricting the separation sample to people who become non-employed in 2020 mechanically selects on the outcome the separation regression is intended to explain.</w:t>
      </w:r>
    </w:p>
    <w:p>
      <w:pPr>
        <w:pStyle w:val="ListBullet"/>
      </w:pPr>
      <w:r>
        <w:rPr>
          <w:b/>
        </w:rPr>
        <w:t>Inference.</w:t>
      </w:r>
      <w:r>
        <w:t xml:space="preserve"> The main regressions use 48 nationality-by-week cells and conventional IID standard errors. The effective identifying variation is one policy change for one nationality group, with serially correlated weekly outcomes. The number of underlying people does not create many independent policy experiments.</w:t>
      </w:r>
    </w:p>
    <w:p>
      <w:pPr>
        <w:pStyle w:val="ListBullet"/>
      </w:pPr>
      <w:r>
        <w:rPr>
          <w:b/>
        </w:rPr>
        <w:t>Structural interpretation.</w:t>
      </w:r>
      <w:r>
        <w:t xml:space="preserve"> Model 15 is an improvement over version 14, especially because separation responds nonlinearly to a surplus threshold. However, it is weakly identified by the moments used. Near-equivalent fits imply sharply different held-out predictions and health wedges. The current decomposition is not additive, and the manuscript’s headline interpretation is the reverse of model 15’s job-finding decomposition.</w:t>
      </w:r>
    </w:p>
    <w:p>
      <w:pPr/>
      <w:r>
        <w:t>These are repairable only by re-estimation, not by prose changes alone.</w:t>
      </w:r>
    </w:p>
    <w:p>
      <w:pPr>
        <w:pStyle w:val="Heading2"/>
      </w:pPr>
      <w:r>
        <w:t>1.2 Recommended submission gates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Gate</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Requirement</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Pass criterion</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Consequence if it fails</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G1: Cohort and risk sets</w:t>
            </w:r>
          </w:p>
        </w:tc>
        <w:tc>
          <w:tcPr>
            <w:tcW w:type="dxa" w:w="2409"/>
            <w:vAlign w:val="center"/>
            <w:tcMar>
              <w:top w:w="80" w:type="dxa"/>
              <w:start w:w="90" w:type="dxa"/>
              <w:bottom w:w="80" w:type="dxa"/>
              <w:end w:w="90" w:type="dxa"/>
            </w:tcMar>
          </w:tcPr>
          <w:p>
            <w:pPr>
              <w:spacing w:after="0" w:line="240" w:lineRule="auto"/>
            </w:pPr>
            <w:r>
              <w:rPr>
                <w:rFonts w:ascii="Aptos" w:hAnsi="Aptos"/>
                <w:sz w:val="16"/>
              </w:rPr>
              <w:t>Rebuild the panel without conditioning on future benefit receipt or future non-employment</w:t>
            </w:r>
          </w:p>
        </w:tc>
        <w:tc>
          <w:tcPr>
            <w:tcW w:type="dxa" w:w="2409"/>
            <w:vAlign w:val="center"/>
            <w:tcMar>
              <w:top w:w="80" w:type="dxa"/>
              <w:start w:w="90" w:type="dxa"/>
              <w:bottom w:w="80" w:type="dxa"/>
              <w:end w:w="90" w:type="dxa"/>
            </w:tcMar>
          </w:tcPr>
          <w:p>
            <w:pPr>
              <w:spacing w:after="0" w:line="240" w:lineRule="auto"/>
            </w:pPr>
            <w:r>
              <w:rPr>
                <w:rFonts w:ascii="Aptos" w:hAnsi="Aptos"/>
                <w:sz w:val="16"/>
              </w:rPr>
              <w:t>Main job-finding and employment-exit estimates remain economically meaningful across defensible cohort definitions</w:t>
            </w:r>
          </w:p>
        </w:tc>
        <w:tc>
          <w:tcPr>
            <w:tcW w:type="dxa" w:w="2409"/>
            <w:vAlign w:val="center"/>
            <w:tcMar>
              <w:top w:w="80" w:type="dxa"/>
              <w:start w:w="90" w:type="dxa"/>
              <w:bottom w:w="80" w:type="dxa"/>
              <w:end w:w="90" w:type="dxa"/>
            </w:tcMar>
          </w:tcPr>
          <w:p>
            <w:pPr>
              <w:spacing w:after="0" w:line="240" w:lineRule="auto"/>
            </w:pPr>
            <w:r>
              <w:rPr>
                <w:rFonts w:ascii="Aptos" w:hAnsi="Aptos"/>
                <w:sz w:val="16"/>
              </w:rPr>
              <w:t>Reframe as descriptive evidence or redesign identification</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G2: Inference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Use an estimator and uncertainty procedure appropriate to one treated nationality contrast and serially correlated weekly outcomes</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Confidence intervals and placebo-date distributions still support the central claim</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Do not report conventional 5% significance as causal evidence</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G3: Policy isolation</w:t>
            </w:r>
          </w:p>
        </w:tc>
        <w:tc>
          <w:tcPr>
            <w:tcW w:type="dxa" w:w="2409"/>
            <w:vAlign w:val="center"/>
            <w:tcMar>
              <w:top w:w="80" w:type="dxa"/>
              <w:start w:w="90" w:type="dxa"/>
              <w:bottom w:w="80" w:type="dxa"/>
              <w:end w:w="90" w:type="dxa"/>
            </w:tcMar>
          </w:tcPr>
          <w:p>
            <w:pPr>
              <w:spacing w:after="0" w:line="240" w:lineRule="auto"/>
            </w:pPr>
            <w:r>
              <w:rPr>
                <w:rFonts w:ascii="Aptos" w:hAnsi="Aptos"/>
                <w:sz w:val="16"/>
              </w:rPr>
              <w:t>Account directly for JobKeeper, eligibility expansions, mutual obligations, and pandemic exposure</w:t>
            </w:r>
          </w:p>
        </w:tc>
        <w:tc>
          <w:tcPr>
            <w:tcW w:type="dxa" w:w="2409"/>
            <w:vAlign w:val="center"/>
            <w:tcMar>
              <w:top w:w="80" w:type="dxa"/>
              <w:start w:w="90" w:type="dxa"/>
              <w:bottom w:w="80" w:type="dxa"/>
              <w:end w:w="90" w:type="dxa"/>
            </w:tcMar>
          </w:tcPr>
          <w:p>
            <w:pPr>
              <w:spacing w:after="0" w:line="240" w:lineRule="auto"/>
            </w:pPr>
            <w:r>
              <w:rPr>
                <w:rFonts w:ascii="Aptos" w:hAnsi="Aptos"/>
                <w:sz w:val="16"/>
              </w:rPr>
              <w:t>Results are stable after credible controls/restrictions, and the estimand is labelled accurately</w:t>
            </w:r>
          </w:p>
        </w:tc>
        <w:tc>
          <w:tcPr>
            <w:tcW w:type="dxa" w:w="2409"/>
            <w:vAlign w:val="center"/>
            <w:tcMar>
              <w:top w:w="80" w:type="dxa"/>
              <w:start w:w="90" w:type="dxa"/>
              <w:bottom w:w="80" w:type="dxa"/>
              <w:end w:w="90" w:type="dxa"/>
            </w:tcMar>
          </w:tcPr>
          <w:p>
            <w:pPr>
              <w:spacing w:after="0" w:line="240" w:lineRule="auto"/>
            </w:pPr>
            <w:r>
              <w:rPr>
                <w:rFonts w:ascii="Aptos" w:hAnsi="Aptos"/>
                <w:sz w:val="16"/>
              </w:rPr>
              <w:t>Call the treatment the March 2020 JobSeeker policy bundle, not the supplement alone</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G4: Model discipline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Show model conclusions over the near-fitting parameter set and propagate empirical uncertainty</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Sign and broad magnitude of the benefit channel are stable; uncertainty is reported</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Treat the model as illustrative or omit it from the main contribution</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G5: Narrative consistency</w:t>
            </w:r>
          </w:p>
        </w:tc>
        <w:tc>
          <w:tcPr>
            <w:tcW w:type="dxa" w:w="2409"/>
            <w:vAlign w:val="center"/>
            <w:tcMar>
              <w:top w:w="80" w:type="dxa"/>
              <w:start w:w="90" w:type="dxa"/>
              <w:bottom w:w="80" w:type="dxa"/>
              <w:end w:w="90" w:type="dxa"/>
            </w:tcMar>
          </w:tcPr>
          <w:p>
            <w:pPr>
              <w:spacing w:after="0" w:line="240" w:lineRule="auto"/>
            </w:pPr>
            <w:r>
              <w:rPr>
                <w:rFonts w:ascii="Aptos" w:hAnsi="Aptos"/>
                <w:sz w:val="16"/>
              </w:rPr>
              <w:t>Every abstract, introduction, model, and conclusion claim matches the preferred estimates</w:t>
            </w:r>
          </w:p>
        </w:tc>
        <w:tc>
          <w:tcPr>
            <w:tcW w:type="dxa" w:w="2409"/>
            <w:vAlign w:val="center"/>
            <w:tcMar>
              <w:top w:w="80" w:type="dxa"/>
              <w:start w:w="90" w:type="dxa"/>
              <w:bottom w:w="80" w:type="dxa"/>
              <w:end w:w="90" w:type="dxa"/>
            </w:tcMar>
          </w:tcPr>
          <w:p>
            <w:pPr>
              <w:spacing w:after="0" w:line="240" w:lineRule="auto"/>
            </w:pPr>
            <w:r>
              <w:rPr>
                <w:rFonts w:ascii="Aptos" w:hAnsi="Aptos"/>
                <w:sz w:val="16"/>
              </w:rPr>
              <w:t>No contradiction about benefits versus pandemic disutility; no unsupported welfare claim</w:t>
            </w:r>
          </w:p>
        </w:tc>
        <w:tc>
          <w:tcPr>
            <w:tcW w:type="dxa" w:w="2409"/>
            <w:vAlign w:val="center"/>
            <w:tcMar>
              <w:top w:w="80" w:type="dxa"/>
              <w:start w:w="90" w:type="dxa"/>
              <w:bottom w:w="80" w:type="dxa"/>
              <w:end w:w="90" w:type="dxa"/>
            </w:tcMar>
          </w:tcPr>
          <w:p>
            <w:pPr>
              <w:spacing w:after="0" w:line="240" w:lineRule="auto"/>
            </w:pPr>
            <w:r>
              <w:rPr>
                <w:rFonts w:ascii="Aptos" w:hAnsi="Aptos"/>
                <w:sz w:val="16"/>
              </w:rPr>
              <w:t>Rewrite before circulation or submission</w:t>
            </w:r>
          </w:p>
        </w:tc>
      </w:tr>
    </w:tbl>
    <w:p>
      <w:pPr>
        <w:spacing w:after="20"/>
      </w:pPr>
    </w:p>
    <w:p>
      <w:pPr>
        <w:pStyle w:val="Heading2"/>
      </w:pPr>
      <w:r>
        <w:t>1.3 Priority map</w:t>
      </w:r>
    </w:p>
    <w:p>
      <w:pPr/>
      <w:r>
        <w:rPr>
          <w:b/>
        </w:rPr>
        <w:t>P0 — must be completed before a new full draft</w:t>
      </w:r>
    </w:p>
    <w:p>
      <w:pPr>
        <w:pStyle w:val="ListNumber"/>
      </w:pPr>
      <w:r>
        <w:t>Define a pre-treatment cohort and weekly risk sets that never use future employment or future programme receipt.</w:t>
      </w:r>
    </w:p>
    <w:p>
      <w:pPr>
        <w:pStyle w:val="ListNumber"/>
      </w:pPr>
      <w:r>
        <w:t>Separate the eligibility/intention-to-treat question from effects of realised JobSeeker receipt.</w:t>
      </w:r>
    </w:p>
    <w:p>
      <w:pPr>
        <w:pStyle w:val="ListNumber"/>
      </w:pPr>
      <w:r>
        <w:t>Re-estimate individual-level weekly transition models with a credible time-series/few-policy inference strategy.</w:t>
      </w:r>
    </w:p>
    <w:p>
      <w:pPr>
        <w:pStyle w:val="ListNumber"/>
      </w:pPr>
      <w:r>
        <w:t>Build a complete event timeline and treat concurrent policy changes explicitly.</w:t>
      </w:r>
    </w:p>
    <w:p>
      <w:pPr>
        <w:pStyle w:val="ListNumber"/>
      </w:pPr>
      <w:r>
        <w:t>Reconstruct the employment-exit outcome and decide whether it can legitimately be called a separation rate.</w:t>
      </w:r>
    </w:p>
    <w:p>
      <w:pPr>
        <w:pStyle w:val="ListNumber"/>
      </w:pPr>
      <w:r>
        <w:t>Replace the manuscript’s model section and all model results with version 15.</w:t>
      </w:r>
    </w:p>
    <w:p>
      <w:pPr>
        <w:pStyle w:val="ListNumber"/>
      </w:pPr>
      <w:r>
        <w:t>Report model-15 sensitivity as identification uncertainty rather than selecting a single grid point by a tiny loss difference.</w:t>
      </w:r>
    </w:p>
    <w:p>
      <w:pPr>
        <w:pStyle w:val="ListNumber"/>
      </w:pPr>
      <w:r>
        <w:t>Remove or substantiate the earnings and welfare claims.</w:t>
      </w:r>
    </w:p>
    <w:p>
      <w:pPr/>
      <w:r>
        <w:rPr>
          <w:b/>
        </w:rPr>
        <w:t>P1 — expected for a competitive JPubE submission</w:t>
      </w:r>
    </w:p>
    <w:p>
      <w:pPr>
        <w:pStyle w:val="ListNumber"/>
      </w:pPr>
      <w:r>
        <w:t>Longer pre-period event studies and formal sensitivity to non-parallel trends.</w:t>
      </w:r>
    </w:p>
    <w:p>
      <w:pPr>
        <w:pStyle w:val="ListNumber"/>
      </w:pPr>
      <w:r>
        <w:t>Full matching/weighting diagnostics and common-support evidence.</w:t>
      </w:r>
    </w:p>
    <w:p>
      <w:pPr>
        <w:pStyle w:val="ListNumber"/>
      </w:pPr>
      <w:r>
        <w:t>Direct JobKeeper exposure controls or design-based exclusions.</w:t>
      </w:r>
    </w:p>
    <w:p>
      <w:pPr>
        <w:pStyle w:val="ListNumber"/>
      </w:pPr>
      <w:r>
        <w:t>A pooled triple-difference test for the Victoria/mutual-obligation exercise.</w:t>
      </w:r>
    </w:p>
    <w:p>
      <w:pPr>
        <w:pStyle w:val="ListNumber"/>
      </w:pPr>
      <w:r>
        <w:t>Actual individual replacement rates and pooled heterogeneity tests.</w:t>
      </w:r>
    </w:p>
    <w:p>
      <w:pPr>
        <w:pStyle w:val="ListNumber"/>
      </w:pPr>
      <w:r>
        <w:t>Bootstrap or simulation uncertainty that carries empirical target uncertainty through calibration.</w:t>
      </w:r>
    </w:p>
    <w:p>
      <w:pPr>
        <w:pStyle w:val="ListNumber"/>
      </w:pPr>
      <w:r>
        <w:t>A reproducible secure-data pipeline, synthetic/public replication materials, and a locked Julia environment.</w:t>
      </w:r>
    </w:p>
    <w:p>
      <w:pPr/>
      <w:r>
        <w:rPr>
          <w:b/>
        </w:rPr>
        <w:t>P2 — valuable refinements</w:t>
      </w:r>
    </w:p>
    <w:p>
      <w:pPr>
        <w:pStyle w:val="ListNumber"/>
      </w:pPr>
      <w:r>
        <w:t>Search-effort, application, reservation-wage, vacancy, or recall-status moments that distinguish search from acceptance.</w:t>
      </w:r>
    </w:p>
    <w:p>
      <w:pPr>
        <w:pStyle w:val="ListNumber"/>
      </w:pPr>
      <w:r>
        <w:t>Re-employment quality, duration, and retention outcomes.</w:t>
      </w:r>
    </w:p>
    <w:p>
      <w:pPr>
        <w:pStyle w:val="ListNumber"/>
      </w:pPr>
      <w:r>
        <w:t>A full welfare extension, but only if the team wants welfare to be a core contribution.</w:t>
      </w:r>
    </w:p>
    <w:p>
      <w:pPr>
        <w:pStyle w:val="Heading2"/>
      </w:pPr>
      <w:r>
        <w:t>1.4 Recommended strategic choice</w:t>
      </w:r>
    </w:p>
    <w:p>
      <w:pPr/>
      <w:r>
        <w:t xml:space="preserve">The best path is a </w:t>
      </w:r>
      <w:r>
        <w:rPr>
          <w:b/>
        </w:rPr>
        <w:t>regular article with a disciplined interpretation model</w:t>
      </w:r>
      <w:r>
        <w:t>, not the short-paper track and not yet a full welfare/search-and-matching paper.</w:t>
      </w:r>
    </w:p>
    <w:p>
      <w:pPr>
        <w:pStyle w:val="ListBullet"/>
      </w:pPr>
      <w:r>
        <w:t>Lead with the quasi-experimental administrative-data evidence.</w:t>
      </w:r>
    </w:p>
    <w:p>
      <w:pPr>
        <w:pStyle w:val="ListBullet"/>
      </w:pPr>
      <w:r>
        <w:t>Use model 15 to organise mechanisms and quantify ranges, explicitly conditional on its assumptions.</w:t>
      </w:r>
    </w:p>
    <w:p>
      <w:pPr>
        <w:pStyle w:val="ListBullet"/>
      </w:pPr>
      <w:r>
        <w:t>Do not call the model general equilibrium: aggregate tightness does not respond to the two groups’ search or separation behaviour.</w:t>
      </w:r>
    </w:p>
    <w:p>
      <w:pPr>
        <w:pStyle w:val="ListBullet"/>
      </w:pPr>
      <w:r>
        <w:t>Do not claim an optimal-benefit or welfare result unless consumption risk, insurance value, fiscal cost, and health externalities are actually modelled.</w:t>
      </w:r>
    </w:p>
    <w:p>
      <w:pPr>
        <w:pStyle w:val="ListBullet"/>
      </w:pPr>
      <w:r>
        <w:t>If the empirical redesign substantially changes the separation result, recalibrate only after the new empirical table is frozen.</w:t>
      </w:r>
    </w:p>
    <w:p>
      <w:pPr/>
      <w:r>
        <w:t>The alternative is a shorter reduced-form paper with the model moved to an appendix or dropped. That option is preferable to presenting a weakly identified structural model as if it decisively separated benefit and pandemic channels.</w:t>
      </w:r>
    </w:p>
    <w:p>
      <w:r>
        <w:br w:type="page"/>
      </w:r>
    </w:p>
    <w:p>
      <w:pPr>
        <w:pStyle w:val="Heading1"/>
      </w:pPr>
      <w:r>
        <w:t>2. Review basis and what model 15 changes</w:t>
      </w:r>
    </w:p>
    <w:p>
      <w:pPr>
        <w:pStyle w:val="Heading2"/>
      </w:pPr>
      <w:r>
        <w:t>2.1 Materials reviewed</w:t>
      </w:r>
    </w:p>
    <w:p>
      <w:pPr/>
      <w:r>
        <w:t>This report is based on:</w:t>
      </w:r>
    </w:p>
    <w:p>
      <w:pPr>
        <w:pStyle w:val="ListBullet"/>
      </w:pPr>
      <w:r>
        <w:t>the 62-page PDF supplied by the authors, dated 22 July 2026;</w:t>
      </w:r>
    </w:p>
    <w:p>
      <w:pPr>
        <w:pStyle w:val="ListBullet"/>
      </w:pPr>
      <w:r>
        <w:rPr>
          <w:rFonts w:ascii="Consolas" w:hAnsi="Consolas"/>
          <w:color w:val="18364E"/>
          <w:sz w:val="19"/>
        </w:rPr>
        <w:t>15_structural_separation_model.jl</w:t>
      </w:r>
      <w:r>
        <w:t xml:space="preserve">, 1,132 lines, in the updated TVHENZ </w:t>
      </w:r>
      <w:r>
        <w:rPr>
          <w:rFonts w:ascii="Consolas" w:hAnsi="Consolas"/>
          <w:color w:val="18364E"/>
          <w:sz w:val="19"/>
        </w:rPr>
        <w:t>SAM</w:t>
      </w:r>
      <w:r>
        <w:t xml:space="preserve"> folder;</w:t>
      </w:r>
    </w:p>
    <w:p>
      <w:pPr>
        <w:pStyle w:val="ListBullet"/>
      </w:pPr>
      <w:r>
        <w:rPr>
          <w:rFonts w:ascii="Consolas" w:hAnsi="Consolas"/>
          <w:color w:val="18364E"/>
          <w:sz w:val="19"/>
        </w:rPr>
        <w:t>15_structural_separation_summary.csv</w:t>
      </w:r>
      <w:r>
        <w:t>;</w:t>
      </w:r>
    </w:p>
    <w:p>
      <w:pPr>
        <w:pStyle w:val="ListBullet"/>
      </w:pPr>
      <w:r>
        <w:rPr>
          <w:rFonts w:ascii="Consolas" w:hAnsi="Consolas"/>
          <w:color w:val="18364E"/>
          <w:sz w:val="19"/>
        </w:rPr>
        <w:t>15_structural_separation_scenarios.csv</w:t>
      </w:r>
      <w:r>
        <w:t>;</w:t>
      </w:r>
    </w:p>
    <w:p>
      <w:pPr>
        <w:pStyle w:val="ListBullet"/>
      </w:pPr>
      <w:r>
        <w:rPr>
          <w:rFonts w:ascii="Consolas" w:hAnsi="Consolas"/>
          <w:color w:val="18364E"/>
          <w:sz w:val="19"/>
        </w:rPr>
        <w:t>15_structural_separation_decomposition.csv</w:t>
      </w:r>
      <w:r>
        <w:t>;</w:t>
      </w:r>
    </w:p>
    <w:p>
      <w:pPr>
        <w:pStyle w:val="ListBullet"/>
      </w:pPr>
      <w:r>
        <w:rPr>
          <w:rFonts w:ascii="Consolas" w:hAnsi="Consolas"/>
          <w:color w:val="18364E"/>
          <w:sz w:val="19"/>
        </w:rPr>
        <w:t>15_structural_separation_restricted_grid.csv</w:t>
      </w:r>
      <w:r>
        <w:t>;</w:t>
      </w:r>
    </w:p>
    <w:p>
      <w:pPr>
        <w:pStyle w:val="ListBullet"/>
      </w:pPr>
      <w:r>
        <w:rPr>
          <w:rFonts w:ascii="Consolas" w:hAnsi="Consolas"/>
          <w:color w:val="18364E"/>
          <w:sz w:val="19"/>
        </w:rPr>
        <w:t>15_replacement_rate_gradient_validation.csv</w:t>
      </w:r>
      <w:r>
        <w:t>;</w:t>
      </w:r>
    </w:p>
    <w:p>
      <w:pPr>
        <w:pStyle w:val="ListBullet"/>
      </w:pPr>
      <w:r>
        <w:t xml:space="preserve">the available empirical R scripts in </w:t>
      </w:r>
      <w:r>
        <w:rPr>
          <w:rFonts w:ascii="Consolas" w:hAnsi="Consolas"/>
          <w:color w:val="18364E"/>
          <w:sz w:val="19"/>
        </w:rPr>
        <w:t>initial_RDD</w:t>
      </w:r>
      <w:r>
        <w:t>, including the main DiD, separation, earnings, balance, RDD, placebo, and Victoria exercises; and</w:t>
      </w:r>
    </w:p>
    <w:p>
      <w:pPr>
        <w:pStyle w:val="ListBullet"/>
      </w:pPr>
      <w:r>
        <w:t>the cleared aggregate data files used by those scripts.</w:t>
      </w:r>
    </w:p>
    <w:p>
      <w:pPr/>
      <w:r>
        <w:t>Model 15 was run successfully in the current environment and reproduced the stored numerical outputs. The empirical microdata and the code that constructs the matched analysis sample were not available in the reviewed folder. That limits this report to a design and code audit rather than an independent replication of the reduced-form estimates.</w:t>
      </w:r>
    </w:p>
    <w:p>
      <w:pPr>
        <w:pStyle w:val="Heading2"/>
      </w:pPr>
      <w:r>
        <w:t>2.2 What model 15 actually does</w:t>
      </w:r>
    </w:p>
    <w:p>
      <w:pPr/>
      <w:r>
        <w:t>There are two groups: Australian recipients/eligible workers, denoted R, and ineligible New Zealand workers, denoted N. In each week, unemployment values depend on an outside option, search effort, a contact probability, and an offer-acceptance probability. The principal flow-surplus objects are</w:t>
      </w:r>
    </w:p>
    <w:p>
      <w:pPr>
        <w:pStyle w:val="Equation"/>
      </w:pPr>
      <w:r>
        <w:rPr>
          <w:rFonts w:ascii="Consolas" w:hAnsi="Consolas"/>
          <w:color w:val="18364E"/>
          <w:sz w:val="19"/>
        </w:rPr>
        <w:t>Delta_R,t = w - h_R,t - (b_R,t + l)</w:t>
      </w:r>
    </w:p>
    <w:p>
      <w:pPr/>
      <w:r>
        <w:rPr>
          <w:rFonts w:ascii="Consolas" w:hAnsi="Consolas"/>
          <w:color w:val="18364E"/>
          <w:sz w:val="19"/>
        </w:rPr>
        <w:t>Delta_N,t = w - h_N,t - (b_N,t + l)</w:t>
      </w:r>
      <w:r>
        <w:t>.</w:t>
      </w:r>
    </w:p>
    <w:p>
      <w:pPr/>
      <w:r>
        <w:t>Offer acceptance is logistic in the flow surplus:</w:t>
      </w:r>
    </w:p>
    <w:p>
      <w:pPr/>
      <w:r>
        <w:rPr>
          <w:rFonts w:ascii="Consolas" w:hAnsi="Consolas"/>
          <w:color w:val="18364E"/>
          <w:sz w:val="19"/>
        </w:rPr>
        <w:t>a_j,t = Lambda[(Delta_j,t - tau_a) / sigma_a]</w:t>
      </w:r>
      <w:r>
        <w:t>.</w:t>
      </w:r>
    </w:p>
    <w:p>
      <w:pPr/>
      <w:r>
        <w:t>Search has convex cost</w:t>
      </w:r>
    </w:p>
    <w:p>
      <w:pPr/>
      <w:r>
        <w:rPr>
          <w:rFonts w:ascii="Consolas" w:hAnsi="Consolas"/>
          <w:color w:val="18364E"/>
          <w:sz w:val="19"/>
        </w:rPr>
        <w:t>c(s) = kappa * s^(1+eta) / (1+eta)</w:t>
      </w:r>
      <w:r>
        <w:t>,</w:t>
      </w:r>
    </w:p>
    <w:p>
      <w:pPr/>
      <w:r>
        <w:t xml:space="preserve">and the offer probability is </w:t>
      </w:r>
      <w:r>
        <w:rPr>
          <w:rFonts w:ascii="Consolas" w:hAnsi="Consolas"/>
          <w:color w:val="18364E"/>
          <w:sz w:val="19"/>
        </w:rPr>
        <w:t>1 - exp(-q_t s_j,t)</w:t>
      </w:r>
      <w:r>
        <w:t>. Job finding is the product of offer receipt and acceptance.</w:t>
      </w:r>
    </w:p>
    <w:p>
      <w:pPr/>
      <w:r>
        <w:t xml:space="preserve">The model uses a free-entry-style contact block. A firm’s match value is calculated from output minus the fixed wage using a fixed firm-destruction rate. Market tightness and the contact probability then depend on matching efficiency. However, workers’ endogenous separation rates and the composition or mass of R and N workers do not feed back into firm value, vacancies, or aggregate tightness. It is therefore best described as a </w:t>
      </w:r>
      <w:r>
        <w:rPr>
          <w:b/>
        </w:rPr>
        <w:t>partial-equilibrium dynamic search, acceptance, and employment-exit model with a DMP-style contact block</w:t>
      </w:r>
      <w:r>
        <w:t>.</w:t>
      </w:r>
    </w:p>
    <w:p>
      <w:pPr/>
      <w:r>
        <w:t>The key version-15 change is employment exit:</w:t>
      </w:r>
    </w:p>
    <w:p>
      <w:pPr/>
      <w:r>
        <w:rPr>
          <w:rFonts w:ascii="Consolas" w:hAnsi="Consolas"/>
          <w:color w:val="18364E"/>
          <w:sz w:val="19"/>
        </w:rPr>
        <w:t>delta_j,t = delta_bar + chi_t + A * Lambda[(tau_s - Delta_j,t) / sigma_s]</w:t>
      </w:r>
      <w:r>
        <w:t>,</w:t>
      </w:r>
    </w:p>
    <w:p>
      <w:pPr/>
      <w:r>
        <w:t>capped below one. This replaces version 14’s direct additive health/disutility term in separation. The new form creates nonlinear interaction between benefits and the differential work wedge.</w:t>
      </w:r>
    </w:p>
    <w:p>
      <w:pPr>
        <w:pStyle w:val="Heading2"/>
      </w:pPr>
      <w:r>
        <w:t>2.3 Calibration mapping in model 15</w:t>
      </w:r>
    </w:p>
    <w:p>
      <w:pPr/>
      <w:r>
        <w:t>The benchmark calibration proceeds in stages:</w:t>
      </w:r>
    </w:p>
    <w:p>
      <w:pPr>
        <w:pStyle w:val="ListNumber"/>
      </w:pPr>
      <w:r>
        <w:t>The base and amplitude of the separation function match pre-period N and R employment-exit rates.</w:t>
      </w:r>
    </w:p>
    <w:p>
      <w:pPr>
        <w:pStyle w:val="ListNumber"/>
      </w:pPr>
      <w:r>
        <w:t>Pre-period matching efficiency and common search cost match pre-period N and R job-finding rates.</w:t>
      </w:r>
    </w:p>
    <w:p>
      <w:pPr>
        <w:pStyle w:val="ListNumber"/>
      </w:pPr>
      <w:r>
        <w:rPr>
          <w:rFonts w:ascii="Consolas" w:hAnsi="Consolas"/>
          <w:color w:val="18364E"/>
          <w:sz w:val="19"/>
        </w:rPr>
        <w:t>h_N</w:t>
      </w:r>
      <w:r>
        <w:t xml:space="preserve"> is normalised to zero.</w:t>
      </w:r>
    </w:p>
    <w:p>
      <w:pPr>
        <w:pStyle w:val="ListNumber"/>
      </w:pPr>
      <w:r>
        <w:t>A common post-period separation shock matches the N post-period employment-exit rate.</w:t>
      </w:r>
    </w:p>
    <w:p>
      <w:pPr>
        <w:pStyle w:val="ListNumber"/>
      </w:pPr>
      <w:r>
        <w:t>The R health/work wedge matches the R post-period employment-exit rate while incorporating the doubled benefit.</w:t>
      </w:r>
    </w:p>
    <w:p>
      <w:pPr>
        <w:pStyle w:val="ListNumber"/>
      </w:pPr>
      <w:r>
        <w:t>Post-period matching efficiency matches the N post-period job-finding rate.</w:t>
      </w:r>
    </w:p>
    <w:p>
      <w:pPr>
        <w:pStyle w:val="ListNumber"/>
      </w:pPr>
      <w:r>
        <w:t>The R post-period job-finding rate is held out.</w:t>
      </w:r>
    </w:p>
    <w:p>
      <w:pPr>
        <w:pStyle w:val="ListNumber"/>
      </w:pPr>
      <w:r>
        <w:t>Search curvature, the separation threshold, and separation dispersion are selected from a grid using the fitted moments, excluding the held-out R post-period job-finding rate.</w:t>
      </w:r>
    </w:p>
    <w:p>
      <w:pPr/>
      <w:r>
        <w:t xml:space="preserve">This is a transparent calibration sequence. It also shows why some interpretations are not identified. By construction, the common post shock is a separation intercept, not a common job-finding disutility shock. The normalisation </w:t>
      </w:r>
      <w:r>
        <w:rPr>
          <w:rFonts w:ascii="Consolas" w:hAnsi="Consolas"/>
          <w:color w:val="18364E"/>
          <w:sz w:val="19"/>
        </w:rPr>
        <w:t>h_N = 0</w:t>
      </w:r>
      <w:r>
        <w:t xml:space="preserve"> means the R wedge is a residual differential wedge, not a direct measure of Australian fear of infection.</w:t>
      </w:r>
    </w:p>
    <w:p>
      <w:pPr>
        <w:pStyle w:val="Heading2"/>
      </w:pPr>
      <w:r>
        <w:t>2.4 Model-15 benchmark results that must replace the manuscript’s current numbers</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Quantity</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Data</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Model 15</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Comment</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N pre job finding</w:t>
            </w:r>
          </w:p>
        </w:tc>
        <w:tc>
          <w:tcPr>
            <w:tcW w:type="dxa" w:w="2409"/>
            <w:vAlign w:val="center"/>
            <w:tcMar>
              <w:top w:w="80" w:type="dxa"/>
              <w:start w:w="90" w:type="dxa"/>
              <w:bottom w:w="80" w:type="dxa"/>
              <w:end w:w="90" w:type="dxa"/>
            </w:tcMar>
          </w:tcPr>
          <w:p>
            <w:pPr>
              <w:spacing w:after="0" w:line="240" w:lineRule="auto"/>
            </w:pPr>
            <w:r>
              <w:rPr>
                <w:rFonts w:ascii="Aptos" w:hAnsi="Aptos"/>
                <w:sz w:val="16"/>
              </w:rPr>
              <w:t>10.02%</w:t>
            </w:r>
          </w:p>
        </w:tc>
        <w:tc>
          <w:tcPr>
            <w:tcW w:type="dxa" w:w="2409"/>
            <w:vAlign w:val="center"/>
            <w:tcMar>
              <w:top w:w="80" w:type="dxa"/>
              <w:start w:w="90" w:type="dxa"/>
              <w:bottom w:w="80" w:type="dxa"/>
              <w:end w:w="90" w:type="dxa"/>
            </w:tcMar>
          </w:tcPr>
          <w:p>
            <w:pPr>
              <w:spacing w:after="0" w:line="240" w:lineRule="auto"/>
            </w:pPr>
            <w:r>
              <w:rPr>
                <w:rFonts w:ascii="Aptos" w:hAnsi="Aptos"/>
                <w:sz w:val="16"/>
              </w:rPr>
              <w:t>10.021%</w:t>
            </w:r>
          </w:p>
        </w:tc>
        <w:tc>
          <w:tcPr>
            <w:tcW w:type="dxa" w:w="2409"/>
            <w:vAlign w:val="center"/>
            <w:tcMar>
              <w:top w:w="80" w:type="dxa"/>
              <w:start w:w="90" w:type="dxa"/>
              <w:bottom w:w="80" w:type="dxa"/>
              <w:end w:w="90" w:type="dxa"/>
            </w:tcMar>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R pre job finding</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8.68%</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8.678%</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N post job finding</w:t>
            </w:r>
          </w:p>
        </w:tc>
        <w:tc>
          <w:tcPr>
            <w:tcW w:type="dxa" w:w="2409"/>
            <w:vAlign w:val="center"/>
            <w:tcMar>
              <w:top w:w="80" w:type="dxa"/>
              <w:start w:w="90" w:type="dxa"/>
              <w:bottom w:w="80" w:type="dxa"/>
              <w:end w:w="90" w:type="dxa"/>
            </w:tcMar>
          </w:tcPr>
          <w:p>
            <w:pPr>
              <w:spacing w:after="0" w:line="240" w:lineRule="auto"/>
            </w:pPr>
            <w:r>
              <w:rPr>
                <w:rFonts w:ascii="Aptos" w:hAnsi="Aptos"/>
                <w:sz w:val="16"/>
              </w:rPr>
              <w:t>8.23%</w:t>
            </w:r>
          </w:p>
        </w:tc>
        <w:tc>
          <w:tcPr>
            <w:tcW w:type="dxa" w:w="2409"/>
            <w:vAlign w:val="center"/>
            <w:tcMar>
              <w:top w:w="80" w:type="dxa"/>
              <w:start w:w="90" w:type="dxa"/>
              <w:bottom w:w="80" w:type="dxa"/>
              <w:end w:w="90" w:type="dxa"/>
            </w:tcMar>
          </w:tcPr>
          <w:p>
            <w:pPr>
              <w:spacing w:after="0" w:line="240" w:lineRule="auto"/>
            </w:pPr>
            <w:r>
              <w:rPr>
                <w:rFonts w:ascii="Aptos" w:hAnsi="Aptos"/>
                <w:sz w:val="16"/>
              </w:rPr>
              <w:t>8.230%</w:t>
            </w:r>
          </w:p>
        </w:tc>
        <w:tc>
          <w:tcPr>
            <w:tcW w:type="dxa" w:w="2409"/>
            <w:vAlign w:val="center"/>
            <w:tcMar>
              <w:top w:w="80" w:type="dxa"/>
              <w:start w:w="90" w:type="dxa"/>
              <w:bottom w:w="80" w:type="dxa"/>
              <w:end w:w="90" w:type="dxa"/>
            </w:tcMar>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R post job finding</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5.18%</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5.581%</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held out; model is 0.401 pp high</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Job-finding DiD</w:t>
            </w:r>
          </w:p>
        </w:tc>
        <w:tc>
          <w:tcPr>
            <w:tcW w:type="dxa" w:w="2409"/>
            <w:vAlign w:val="center"/>
            <w:tcMar>
              <w:top w:w="80" w:type="dxa"/>
              <w:start w:w="90" w:type="dxa"/>
              <w:bottom w:w="80" w:type="dxa"/>
              <w:end w:w="90" w:type="dxa"/>
            </w:tcMar>
          </w:tcPr>
          <w:p>
            <w:pPr>
              <w:spacing w:after="0" w:line="240" w:lineRule="auto"/>
            </w:pPr>
            <w:r>
              <w:rPr>
                <w:rFonts w:ascii="Aptos" w:hAnsi="Aptos"/>
                <w:sz w:val="16"/>
              </w:rPr>
              <w:t>-1.71 pp</w:t>
            </w:r>
          </w:p>
        </w:tc>
        <w:tc>
          <w:tcPr>
            <w:tcW w:type="dxa" w:w="2409"/>
            <w:vAlign w:val="center"/>
            <w:tcMar>
              <w:top w:w="80" w:type="dxa"/>
              <w:start w:w="90" w:type="dxa"/>
              <w:bottom w:w="80" w:type="dxa"/>
              <w:end w:w="90" w:type="dxa"/>
            </w:tcMar>
          </w:tcPr>
          <w:p>
            <w:pPr>
              <w:spacing w:after="0" w:line="240" w:lineRule="auto"/>
            </w:pPr>
            <w:r>
              <w:rPr>
                <w:rFonts w:ascii="Aptos" w:hAnsi="Aptos"/>
                <w:sz w:val="16"/>
              </w:rPr>
              <w:t>-1.306 pp</w:t>
            </w:r>
          </w:p>
        </w:tc>
        <w:tc>
          <w:tcPr>
            <w:tcW w:type="dxa" w:w="2409"/>
            <w:vAlign w:val="center"/>
            <w:tcMar>
              <w:top w:w="80" w:type="dxa"/>
              <w:start w:w="90" w:type="dxa"/>
              <w:bottom w:w="80" w:type="dxa"/>
              <w:end w:w="90" w:type="dxa"/>
            </w:tcMar>
          </w:tcPr>
          <w:p>
            <w:pPr>
              <w:spacing w:after="0" w:line="240" w:lineRule="auto"/>
            </w:pPr>
            <w:r>
              <w:rPr>
                <w:rFonts w:ascii="Aptos" w:hAnsi="Aptos"/>
                <w:sz w:val="16"/>
              </w:rPr>
              <w:t>model explains about three quarters of the point estimate</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N pre employment exit</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4.80%</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4.80%</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R pre employment exit</w:t>
            </w:r>
          </w:p>
        </w:tc>
        <w:tc>
          <w:tcPr>
            <w:tcW w:type="dxa" w:w="2409"/>
            <w:vAlign w:val="center"/>
            <w:tcMar>
              <w:top w:w="80" w:type="dxa"/>
              <w:start w:w="90" w:type="dxa"/>
              <w:bottom w:w="80" w:type="dxa"/>
              <w:end w:w="90" w:type="dxa"/>
            </w:tcMar>
          </w:tcPr>
          <w:p>
            <w:pPr>
              <w:spacing w:after="0" w:line="240" w:lineRule="auto"/>
            </w:pPr>
            <w:r>
              <w:rPr>
                <w:rFonts w:ascii="Aptos" w:hAnsi="Aptos"/>
                <w:sz w:val="16"/>
              </w:rPr>
              <w:t>4.84%</w:t>
            </w:r>
          </w:p>
        </w:tc>
        <w:tc>
          <w:tcPr>
            <w:tcW w:type="dxa" w:w="2409"/>
            <w:vAlign w:val="center"/>
            <w:tcMar>
              <w:top w:w="80" w:type="dxa"/>
              <w:start w:w="90" w:type="dxa"/>
              <w:bottom w:w="80" w:type="dxa"/>
              <w:end w:w="90" w:type="dxa"/>
            </w:tcMar>
          </w:tcPr>
          <w:p>
            <w:pPr>
              <w:spacing w:after="0" w:line="240" w:lineRule="auto"/>
            </w:pPr>
            <w:r>
              <w:rPr>
                <w:rFonts w:ascii="Aptos" w:hAnsi="Aptos"/>
                <w:sz w:val="16"/>
              </w:rPr>
              <w:t>4.84%</w:t>
            </w:r>
          </w:p>
        </w:tc>
        <w:tc>
          <w:tcPr>
            <w:tcW w:type="dxa" w:w="2409"/>
            <w:vAlign w:val="center"/>
            <w:tcMar>
              <w:top w:w="80" w:type="dxa"/>
              <w:start w:w="90" w:type="dxa"/>
              <w:bottom w:w="80" w:type="dxa"/>
              <w:end w:w="90" w:type="dxa"/>
            </w:tcMar>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N post employment exit</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5.50%</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5.50%</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R post employment exit</w:t>
            </w:r>
          </w:p>
        </w:tc>
        <w:tc>
          <w:tcPr>
            <w:tcW w:type="dxa" w:w="2409"/>
            <w:vAlign w:val="center"/>
            <w:tcMar>
              <w:top w:w="80" w:type="dxa"/>
              <w:start w:w="90" w:type="dxa"/>
              <w:bottom w:w="80" w:type="dxa"/>
              <w:end w:w="90" w:type="dxa"/>
            </w:tcMar>
          </w:tcPr>
          <w:p>
            <w:pPr>
              <w:spacing w:after="0" w:line="240" w:lineRule="auto"/>
            </w:pPr>
            <w:r>
              <w:rPr>
                <w:rFonts w:ascii="Aptos" w:hAnsi="Aptos"/>
                <w:sz w:val="16"/>
              </w:rPr>
              <w:t>9.26%</w:t>
            </w:r>
          </w:p>
        </w:tc>
        <w:tc>
          <w:tcPr>
            <w:tcW w:type="dxa" w:w="2409"/>
            <w:vAlign w:val="center"/>
            <w:tcMar>
              <w:top w:w="80" w:type="dxa"/>
              <w:start w:w="90" w:type="dxa"/>
              <w:bottom w:w="80" w:type="dxa"/>
              <w:end w:w="90" w:type="dxa"/>
            </w:tcMar>
          </w:tcPr>
          <w:p>
            <w:pPr>
              <w:spacing w:after="0" w:line="240" w:lineRule="auto"/>
            </w:pPr>
            <w:r>
              <w:rPr>
                <w:rFonts w:ascii="Aptos" w:hAnsi="Aptos"/>
                <w:sz w:val="16"/>
              </w:rPr>
              <w:t>9.26%</w:t>
            </w:r>
          </w:p>
        </w:tc>
        <w:tc>
          <w:tcPr>
            <w:tcW w:type="dxa" w:w="2409"/>
            <w:vAlign w:val="center"/>
            <w:tcMar>
              <w:top w:w="80" w:type="dxa"/>
              <w:start w:w="90" w:type="dxa"/>
              <w:bottom w:w="80" w:type="dxa"/>
              <w:end w:w="90" w:type="dxa"/>
            </w:tcMar>
          </w:tcPr>
          <w:p>
            <w:pPr>
              <w:spacing w:after="0" w:line="240" w:lineRule="auto"/>
            </w:pPr>
            <w:r>
              <w:rPr>
                <w:rFonts w:ascii="Aptos" w:hAnsi="Aptos"/>
                <w:sz w:val="16"/>
              </w:rPr>
              <w:t>fitted</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Differential work wedge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6.69% of wage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strongly specification-sensitive</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Search curvature</w:t>
            </w:r>
          </w:p>
        </w:tc>
        <w:tc>
          <w:tcPr>
            <w:tcW w:type="dxa" w:w="2409"/>
            <w:vAlign w:val="center"/>
            <w:tcMar>
              <w:top w:w="80" w:type="dxa"/>
              <w:start w:w="90" w:type="dxa"/>
              <w:bottom w:w="80" w:type="dxa"/>
              <w:end w:w="90" w:type="dxa"/>
            </w:tcMar>
          </w:tcPr>
          <w:p>
            <w:pPr>
              <w:spacing w:after="0" w:line="240" w:lineRule="auto"/>
            </w:pPr>
            <w:r>
              <w:rPr>
                <w:rFonts w:ascii="Aptos" w:hAnsi="Aptos"/>
                <w:sz w:val="16"/>
              </w:rPr>
              <w:t>—</w:t>
            </w:r>
          </w:p>
        </w:tc>
        <w:tc>
          <w:tcPr>
            <w:tcW w:type="dxa" w:w="2409"/>
            <w:vAlign w:val="center"/>
            <w:tcMar>
              <w:top w:w="80" w:type="dxa"/>
              <w:start w:w="90" w:type="dxa"/>
              <w:bottom w:w="80" w:type="dxa"/>
              <w:end w:w="90" w:type="dxa"/>
            </w:tcMar>
          </w:tcPr>
          <w:p>
            <w:pPr>
              <w:spacing w:after="0" w:line="240" w:lineRule="auto"/>
            </w:pPr>
            <w:r>
              <w:rPr>
                <w:rFonts w:ascii="Aptos" w:hAnsi="Aptos"/>
                <w:sz w:val="16"/>
              </w:rPr>
              <w:t>100</w:t>
            </w:r>
          </w:p>
        </w:tc>
        <w:tc>
          <w:tcPr>
            <w:tcW w:type="dxa" w:w="2409"/>
            <w:vAlign w:val="center"/>
            <w:tcMar>
              <w:top w:w="80" w:type="dxa"/>
              <w:start w:w="90" w:type="dxa"/>
              <w:bottom w:w="80" w:type="dxa"/>
              <w:end w:w="90" w:type="dxa"/>
            </w:tcMar>
          </w:tcPr>
          <w:p>
            <w:pPr>
              <w:spacing w:after="0" w:line="240" w:lineRule="auto"/>
            </w:pPr>
            <w:r>
              <w:rPr>
                <w:rFonts w:ascii="Aptos" w:hAnsi="Aptos"/>
                <w:sz w:val="16"/>
              </w:rPr>
              <w:t>selected grid value</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Common exit shock</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0.70 pp</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fitted to N post exit</w:t>
            </w:r>
          </w:p>
        </w:tc>
      </w:tr>
    </w:tbl>
    <w:p>
      <w:pPr>
        <w:spacing w:after="20"/>
      </w:pPr>
    </w:p>
    <w:p>
      <w:pPr/>
      <w:r>
        <w:t>The benchmark counterfactuals are:</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Scenario</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Model job-finding DiD</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Model employment-exit DiD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Benefit only</w:t>
            </w:r>
          </w:p>
        </w:tc>
        <w:tc>
          <w:tcPr>
            <w:tcW w:type="dxa" w:w="3213"/>
            <w:vAlign w:val="center"/>
            <w:tcMar>
              <w:top w:w="80" w:type="dxa"/>
              <w:start w:w="90" w:type="dxa"/>
              <w:bottom w:w="80" w:type="dxa"/>
              <w:end w:w="90" w:type="dxa"/>
            </w:tcMar>
          </w:tcPr>
          <w:p>
            <w:pPr>
              <w:spacing w:after="0" w:line="240" w:lineRule="auto"/>
            </w:pPr>
            <w:r>
              <w:rPr>
                <w:rFonts w:ascii="Aptos" w:hAnsi="Aptos"/>
                <w:sz w:val="16"/>
              </w:rPr>
              <w:t>-1.504 pp</w:t>
            </w:r>
          </w:p>
        </w:tc>
        <w:tc>
          <w:tcPr>
            <w:tcW w:type="dxa" w:w="3213"/>
            <w:vAlign w:val="center"/>
            <w:tcMar>
              <w:top w:w="80" w:type="dxa"/>
              <w:start w:w="90" w:type="dxa"/>
              <w:bottom w:w="80" w:type="dxa"/>
              <w:end w:w="90" w:type="dxa"/>
            </w:tcMar>
          </w:tcPr>
          <w:p>
            <w:pPr>
              <w:spacing w:after="0" w:line="240" w:lineRule="auto"/>
            </w:pPr>
            <w:r>
              <w:rPr>
                <w:rFonts w:ascii="Aptos" w:hAnsi="Aptos"/>
                <w:sz w:val="16"/>
              </w:rPr>
              <w:t>+1.688 pp</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Common COVID component only</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+0.239 pp</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approximately 0</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Differential COVID component only</w:t>
            </w:r>
          </w:p>
        </w:tc>
        <w:tc>
          <w:tcPr>
            <w:tcW w:type="dxa" w:w="3213"/>
            <w:vAlign w:val="center"/>
            <w:tcMar>
              <w:top w:w="80" w:type="dxa"/>
              <w:start w:w="90" w:type="dxa"/>
              <w:bottom w:w="80" w:type="dxa"/>
              <w:end w:w="90" w:type="dxa"/>
            </w:tcMar>
          </w:tcPr>
          <w:p>
            <w:pPr>
              <w:spacing w:after="0" w:line="240" w:lineRule="auto"/>
            </w:pPr>
            <w:r>
              <w:rPr>
                <w:rFonts w:ascii="Aptos" w:hAnsi="Aptos"/>
                <w:sz w:val="16"/>
              </w:rPr>
              <w:t>-0.047 pp</w:t>
            </w:r>
          </w:p>
        </w:tc>
        <w:tc>
          <w:tcPr>
            <w:tcW w:type="dxa" w:w="3213"/>
            <w:vAlign w:val="center"/>
            <w:tcMar>
              <w:top w:w="80" w:type="dxa"/>
              <w:start w:w="90" w:type="dxa"/>
              <w:bottom w:w="80" w:type="dxa"/>
              <w:end w:w="90" w:type="dxa"/>
            </w:tcMar>
          </w:tcPr>
          <w:p>
            <w:pPr>
              <w:spacing w:after="0" w:line="240" w:lineRule="auto"/>
            </w:pPr>
            <w:r>
              <w:rPr>
                <w:rFonts w:ascii="Aptos" w:hAnsi="Aptos"/>
                <w:sz w:val="16"/>
              </w:rPr>
              <w:t>+0.061 pp</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Full model</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-1.306 pp</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+3.720 pp</w:t>
            </w:r>
          </w:p>
        </w:tc>
      </w:tr>
    </w:tbl>
    <w:p>
      <w:pPr>
        <w:spacing w:after="20"/>
      </w:pPr>
    </w:p>
    <w:p>
      <w:pPr/>
      <w:r>
        <w:t>Three immediate implications follow.</w:t>
      </w:r>
    </w:p>
    <w:p>
      <w:pPr>
        <w:pStyle w:val="ListNumber"/>
      </w:pPr>
      <w:r>
        <w:rPr>
          <w:b/>
        </w:rPr>
        <w:t>The manuscript’s current headline is wrong for model 15.</w:t>
      </w:r>
      <w:r>
        <w:t xml:space="preserve"> The benefit-only counterfactual accounts for most of the modelled job-finding decline. The model does not show that pandemic work disutility explains most of that decline.</w:t>
      </w:r>
    </w:p>
    <w:p>
      <w:pPr>
        <w:pStyle w:val="ListNumber"/>
      </w:pPr>
      <w:r>
        <w:rPr>
          <w:b/>
        </w:rPr>
        <w:t>The separation scenarios are not additive.</w:t>
      </w:r>
      <w:r>
        <w:t xml:space="preserve"> Benefit only plus differential COVID gives about 1.75 pp, far short of the 3.72 pp full effect. The residual interaction is about 1.97 pp. A table that lists the scenarios as components without showing this interaction invites a false additive reading.</w:t>
      </w:r>
    </w:p>
    <w:p>
      <w:pPr>
        <w:pStyle w:val="ListNumber"/>
      </w:pPr>
      <w:r>
        <w:rPr>
          <w:b/>
        </w:rPr>
        <w:t>The held-out fit is conditional on a fragile parameter selection.</w:t>
      </w:r>
      <w:r>
        <w:t xml:space="preserve"> Among 20 grid specifications with fitted loss below 0.01, the held-out R post job-finding gap ranges from -2.84 to +0.48 pp, model job-finding DiDs range from -4.49 to -1.23 pp, and the differential work wedge ranges from 5.36% to 41.43% of the wage.</w:t>
      </w:r>
    </w:p>
    <w:p>
      <w:pPr/>
      <w:r>
        <w:t>Those ranges are central results, not appendix trivia.</w:t>
      </w:r>
    </w:p>
    <w:p>
      <w:r>
        <w:br w:type="page"/>
      </w:r>
    </w:p>
    <w:p>
      <w:pPr>
        <w:pStyle w:val="Heading1"/>
      </w:pPr>
      <w:r>
        <w:t>3. Empirical work required</w:t>
      </w:r>
    </w:p>
    <w:p>
      <w:pPr>
        <w:pStyle w:val="Heading2"/>
      </w:pPr>
      <w:r>
        <w:t>3.1 Start by defining the estimand</w:t>
      </w:r>
    </w:p>
    <w:p>
      <w:pPr/>
      <w:r>
        <w:t>The paper currently moves between three possible questions:</w:t>
      </w:r>
    </w:p>
    <w:p>
      <w:pPr>
        <w:pStyle w:val="ListNumber"/>
      </w:pPr>
      <w:r>
        <w:t xml:space="preserve">What was the effect of </w:t>
      </w:r>
      <w:r>
        <w:rPr>
          <w:b/>
        </w:rPr>
        <w:t>eligibility for the March 2020 Australian JobSeeker policy package</w:t>
      </w:r>
      <w:r>
        <w:t>?</w:t>
      </w:r>
    </w:p>
    <w:p>
      <w:pPr>
        <w:pStyle w:val="ListNumber"/>
      </w:pPr>
      <w:r>
        <w:t xml:space="preserve">What was the effect of </w:t>
      </w:r>
      <w:r>
        <w:rPr>
          <w:b/>
        </w:rPr>
        <w:t>receiving JobSeeker at any time in 2020</w:t>
      </w:r>
      <w:r>
        <w:t>?</w:t>
      </w:r>
    </w:p>
    <w:p>
      <w:pPr>
        <w:pStyle w:val="ListNumber"/>
      </w:pPr>
      <w:r>
        <w:t xml:space="preserve">What was the effect of the </w:t>
      </w:r>
      <w:r>
        <w:rPr>
          <w:b/>
        </w:rPr>
        <w:t>$550 Coronavirus Supplement alone</w:t>
      </w:r>
      <w:r>
        <w:t>?</w:t>
      </w:r>
    </w:p>
    <w:p>
      <w:pPr/>
      <w:r>
        <w:t>These are not the same estimand.</w:t>
      </w:r>
    </w:p>
    <w:p>
      <w:pPr/>
      <w:r>
        <w:t>The cleanest available contrast is likely an eligibility or policy-bundle intention-to-treat effect for Australians relative to otherwise comparable ineligible New Zealand citizens. Realised receipt is behavioural and administrative: it depends on job loss, take-up, eligibility screens, claim timing, and potentially the outcomes being studied. Defining treatment as “received JobSeeker at any point in 2020” conditions on a post-policy event.</w:t>
      </w:r>
    </w:p>
    <w:p>
      <w:pPr/>
      <w:r>
        <w:rPr>
          <w:b/>
        </w:rPr>
        <w:t>Required action</w:t>
      </w:r>
    </w:p>
    <w:p>
      <w:pPr>
        <w:pStyle w:val="ListBullet"/>
      </w:pPr>
      <w:r>
        <w:t>Define treatment using nationality/citizenship and pre-policy legal eligibility, not realised future receipt.</w:t>
      </w:r>
    </w:p>
    <w:p>
      <w:pPr>
        <w:pStyle w:val="ListBullet"/>
      </w:pPr>
      <w:r>
        <w:t>If the administrative data permit, construct predicted eligibility on 1 March 2020 from age, residency, partner income, assets/proxies, and other pre-period variables.</w:t>
      </w:r>
    </w:p>
    <w:p>
      <w:pPr>
        <w:pStyle w:val="ListBullet"/>
      </w:pPr>
      <w:r>
        <w:t>Report the eligibility-policy effect as the main estimand.</w:t>
      </w:r>
    </w:p>
    <w:p>
      <w:pPr>
        <w:pStyle w:val="ListBullet"/>
      </w:pPr>
      <w:r>
        <w:t>Treat realised receipt as a secondary mediator or an instrumented treatment only if a credible first stage and exclusion restriction can be defended.</w:t>
      </w:r>
    </w:p>
    <w:p>
      <w:pPr>
        <w:pStyle w:val="ListBullet"/>
      </w:pPr>
      <w:r>
        <w:t>Describe the treatment as a policy bundle unless a design isolates the supplement from expanded eligibility, waiting-period waivers, assets-test changes, partner-income changes, and mutual-obligation suspension.</w:t>
      </w:r>
    </w:p>
    <w:p>
      <w:pPr/>
      <w:r>
        <w:t>A manuscript-ready estimand sentence would be:</w:t>
      </w:r>
    </w:p>
    <w:p>
      <w:pPr>
        <w:pStyle w:val="Callout"/>
        <w:shd w:fill="EAF2F7"/>
        <w:pBdr>
          <w:left w:val="single" w:sz="18" w:space="5" w:color="2C6384"/>
        </w:pBdr>
      </w:pPr>
      <w:r>
        <w:t>“We estimate the effect of exposure to Australia’s March 2020 JobSeeker expansion—relative to ineligibility among comparable New Zealand citizens living in the same local labour markets—on weekly transitions into and out of payroll employment.”</w:t>
      </w:r>
    </w:p>
    <w:p>
      <w:pPr/>
      <w:r>
        <w:t>Only replace “expansion” with “Coronavirus Supplement” if the empirical design genuinely holds the other changes fixed.</w:t>
      </w:r>
    </w:p>
    <w:p>
      <w:pPr>
        <w:pStyle w:val="Heading2"/>
      </w:pPr>
      <w:r>
        <w:t>3.2 Remove post-treatment sample selection</w:t>
      </w:r>
    </w:p>
    <w:p>
      <w:pPr/>
      <w:r>
        <w:t>The draft restricts the main sample to people with at least four consecutive weeks out of work in 2020. The separation analysis further studies employed people drawn from a sample selected because they experience non-employment during the year. This creates two problems.</w:t>
      </w:r>
    </w:p>
    <w:p>
      <w:pPr>
        <w:pStyle w:val="ListBullet"/>
      </w:pPr>
      <w:r>
        <w:t>The inclusion rule uses future outcomes. Treatment can change whether a person enters the sample.</w:t>
      </w:r>
    </w:p>
    <w:p>
      <w:pPr>
        <w:pStyle w:val="ListBullet"/>
      </w:pPr>
      <w:r>
        <w:t>For employment exits, the design effectively conditions on eventually exiting employment. A policy that prevents an exit can remove the person from the estimation sample, while a policy that causes an exit can add the person. This is a direct collider/selection problem.</w:t>
      </w:r>
    </w:p>
    <w:p>
      <w:pPr/>
      <w:r>
        <w:t>It also changes the interpretation of the job-finding rate. The reported denominator is not simply all people not employed in week t; it is a selected subset whose 2020 histories satisfy an ex-post duration rule.</w:t>
      </w:r>
    </w:p>
    <w:p>
      <w:pPr/>
      <w:r>
        <w:rPr>
          <w:b/>
        </w:rPr>
        <w:t>Preferred redesign</w:t>
      </w:r>
    </w:p>
    <w:p>
      <w:pPr>
        <w:pStyle w:val="ListNumber"/>
      </w:pPr>
      <w:r>
        <w:t>Define the universe on a pre-treatment date, such as all working-age Australian and eligible-comparison New Zealand citizens with evidence of Australian residence and labour-market attachment during 2019.</w:t>
      </w:r>
    </w:p>
    <w:p>
      <w:pPr>
        <w:pStyle w:val="ListNumber"/>
      </w:pPr>
      <w:r>
        <w:t>Apply only pre-treatment inclusion criteria: age, residency tenure, prior payroll/tax attachment, and observable coverage.</w:t>
      </w:r>
    </w:p>
    <w:p>
      <w:pPr>
        <w:pStyle w:val="ListNumber"/>
      </w:pPr>
      <w:r>
        <w:t>Create one person-week panel for the full study window.</w:t>
      </w:r>
    </w:p>
    <w:p>
      <w:pPr>
        <w:pStyle w:val="ListNumber"/>
      </w:pPr>
      <w:r>
        <w:t>For job finding, the risk set in week t is everyone not in payroll employment at t under the chosen contemporaneous definition.</w:t>
      </w:r>
    </w:p>
    <w:p>
      <w:pPr>
        <w:pStyle w:val="ListNumber"/>
      </w:pPr>
      <w:r>
        <w:t>For employment exit, the risk set in week t is everyone in payroll employment at t.</w:t>
      </w:r>
    </w:p>
    <w:p>
      <w:pPr>
        <w:pStyle w:val="ListNumber"/>
      </w:pPr>
      <w:r>
        <w:t>Do not require a future four-week spell. Instead, vary the outcome definition: any payroll exit; two consecutive weeks without pay; four consecutive weeks without pay; and an exit that persists for four weeks. The last is an outcome, not a sample inclusion rule.</w:t>
      </w:r>
    </w:p>
    <w:p>
      <w:pPr>
        <w:pStyle w:val="ListNumber"/>
      </w:pPr>
      <w:r>
        <w:t>Handle left-censoring explicitly by using a sufficiently long pre-window to classify initial employment and non-employment spells.</w:t>
      </w:r>
    </w:p>
    <w:p>
      <w:pPr/>
      <w:r>
        <w:t>Report a cohort-flow diagram showing how many people are removed by each pre-treatment criterion. For each week and nationality, report risk-set denominators, events, and censoring/attrition.</w:t>
      </w:r>
    </w:p>
    <w:p>
      <w:pPr>
        <w:pStyle w:val="Heading2"/>
      </w:pPr>
      <w:r>
        <w:t>3.3 Re-estimate at the person-week level</w:t>
      </w:r>
    </w:p>
    <w:p>
      <w:pPr/>
      <w:r>
        <w:t>The main scripts collapse data to nationality-by-week means and run a regression with 48 observations. This discards information about individual covariates, matched pairs, composition, and risk-set duration. It also makes the inference problem especially visible.</w:t>
      </w:r>
    </w:p>
    <w:p>
      <w:pPr/>
      <w:r>
        <w:t>Use an individual-week transition specification as the main estimator. A simple linear probability version is:</w:t>
      </w:r>
    </w:p>
    <w:p>
      <w:pPr/>
      <w:r>
        <w:rPr>
          <w:rFonts w:ascii="Consolas" w:hAnsi="Consolas"/>
          <w:color w:val="18364E"/>
          <w:sz w:val="19"/>
        </w:rPr>
        <w:t>Y_i,t+1 = alpha_i_or_X + gamma_t + beta(Australian_i x Post_t) + X_i x gamma_t + error_i,t</w:t>
      </w:r>
      <w:r>
        <w:t>,</w:t>
      </w:r>
    </w:p>
    <w:p>
      <w:pPr/>
      <w:r>
        <w:t>estimated on the relevant weekly risk set. A complementary discrete-time hazard model can use a logit or complementary log-log link and flexible duration dependence.</w:t>
      </w:r>
    </w:p>
    <w:p>
      <w:pPr/>
      <w:r>
        <w:t>The exact fixed effects depend on data access, but the preferred specification should include:</w:t>
      </w:r>
    </w:p>
    <w:p>
      <w:pPr>
        <w:pStyle w:val="ListBullet"/>
      </w:pPr>
      <w:r>
        <w:t>calendar-week fixed effects;</w:t>
      </w:r>
    </w:p>
    <w:p>
      <w:pPr>
        <w:pStyle w:val="ListBullet"/>
      </w:pPr>
      <w:r>
        <w:t>rich pre-treatment covariates or matched/entropy weights;</w:t>
      </w:r>
    </w:p>
    <w:p>
      <w:pPr>
        <w:pStyle w:val="ListBullet"/>
      </w:pPr>
      <w:r>
        <w:t>non-employment-duration fixed effects for job finding;</w:t>
      </w:r>
    </w:p>
    <w:p>
      <w:pPr>
        <w:pStyle w:val="ListBullet"/>
      </w:pPr>
      <w:r>
        <w:t>job-tenure or pre-policy attachment controls for employment exit where available;</w:t>
      </w:r>
    </w:p>
    <w:p>
      <w:pPr>
        <w:pStyle w:val="ListBullet"/>
      </w:pPr>
      <w:r>
        <w:t>region-by-week and industry-by-week effects or flexible interactions, provided they do not absorb the only treatment contrast;</w:t>
      </w:r>
    </w:p>
    <w:p>
      <w:pPr>
        <w:pStyle w:val="ListBullet"/>
      </w:pPr>
      <w:r>
        <w:t>matched-pair indicators if one-to-one matching remains the design; and</w:t>
      </w:r>
    </w:p>
    <w:p>
      <w:pPr>
        <w:pStyle w:val="ListBullet"/>
      </w:pPr>
      <w:r>
        <w:t>indicators for payroll reporting cadence and employer coverage.</w:t>
      </w:r>
    </w:p>
    <w:p>
      <w:pPr/>
      <w:r>
        <w:t>The cell-level series remains useful as a transparent graphical estimand and as one inference approach, but it should not be the only analysis.</w:t>
      </w:r>
    </w:p>
    <w:p>
      <w:pPr>
        <w:pStyle w:val="Heading2"/>
      </w:pPr>
      <w:r>
        <w:t>3.4 Treat inference as a one-policy, serial-correlation problem</w:t>
      </w:r>
    </w:p>
    <w:p>
      <w:pPr/>
      <w:r>
        <w:t xml:space="preserve">The current </w:t>
      </w:r>
      <w:r>
        <w:rPr>
          <w:rFonts w:ascii="Consolas" w:hAnsi="Consolas"/>
          <w:color w:val="18364E"/>
          <w:sz w:val="19"/>
        </w:rPr>
        <w:t>feols</w:t>
      </w:r>
      <w:r>
        <w:t xml:space="preserve"> calls do not specify a variance estimator; the aggregate 48-cell regressions therefore use conventional IID errors. Weekly transition rates are serially correlated and the policy changes for one nationality group at one date. Clustering on person would not solve the fact that the identifying treatment shock has essentially one treated group.</w:t>
      </w:r>
    </w:p>
    <w:p>
      <w:pPr/>
      <w:r>
        <w:t>This problem is well known. Bertrand, Duflo, and Mullainathan show that conventional DiD standard errors can substantially over-reject with serially correlated outcomes (</w:t>
      </w:r>
      <w:hyperlink r:id="rId13">
        <w:r>
          <w:rPr>
            <w:color w:val="2C6384"/>
            <w:u w:val="single"/>
          </w:rPr>
          <w:t>QJE article</w:t>
        </w:r>
      </w:hyperlink>
      <w:r>
        <w:t>). Conley and Taber emphasise special inference issues with few policy changes (</w:t>
      </w:r>
      <w:hyperlink r:id="rId14">
        <w:r>
          <w:rPr>
            <w:color w:val="2C6384"/>
            <w:u w:val="single"/>
          </w:rPr>
          <w:t>RESTAT article</w:t>
        </w:r>
      </w:hyperlink>
      <w:r>
        <w:t>). No single off-the-shelf standard error fully resolves the current design, so the paper should show several transparent approaches.</w:t>
      </w:r>
    </w:p>
    <w:p>
      <w:pPr/>
      <w:r>
        <w:rPr>
          <w:b/>
        </w:rPr>
        <w:t>Recommended inference package</w:t>
      </w:r>
    </w:p>
    <w:p>
      <w:pPr>
        <w:pStyle w:val="ListBullet"/>
      </w:pPr>
      <w:r>
        <w:t>Collapse to a small number of pre/post averages as a conservative benchmark, recognising the effective sample size.</w:t>
      </w:r>
    </w:p>
    <w:p>
      <w:pPr>
        <w:pStyle w:val="ListBullet"/>
      </w:pPr>
      <w:r>
        <w:t>Estimate the Australian-minus-NZ weekly gap and use heteroskedasticity-and-autocorrelation-consistent time-series inference with bandwidth sensitivity.</w:t>
      </w:r>
    </w:p>
    <w:p>
      <w:pPr>
        <w:pStyle w:val="ListBullet"/>
      </w:pPr>
      <w:r>
        <w:t>Block-bootstrap calendar weeks or residual blocks, preserving the nationality contrast and serial dependence.</w:t>
      </w:r>
    </w:p>
    <w:p>
      <w:pPr>
        <w:pStyle w:val="ListBullet"/>
      </w:pPr>
      <w:r>
        <w:t>If matched pairs are retained, bootstrap the entire design: resample eligible units/pairs, reconstruct weekly risk sets, rematch/reweight if appropriate, and re-estimate.</w:t>
      </w:r>
    </w:p>
    <w:p>
      <w:pPr>
        <w:pStyle w:val="ListBullet"/>
      </w:pPr>
      <w:r>
        <w:t>Conduct randomisation-style placebo-date inference over admissible pre-period cut-offs. Be explicit that dates are not literally random; this is a reference distribution, not exact design-based inference.</w:t>
      </w:r>
    </w:p>
    <w:p>
      <w:pPr>
        <w:pStyle w:val="ListBullet"/>
      </w:pPr>
      <w:r>
        <w:t>Use multiple placebo years/dates where the same data-generating process and sample definition are available.</w:t>
      </w:r>
    </w:p>
    <w:p>
      <w:pPr>
        <w:pStyle w:val="ListBullet"/>
      </w:pPr>
      <w:r>
        <w:t>Report confidence intervals rather than using significance stars to carry the argument.</w:t>
      </w:r>
    </w:p>
    <w:p>
      <w:pPr/>
      <w:r>
        <w:t>The manuscript should say plainly that uncertainty comes from a single policy episode. Individual microdata improve outcome measurement and covariate adjustment; they do not turn one policy shock into thousands of independent shocks.</w:t>
      </w:r>
    </w:p>
    <w:p>
      <w:pPr>
        <w:pStyle w:val="Heading2"/>
      </w:pPr>
      <w:r>
        <w:t>3.5 Extend and formalise the pre-trend evidence</w:t>
      </w:r>
    </w:p>
    <w:p>
      <w:pPr/>
      <w:r>
        <w:t>The current pre-period is roughly eight weeks. A visually flat short pre-period has low power against economically important trend differences. Roth shows why passing a conventional pre-trend test does not validate the identifying assumption (</w:t>
      </w:r>
      <w:hyperlink r:id="rId15">
        <w:r>
          <w:rPr>
            <w:color w:val="2C6384"/>
            <w:u w:val="single"/>
          </w:rPr>
          <w:t>AER: Insights article</w:t>
        </w:r>
      </w:hyperlink>
      <w:r>
        <w:t>).</w:t>
      </w:r>
    </w:p>
    <w:p>
      <w:pPr/>
      <w:r>
        <w:rPr>
          <w:b/>
        </w:rPr>
        <w:t>Required work</w:t>
      </w:r>
    </w:p>
    <w:p>
      <w:pPr>
        <w:pStyle w:val="ListBullet"/>
      </w:pPr>
      <w:r>
        <w:t>Extend the weekly series through as much of 2019 as the payroll data support consistently.</w:t>
      </w:r>
    </w:p>
    <w:p>
      <w:pPr>
        <w:pStyle w:val="ListBullet"/>
      </w:pPr>
      <w:r>
        <w:t>Plot raw and composition-adjusted Australian-minus-NZ gaps.</w:t>
      </w:r>
    </w:p>
    <w:p>
      <w:pPr>
        <w:pStyle w:val="ListBullet"/>
      </w:pPr>
      <w:r>
        <w:t>Estimate event-study coefficients with one omitted pre-period and joint pre-period tests, but do not equate non-rejection with proof.</w:t>
      </w:r>
    </w:p>
    <w:p>
      <w:pPr>
        <w:pStyle w:val="ListBullet"/>
      </w:pPr>
      <w:r>
        <w:t>Show the minimum detectable pre-trend and the amount of differential trend that would overturn the conclusion.</w:t>
      </w:r>
    </w:p>
    <w:p>
      <w:pPr>
        <w:pStyle w:val="ListBullet"/>
      </w:pPr>
      <w:r>
        <w:t>Apply a Rambachan–Roth/HonestDiD-style sensitivity analysis to plausible deviations from parallel trends (</w:t>
      </w:r>
      <w:hyperlink r:id="rId16">
        <w:r>
          <w:rPr>
            <w:color w:val="2C6384"/>
            <w:u w:val="single"/>
          </w:rPr>
          <w:t>Review of Economic Studies article</w:t>
        </w:r>
      </w:hyperlink>
      <w:r>
        <w:t>).</w:t>
      </w:r>
    </w:p>
    <w:p>
      <w:pPr>
        <w:pStyle w:val="ListBullet"/>
      </w:pPr>
      <w:r>
        <w:t>Examine whether pre-trends differ by industry, occupation, region, age, payroll-reporting employer, and pre-pandemic earnings.</w:t>
      </w:r>
    </w:p>
    <w:p>
      <w:pPr>
        <w:pStyle w:val="ListBullet"/>
      </w:pPr>
      <w:r>
        <w:t>Include flexible nationality-specific linear trends only as a sensitivity check; with such a short event and a sharp pandemic shock, trend extrapolation can be highly model-dependent.</w:t>
      </w:r>
    </w:p>
    <w:p>
      <w:pPr/>
      <w:r>
        <w:t>The identifying assumption should be written in potential-outcome terms: absent the Australian policy exposure, the adjusted weekly transition path for Australians would have changed like that of comparable New Zealand citizens in Australia. Then discuss threats to that assumption one by one.</w:t>
      </w:r>
    </w:p>
    <w:p>
      <w:pPr>
        <w:pStyle w:val="Heading2"/>
      </w:pPr>
      <w:r>
        <w:t>3.6 Build and use an exact policy/event timeline</w:t>
      </w:r>
    </w:p>
    <w:p>
      <w:pPr/>
      <w:r>
        <w:t>The treatment date is not a single clean switch. The announcement, legal changes, eligibility changes, first payments, employer wage subsidies, public-health restrictions, and administrative requirements occurred on different dates.</w:t>
      </w:r>
    </w:p>
    <w:p>
      <w:pPr/>
      <w:r>
        <w:t>The Parliamentary Library records that the $550 supplement was paid from 27 April to 24 September; expanded eligibility and several waiting-period/asset-test changes began in March; mutual obligations were suspended from 24 March to 8 June and modified requirements returned from 9 June (</w:t>
      </w:r>
      <w:hyperlink r:id="rId17">
        <w:r>
          <w:rPr>
            <w:color w:val="2C6384"/>
            <w:u w:val="single"/>
          </w:rPr>
          <w:t>Parliamentary Library timeline</w:t>
        </w:r>
      </w:hyperlink>
      <w:r>
        <w:t>). The main R script currently uses 22 March as the conceptual treatment date but a Thursday week cut-off of 19 March. That can be reasonable for weekly aggregation, but it must be explained and tested.</w:t>
      </w:r>
    </w:p>
    <w:p>
      <w:pPr/>
      <w:r>
        <w:t>Create a main-text timeline with at least:</w:t>
      </w:r>
    </w:p>
    <w:p>
      <w:pPr>
        <w:pStyle w:val="ListBullet"/>
      </w:pPr>
      <w:r>
        <w:t>national and state containment announcements/effective dates;</w:t>
      </w:r>
    </w:p>
    <w:p>
      <w:pPr>
        <w:pStyle w:val="ListBullet"/>
      </w:pPr>
      <w:r>
        <w:t>JobSeeker eligibility changes;</w:t>
      </w:r>
    </w:p>
    <w:p>
      <w:pPr>
        <w:pStyle w:val="ListBullet"/>
      </w:pPr>
      <w:r>
        <w:t>Coronavirus Supplement announcement and first entitlement/payment dates;</w:t>
      </w:r>
    </w:p>
    <w:p>
      <w:pPr>
        <w:pStyle w:val="ListBullet"/>
      </w:pPr>
      <w:r>
        <w:t>mutual-obligation suspension and staged resumption;</w:t>
      </w:r>
    </w:p>
    <w:p>
      <w:pPr>
        <w:pStyle w:val="ListBullet"/>
      </w:pPr>
      <w:r>
        <w:t>JobKeeper announcement, eligibility reference dates, and payment operation;</w:t>
      </w:r>
    </w:p>
    <w:p>
      <w:pPr>
        <w:pStyle w:val="ListBullet"/>
      </w:pPr>
      <w:r>
        <w:t>relevant payroll/STP processing dates; and</w:t>
      </w:r>
    </w:p>
    <w:p>
      <w:pPr>
        <w:pStyle w:val="ListBullet"/>
      </w:pPr>
      <w:r>
        <w:t>Victoria-specific changes.</w:t>
      </w:r>
    </w:p>
    <w:p>
      <w:pPr/>
      <w:r>
        <w:t>Estimate separate announcement and payment windows where possible. At minimum, show sensitivity to cut-offs at 22 March, 23/24 March, early April, and 27 April, and allow for anticipation and payment lags.</w:t>
      </w:r>
    </w:p>
    <w:p>
      <w:pPr>
        <w:pStyle w:val="Heading2"/>
      </w:pPr>
      <w:r>
        <w:t>3.7 Deal directly with the policy bundle and JobKeeper</w:t>
      </w:r>
    </w:p>
    <w:p>
      <w:pPr/>
      <w:r>
        <w:t>The Australian group experienced several nationality-linked or employer-linked interventions. A single April indicator is not enough to “control for JobKeeper.” JobKeeper materially preserved employment: Australian Treasury estimates that it directly preserved roughly 300,000–700,000 jobs at its height (</w:t>
      </w:r>
      <w:hyperlink r:id="rId18">
        <w:r>
          <w:rPr>
            <w:color w:val="2C6384"/>
            <w:u w:val="single"/>
          </w:rPr>
          <w:t>Treasury study</w:t>
        </w:r>
      </w:hyperlink>
      <w:r>
        <w:t>). The RBA also documented how JobKeeper retained people with zero hours and altered measured employment transitions (</w:t>
      </w:r>
      <w:hyperlink r:id="rId19">
        <w:r>
          <w:rPr>
            <w:color w:val="2C6384"/>
            <w:u w:val="single"/>
          </w:rPr>
          <w:t>RBA August 2020</w:t>
        </w:r>
      </w:hyperlink>
      <w:r>
        <w:t>).</w:t>
      </w:r>
    </w:p>
    <w:p>
      <w:pPr/>
      <w:r>
        <w:rPr>
          <w:b/>
        </w:rPr>
        <w:t>Preferred approaches, in order</w:t>
      </w:r>
    </w:p>
    <w:p>
      <w:pPr>
        <w:pStyle w:val="ListNumber"/>
      </w:pPr>
      <w:r>
        <w:t>Link actual JobKeeper employer/employee receipt or firm eligibility if available.</w:t>
      </w:r>
    </w:p>
    <w:p>
      <w:pPr>
        <w:pStyle w:val="ListNumber"/>
      </w:pPr>
      <w:r>
        <w:t>Exclude JobKeeper-supported employment and separately analyse supported and unsupported jobs.</w:t>
      </w:r>
    </w:p>
    <w:p>
      <w:pPr>
        <w:pStyle w:val="ListNumber"/>
      </w:pPr>
      <w:r>
        <w:t>Use credible firm-level eligibility discontinuities or predicted exposure based only on pre-pandemic firm characteristics.</w:t>
      </w:r>
    </w:p>
    <w:p>
      <w:pPr>
        <w:pStyle w:val="ListNumber"/>
      </w:pPr>
      <w:r>
        <w:t>Restrict to firms/workers clearly ineligible for JobKeeper and show external-validity limits.</w:t>
      </w:r>
    </w:p>
    <w:p>
      <w:pPr>
        <w:pStyle w:val="ListNumber"/>
      </w:pPr>
      <w:r>
        <w:t>If none is possible, use employer/industry exposure measures and label residual confounding honestly.</w:t>
      </w:r>
    </w:p>
    <w:p>
      <w:pPr/>
      <w:r>
        <w:t>For the job-finding outcome, JobKeeper can affect vacancy creation and competition. For employment exits, it directly affects retention. A simple national April dummy interacted with nationality is not a substitute for exposure data.</w:t>
      </w:r>
    </w:p>
    <w:p>
      <w:pPr/>
      <w:r>
        <w:t>The broader treatment includes eligibility expansions, assets and waiting-period waivers, partner-income changes, and mutual-obligation suspension. Unless variation separates these components, the main causal label should be “the JobSeeker expansion/policy bundle.” The supplement level is an important component and can be the modelled channel, but it is not automatically the reduced-form treatment.</w:t>
      </w:r>
    </w:p>
    <w:p>
      <w:pPr>
        <w:pStyle w:val="Heading2"/>
      </w:pPr>
      <w:r>
        <w:t>3.8 Improve matching and overlap diagnostics</w:t>
      </w:r>
    </w:p>
    <w:p>
      <w:pPr/>
      <w:r>
        <w:t>The paper reports one-to-one nearest-neighbour propensity-score matching without replacement using a probit model. The current balance section mainly plots distributions or counts. A journal-ready design needs diagnostics that demonstrate balance, overlap, and the consequences of matching choices.</w:t>
      </w:r>
    </w:p>
    <w:p>
      <w:pPr/>
      <w:r>
        <w:rPr>
          <w:b/>
        </w:rPr>
        <w:t>Required table and figures</w:t>
      </w:r>
    </w:p>
    <w:p>
      <w:pPr>
        <w:pStyle w:val="ListBullet"/>
      </w:pPr>
      <w:r>
        <w:t>Sample sizes before and after every restriction, separately by group.</w:t>
      </w:r>
    </w:p>
    <w:p>
      <w:pPr>
        <w:pStyle w:val="ListBullet"/>
      </w:pPr>
      <w:r>
        <w:t>Standardised mean differences before and after matching for every covariate and important interactions.</w:t>
      </w:r>
    </w:p>
    <w:p>
      <w:pPr>
        <w:pStyle w:val="ListBullet"/>
      </w:pPr>
      <w:r>
        <w:t>Variance ratios for continuous covariates.</w:t>
      </w:r>
    </w:p>
    <w:p>
      <w:pPr>
        <w:pStyle w:val="ListBullet"/>
      </w:pPr>
      <w:r>
        <w:t>Propensity-score/common-support densities and the fraction trimmed.</w:t>
      </w:r>
    </w:p>
    <w:p>
      <w:pPr>
        <w:pStyle w:val="ListBullet"/>
      </w:pPr>
      <w:r>
        <w:t>A Love plot with a pre-specified balance threshold.</w:t>
      </w:r>
    </w:p>
    <w:p>
      <w:pPr>
        <w:pStyle w:val="ListBullet"/>
      </w:pPr>
      <w:r>
        <w:t>Balance in pre-policy outcomes: employment, earnings, job-finding, employment exits, spell duration, and employer attachment.</w:t>
      </w:r>
    </w:p>
    <w:p>
      <w:pPr>
        <w:pStyle w:val="ListBullet"/>
      </w:pPr>
      <w:r>
        <w:t>The number of treated units for which close controls were unavailable.</w:t>
      </w:r>
    </w:p>
    <w:p>
      <w:pPr/>
      <w:r>
        <w:rPr>
          <w:b/>
        </w:rPr>
        <w:t>Specification checks</w:t>
      </w:r>
    </w:p>
    <w:p>
      <w:pPr>
        <w:pStyle w:val="ListBullet"/>
      </w:pPr>
      <w:r>
        <w:t>Use only pre-treatment covariates and fixed definitions.</w:t>
      </w:r>
    </w:p>
    <w:p>
      <w:pPr>
        <w:pStyle w:val="ListBullet"/>
      </w:pPr>
      <w:r>
        <w:t>Add a caliper and report sensitivity to its width.</w:t>
      </w:r>
    </w:p>
    <w:p>
      <w:pPr>
        <w:pStyle w:val="ListBullet"/>
      </w:pPr>
      <w:r>
        <w:t>Compare matching with replacement, inverse-probability weighting, overlap weights, entropy balancing, and coarsened exact matching.</w:t>
      </w:r>
    </w:p>
    <w:p>
      <w:pPr>
        <w:pStyle w:val="ListBullet"/>
      </w:pPr>
      <w:r>
        <w:t>Retain the matched-pair structure in estimation and resampling.</w:t>
      </w:r>
    </w:p>
    <w:p>
      <w:pPr>
        <w:pStyle w:val="ListBullet"/>
      </w:pPr>
      <w:r>
        <w:t>Do not select the preferred estimator based on which gives the most significant treatment effect.</w:t>
      </w:r>
    </w:p>
    <w:p>
      <w:pPr/>
      <w:r>
        <w:t>Matching does not make nationality as-good-as-random. It improves comparability on observables; the core counterfactual still requires a conditional parallel-trends assumption.</w:t>
      </w:r>
    </w:p>
    <w:p>
      <w:pPr>
        <w:pStyle w:val="Heading2"/>
      </w:pPr>
      <w:r>
        <w:t>3.9 Validate the employment measures</w:t>
      </w:r>
    </w:p>
    <w:p>
      <w:pPr/>
      <w:r>
        <w:t>STP/payroll records are powerful but a missing payment is not automatically non-employment. Payment cadence, late reporting, corrections, zero-hour retention, employer adoption, and self-employment can all create apparent transitions.</w:t>
      </w:r>
    </w:p>
    <w:p>
      <w:pPr/>
      <w:r>
        <w:t>Perform the following validation:</w:t>
      </w:r>
    </w:p>
    <w:p>
      <w:pPr>
        <w:pStyle w:val="ListBullet"/>
      </w:pPr>
      <w:r>
        <w:t>Compare weekly payroll employment with quarterly/annual tax employment and, if possible, labour-force or benefit-status indicators.</w:t>
      </w:r>
    </w:p>
    <w:p>
      <w:pPr>
        <w:pStyle w:val="ListBullet"/>
      </w:pPr>
      <w:r>
        <w:t>Require alternative persistence windows: one, two, and four weeks.</w:t>
      </w:r>
    </w:p>
    <w:p>
      <w:pPr>
        <w:pStyle w:val="ListBullet"/>
      </w:pPr>
      <w:r>
        <w:t>Distinguish zero pay, no STP report, employer exit, and person exit where possible.</w:t>
      </w:r>
    </w:p>
    <w:p>
      <w:pPr>
        <w:pStyle w:val="ListBullet"/>
      </w:pPr>
      <w:r>
        <w:t>Exclude or separately analyse irregular payers and employers entering/leaving STP coverage.</w:t>
      </w:r>
    </w:p>
    <w:p>
      <w:pPr>
        <w:pStyle w:val="ListBullet"/>
      </w:pPr>
      <w:r>
        <w:t>Align pay periods rather than payment-processing dates if the data permit.</w:t>
      </w:r>
    </w:p>
    <w:p>
      <w:pPr>
        <w:pStyle w:val="ListBullet"/>
      </w:pPr>
      <w:r>
        <w:t>Test fortnightly aggregation, which may better match benefit and payroll cadence.</w:t>
      </w:r>
    </w:p>
    <w:p>
      <w:pPr>
        <w:pStyle w:val="ListBullet"/>
      </w:pPr>
      <w:r>
        <w:t>Examine self-employment/sole-trader income separately.</w:t>
      </w:r>
    </w:p>
    <w:p>
      <w:pPr>
        <w:pStyle w:val="ListBullet"/>
      </w:pPr>
      <w:r>
        <w:t>Report sensitivity to jobs with concurrent employers and define whether employment means any job or the main job.</w:t>
      </w:r>
    </w:p>
    <w:p>
      <w:pPr/>
      <w:r>
        <w:t xml:space="preserve">Unless voluntary quits can be distinguished from layoffs, stand-downs, firm closures, and reporting lapses, call the outcome </w:t>
      </w:r>
      <w:r>
        <w:rPr>
          <w:b/>
        </w:rPr>
        <w:t>exit from recorded payroll employment</w:t>
      </w:r>
      <w:r>
        <w:t xml:space="preserve"> or </w:t>
      </w:r>
      <w:r>
        <w:rPr>
          <w:b/>
        </w:rPr>
        <w:t>employment exit</w:t>
      </w:r>
      <w:r>
        <w:t>, not a worker separation decision. This wording matters especially because the structural model interprets exits through worker surplus.</w:t>
      </w:r>
    </w:p>
    <w:p>
      <w:pPr>
        <w:pStyle w:val="Heading2"/>
      </w:pPr>
      <w:r>
        <w:t>3.10 Rebuild the earnings analysis or remove the claim</w:t>
      </w:r>
    </w:p>
    <w:p>
      <w:pPr/>
      <w:r>
        <w:t>The abstract, introduction, and conclusion claim that the policy produced no subsequent earnings gain or re-employment-quality improvement. The reviewed earnings script produces descriptive annual income indices; it does not estimate a treatment effect with uncertainty. It also contains an unresolved tension between comments about unconditional earnings with zeros and a filter apparently focused on positive/pre-income observations.</w:t>
      </w:r>
    </w:p>
    <w:p>
      <w:pPr/>
      <w:r>
        <w:t>To retain the earnings claim, provide:</w:t>
      </w:r>
    </w:p>
    <w:p>
      <w:pPr>
        <w:pStyle w:val="ListBullet"/>
      </w:pPr>
      <w:r>
        <w:t>clearly defined unconditional annual and quarterly labour earnings, including zeros;</w:t>
      </w:r>
    </w:p>
    <w:p>
      <w:pPr>
        <w:pStyle w:val="ListBullet"/>
      </w:pPr>
      <w:r>
        <w:t>conditional earnings among the re-employed, explicitly acknowledging selection;</w:t>
      </w:r>
    </w:p>
    <w:p>
      <w:pPr>
        <w:pStyle w:val="ListBullet"/>
      </w:pPr>
      <w:r>
        <w:t>weekly/fortnightly earnings and hours if available;</w:t>
      </w:r>
    </w:p>
    <w:p>
      <w:pPr>
        <w:pStyle w:val="ListBullet"/>
      </w:pPr>
      <w:r>
        <w:t>formal DiD/event-study estimates with confidence intervals;</w:t>
      </w:r>
    </w:p>
    <w:p>
      <w:pPr>
        <w:pStyle w:val="ListBullet"/>
      </w:pPr>
      <w:r>
        <w:t>re-employment wage, employer quality, occupation/industry change, hours, and job retention at 13/26/52 weeks;</w:t>
      </w:r>
    </w:p>
    <w:p>
      <w:pPr>
        <w:pStyle w:val="ListBullet"/>
      </w:pPr>
      <w:r>
        <w:t>2021 and 2022 outcomes, not only the initial recovery;</w:t>
      </w:r>
    </w:p>
    <w:p>
      <w:pPr>
        <w:pStyle w:val="ListBullet"/>
      </w:pPr>
      <w:r>
        <w:t>bounds or reweighting for selection into re-employment; and</w:t>
      </w:r>
    </w:p>
    <w:p>
      <w:pPr>
        <w:pStyle w:val="ListBullet"/>
      </w:pPr>
      <w:r>
        <w:t>total income, taxes, and transfers if making public-finance or consumption-smoothing claims.</w:t>
      </w:r>
    </w:p>
    <w:p>
      <w:pPr/>
      <w:r>
        <w:t>If those analyses are not feasible, remove “no later earnings benefit” from the abstract and causal contribution. A descriptive figure can remain as secondary context with suitably limited language.</w:t>
      </w:r>
    </w:p>
    <w:p>
      <w:pPr>
        <w:pStyle w:val="Heading2"/>
      </w:pPr>
      <w:r>
        <w:t>3.11 Estimate mutual-obligation effects with a direct triple difference</w:t>
      </w:r>
    </w:p>
    <w:p>
      <w:pPr/>
      <w:r>
        <w:t>The current Victoria exercise runs separate regressions for Victoria and the rest of Australia. One insignificant estimate and one significant estimate do not establish that the two effects differ. The test must be the interaction between them.</w:t>
      </w:r>
    </w:p>
    <w:p>
      <w:pPr/>
      <w:r>
        <w:t>Estimate a pooled model containing:</w:t>
      </w:r>
    </w:p>
    <w:p>
      <w:pPr/>
      <w:r>
        <w:rPr>
          <w:rFonts w:ascii="Consolas" w:hAnsi="Consolas"/>
          <w:color w:val="18364E"/>
          <w:sz w:val="19"/>
        </w:rPr>
        <w:t>Australian x Post x NonVictoria</w:t>
      </w:r>
      <w:r>
        <w:t>,</w:t>
      </w:r>
    </w:p>
    <w:p>
      <w:pPr/>
      <w:r>
        <w:t>with all lower-order interactions, and directly test the triple-difference coefficient. Use the correct announcement and effective dates, show event-time plots, and explain why Victoria is a valid comparison given its distinct outbreak and restrictions. The RBA documents that Victoria’s employment path diverged as restrictions changed, which is exactly the potential confound (</w:t>
      </w:r>
      <w:hyperlink r:id="rId19">
        <w:r>
          <w:rPr>
            <w:color w:val="2C6384"/>
            <w:u w:val="single"/>
          </w:rPr>
          <w:t>RBA August 2020</w:t>
        </w:r>
      </w:hyperlink>
      <w:r>
        <w:t>).</w:t>
      </w:r>
    </w:p>
    <w:p>
      <w:pPr/>
      <w:r>
        <w:t>The interpretation should be modest: the exercise may show whether the nationality gap changed differentially when requirements resumed outside Victoria. It does not by itself isolate “motivation” or prove that mutual obligations were irrelevant.</w:t>
      </w:r>
    </w:p>
    <w:p>
      <w:pPr>
        <w:pStyle w:val="Heading2"/>
      </w:pPr>
      <w:r>
        <w:t>3.12 Redesign heterogeneity around actual replacement rates</w:t>
      </w:r>
    </w:p>
    <w:p>
      <w:pPr/>
      <w:r>
        <w:t>The paper’s current income heterogeneity has estimated job-finding DiDs of roughly -2.37, -4.25, and -6.04 percentage points across low-, middle-, and high-income groups. That pattern is not a clean replacement-rate gradient; with a flat supplement, lower prior earnings would normally imply a larger proportional benefit increase, all else equal.</w:t>
      </w:r>
    </w:p>
    <w:p>
      <w:pPr/>
      <w:r>
        <w:t>The model-15 replacement-rate validation currently labels those three empirical values as low/middle/high replacement-rate targets and assigns placeholder pre-period replacement rates of 0.14, 0.28, and 0.45. This mapping must not appear in the paper. It reverses or at least obscures the relation between income and replacement rate and is explicitly based on placeholders.</w:t>
      </w:r>
    </w:p>
    <w:p>
      <w:pPr/>
      <w:r>
        <w:rPr>
          <w:b/>
        </w:rPr>
        <w:t>Required redesign</w:t>
      </w:r>
    </w:p>
    <w:p>
      <w:pPr>
        <w:pStyle w:val="ListBullet"/>
      </w:pPr>
      <w:r>
        <w:t>Calculate each individual’s statutory baseline and post-reform entitlement using household status, partner income, dependants, assets/waiting rules where observable, and prior earnings.</w:t>
      </w:r>
    </w:p>
    <w:p>
      <w:pPr>
        <w:pStyle w:val="ListBullet"/>
      </w:pPr>
      <w:r>
        <w:t>Define the replacement rate as total relevant payment divided by a clearly specified pre-displacement wage measure.</w:t>
      </w:r>
    </w:p>
    <w:p>
      <w:pPr>
        <w:pStyle w:val="ListBullet"/>
      </w:pPr>
      <w:r>
        <w:t>Avoid mechanically using post-treatment realised benefits to classify treatment intensity.</w:t>
      </w:r>
    </w:p>
    <w:p>
      <w:pPr>
        <w:pStyle w:val="ListBullet"/>
      </w:pPr>
      <w:r>
        <w:t>Estimate a pooled interaction between policy exposure and the continuous predicted replacement-rate change, allowing flexible bins/splines.</w:t>
      </w:r>
    </w:p>
    <w:p>
      <w:pPr>
        <w:pStyle w:val="ListBullet"/>
      </w:pPr>
      <w:r>
        <w:t>Report a direct equality/trend test across groups and adjust for multiple testing.</w:t>
      </w:r>
    </w:p>
    <w:p>
      <w:pPr>
        <w:pStyle w:val="ListBullet"/>
      </w:pPr>
      <w:r>
        <w:t>Separate replacement-rate variation from industry, occupation, age, household status, and pandemic exposure.</w:t>
      </w:r>
    </w:p>
    <w:p>
      <w:pPr>
        <w:pStyle w:val="ListBullet"/>
      </w:pPr>
      <w:r>
        <w:t>Show both absolute benefit changes and proportional replacement-rate changes.</w:t>
      </w:r>
    </w:p>
    <w:p>
      <w:pPr/>
      <w:r>
        <w:t>Do not compare coefficients by whether each is separately significant. Test their differences.</w:t>
      </w:r>
    </w:p>
    <w:p>
      <w:pPr>
        <w:pStyle w:val="Heading2"/>
      </w:pPr>
      <w:r>
        <w:t>3.13 Strengthen placebo and robustness exercises</w:t>
      </w:r>
    </w:p>
    <w:p>
      <w:pPr/>
      <w:r>
        <w:t>The current 2022 and non-JobSeeker placebos are useful beginnings but do not cure the main sample-selection and inference problems.</w:t>
      </w:r>
    </w:p>
    <w:p>
      <w:pPr/>
      <w:r>
        <w:t>Add:</w:t>
      </w:r>
    </w:p>
    <w:p>
      <w:pPr>
        <w:pStyle w:val="ListBullet"/>
      </w:pPr>
      <w:r>
        <w:t>multiple pseudo-policy dates in 2019 and, where comparable, later years;</w:t>
      </w:r>
    </w:p>
    <w:p>
      <w:pPr>
        <w:pStyle w:val="ListBullet"/>
      </w:pPr>
      <w:r>
        <w:t>the exact same cohort/risk-set algorithm in every placebo;</w:t>
      </w:r>
    </w:p>
    <w:p>
      <w:pPr>
        <w:pStyle w:val="ListBullet"/>
      </w:pPr>
      <w:r>
        <w:t>negative-control outcomes that should not react immediately to the supplement;</w:t>
      </w:r>
    </w:p>
    <w:p>
      <w:pPr>
        <w:pStyle w:val="ListBullet"/>
      </w:pPr>
      <w:r>
        <w:t>alternative pre/post windows chosen by a pre-stated rule;</w:t>
      </w:r>
    </w:p>
    <w:p>
      <w:pPr>
        <w:pStyle w:val="ListBullet"/>
      </w:pPr>
      <w:r>
        <w:t>inclusion/exclusion of the July observation currently removed in code, with a documented reason independent of its effect on estimates;</w:t>
      </w:r>
    </w:p>
    <w:p>
      <w:pPr>
        <w:pStyle w:val="ListBullet"/>
      </w:pPr>
      <w:r>
        <w:t>fortnightly versus weekly aggregation;</w:t>
      </w:r>
    </w:p>
    <w:p>
      <w:pPr>
        <w:pStyle w:val="ListBullet"/>
      </w:pPr>
      <w:r>
        <w:t>alternative employment persistence definitions;</w:t>
      </w:r>
    </w:p>
    <w:p>
      <w:pPr>
        <w:pStyle w:val="ListBullet"/>
      </w:pPr>
      <w:r>
        <w:t>alternative matching/weighting estimators;</w:t>
      </w:r>
    </w:p>
    <w:p>
      <w:pPr>
        <w:pStyle w:val="ListBullet"/>
      </w:pPr>
      <w:r>
        <w:t>exclusions for border departures and direct evidence of Australian residence;</w:t>
      </w:r>
    </w:p>
    <w:p>
      <w:pPr>
        <w:pStyle w:val="ListBullet"/>
      </w:pPr>
      <w:r>
        <w:t>balanced-panel versus open-cohort comparisons; and</w:t>
      </w:r>
    </w:p>
    <w:p>
      <w:pPr>
        <w:pStyle w:val="ListBullet"/>
      </w:pPr>
      <w:r>
        <w:t>leave-one-industry, leave-one-region, and leave-one-age-group-out estimates.</w:t>
      </w:r>
    </w:p>
    <w:p>
      <w:pPr/>
      <w:r>
        <w:t>Summarise these in specification curves or a compact robustness table, not dozens of selectively discussed regressions.</w:t>
      </w:r>
    </w:p>
    <w:p>
      <w:pPr>
        <w:pStyle w:val="Heading2"/>
      </w:pPr>
      <w:r>
        <w:t>3.14 Reproducibility and data governance</w:t>
      </w:r>
    </w:p>
    <w:p>
      <w:pPr/>
      <w:r>
        <w:t>The reviewed folder contains analysis scripts that start from cleared aggregate CSV/XLSX files. It does not contain the code that constructs the microdata cohort, assigns citizenship/eligibility, builds weekly employment histories, computes transition risks, or performs the original matching. For an administrative-data paper, that construction layer is the most important part of the replication chain.</w:t>
      </w:r>
    </w:p>
    <w:p>
      <w:pPr/>
      <w:r>
        <w:t>Create:</w:t>
      </w:r>
    </w:p>
    <w:p>
      <w:pPr>
        <w:pStyle w:val="ListBullet"/>
      </w:pPr>
      <w:r>
        <w:t>one top-level data-build driver in the secure environment;</w:t>
      </w:r>
    </w:p>
    <w:p>
      <w:pPr>
        <w:pStyle w:val="ListBullet"/>
      </w:pPr>
      <w:r>
        <w:t>immutable raw-to-analysis stages with logged row counts and checksums;</w:t>
      </w:r>
    </w:p>
    <w:p>
      <w:pPr>
        <w:pStyle w:val="ListBullet"/>
      </w:pPr>
      <w:r>
        <w:t>a data dictionary and variable provenance table;</w:t>
      </w:r>
    </w:p>
    <w:p>
      <w:pPr>
        <w:pStyle w:val="ListBullet"/>
      </w:pPr>
      <w:r>
        <w:t>unit tests for citizenship, residence, eligibility, spell construction, payment cadence, and transition definitions;</w:t>
      </w:r>
    </w:p>
    <w:p>
      <w:pPr>
        <w:pStyle w:val="ListBullet"/>
      </w:pPr>
      <w:r>
        <w:t>a synthetic microdataset that runs every public analysis script;</w:t>
      </w:r>
    </w:p>
    <w:p>
      <w:pPr>
        <w:pStyle w:val="ListBullet"/>
      </w:pPr>
      <w:r>
        <w:t>cleared sufficient statistics and output tables that can be independently checked;</w:t>
      </w:r>
    </w:p>
    <w:p>
      <w:pPr>
        <w:pStyle w:val="ListBullet"/>
      </w:pPr>
      <w:r>
        <w:t>a README specifying software versions and execution order; and</w:t>
      </w:r>
    </w:p>
    <w:p>
      <w:pPr>
        <w:pStyle w:val="ListBullet"/>
      </w:pPr>
      <w:r>
        <w:t>a disclosure-risk plan consistent with ABS/ATO/DSS requirements.</w:t>
      </w:r>
    </w:p>
    <w:p>
      <w:pPr/>
      <w:r>
        <w:t>The paper should include a precise data-availability statement explaining secure-access restrictions and what replication files will be public.</w:t>
      </w:r>
    </w:p>
    <w:p>
      <w:pPr>
        <w:pStyle w:val="Heading2"/>
      </w:pPr>
      <w:r>
        <w:t>3.15 Preferred empirical exhibit package</w:t>
      </w:r>
    </w:p>
    <w:p>
      <w:pPr/>
      <w:r>
        <w:t>The main paper should aim for a small number of decisive exhibits:</w:t>
      </w:r>
    </w:p>
    <w:p>
      <w:pPr>
        <w:pStyle w:val="ListNumber"/>
      </w:pPr>
      <w:r>
        <w:rPr>
          <w:b/>
        </w:rPr>
        <w:t>Institutional timeline and identification diagram.</w:t>
      </w:r>
      <w:r>
        <w:t xml:space="preserve"> Who is eligible, when each policy component changes, and what comparison identifies.</w:t>
      </w:r>
    </w:p>
    <w:p>
      <w:pPr>
        <w:pStyle w:val="ListNumber"/>
      </w:pPr>
      <w:r>
        <w:rPr>
          <w:b/>
        </w:rPr>
        <w:t>Cohort/balance table.</w:t>
      </w:r>
      <w:r>
        <w:t xml:space="preserve"> Pre-policy characteristics, outcomes, support, and standardised differences.</w:t>
      </w:r>
    </w:p>
    <w:p>
      <w:pPr>
        <w:pStyle w:val="ListNumber"/>
      </w:pPr>
      <w:r>
        <w:rPr>
          <w:b/>
        </w:rPr>
        <w:t>Event-study figure.</w:t>
      </w:r>
      <w:r>
        <w:t xml:space="preserve"> Australian-minus-NZ job-finding and employment-exit gaps with a long pre-period and uncertainty.</w:t>
      </w:r>
    </w:p>
    <w:p>
      <w:pPr>
        <w:pStyle w:val="ListNumber"/>
      </w:pPr>
      <w:r>
        <w:rPr>
          <w:b/>
        </w:rPr>
        <w:t>Main effects table.</w:t>
      </w:r>
      <w:r>
        <w:t xml:space="preserve"> Preferred person-week estimates plus conservative inference variants and exact risk-set definitions.</w:t>
      </w:r>
    </w:p>
    <w:p>
      <w:pPr>
        <w:pStyle w:val="ListNumber"/>
      </w:pPr>
      <w:r>
        <w:rPr>
          <w:b/>
        </w:rPr>
        <w:t>Threats/robustness table.</w:t>
      </w:r>
      <w:r>
        <w:t xml:space="preserve"> JobKeeper, alternative dates, outcome persistence, cohort definitions, and trend sensitivity.</w:t>
      </w:r>
    </w:p>
    <w:p>
      <w:pPr>
        <w:pStyle w:val="ListNumber"/>
      </w:pPr>
      <w:r>
        <w:rPr>
          <w:b/>
        </w:rPr>
        <w:t>Mechanism/heterogeneity figure.</w:t>
      </w:r>
      <w:r>
        <w:t xml:space="preserve"> Actual predicted replacement-rate variation, not income labels.</w:t>
      </w:r>
    </w:p>
    <w:p>
      <w:pPr>
        <w:pStyle w:val="ListNumber"/>
      </w:pPr>
      <w:r>
        <w:rPr>
          <w:b/>
        </w:rPr>
        <w:t>Structural model figure/table.</w:t>
      </w:r>
      <w:r>
        <w:t xml:space="preserve"> Fit, held-out prediction range, and decomposition including interactions.</w:t>
      </w:r>
    </w:p>
    <w:p>
      <w:pPr/>
      <w:r>
        <w:t>Everything else can move to the online appendix.</w:t>
      </w:r>
    </w:p>
    <w:p>
      <w:r>
        <w:br w:type="page"/>
      </w:r>
    </w:p>
    <w:p>
      <w:pPr>
        <w:pStyle w:val="Heading1"/>
      </w:pPr>
      <w:r>
        <w:t>4. Structural-model work required</w:t>
      </w:r>
    </w:p>
    <w:p>
      <w:pPr>
        <w:pStyle w:val="Heading2"/>
      </w:pPr>
      <w:r>
        <w:t>4.1 What model 15 improves</w:t>
      </w:r>
    </w:p>
    <w:p>
      <w:pPr/>
      <w:r>
        <w:t>Model 15 is a meaningful advance over version 14.</w:t>
      </w:r>
    </w:p>
    <w:p>
      <w:pPr>
        <w:pStyle w:val="ListBullet"/>
      </w:pPr>
      <w:r>
        <w:t>Employment exits are bounded probabilities rather than a direct unbounded additive function.</w:t>
      </w:r>
    </w:p>
    <w:p>
      <w:pPr>
        <w:pStyle w:val="ListBullet"/>
      </w:pPr>
      <w:r>
        <w:t>Benefits and work disutility interact through a common surplus index.</w:t>
      </w:r>
    </w:p>
    <w:p>
      <w:pPr>
        <w:pStyle w:val="ListBullet"/>
      </w:pPr>
      <w:r>
        <w:t>The Australian post job-finding moment is genuinely held out from the calibration sequence.</w:t>
      </w:r>
    </w:p>
    <w:p>
      <w:pPr>
        <w:pStyle w:val="ListBullet"/>
      </w:pPr>
      <w:r>
        <w:t>The model produces transparent scenario files and a restricted parameter grid.</w:t>
      </w:r>
    </w:p>
    <w:p>
      <w:pPr>
        <w:pStyle w:val="ListBullet"/>
      </w:pPr>
      <w:r>
        <w:t>The code is sufficiently self-contained to reproduce the stored outputs.</w:t>
      </w:r>
    </w:p>
    <w:p>
      <w:pPr/>
      <w:r>
        <w:t>These strengths should be retained. The next revision should focus on identification, economic consistency, uncertainty, and exposition.</w:t>
      </w:r>
    </w:p>
    <w:p>
      <w:pPr>
        <w:pStyle w:val="Heading2"/>
      </w:pPr>
      <w:r>
        <w:t>4.2 Do not select the benchmark by numerical tie-breaking</w:t>
      </w:r>
    </w:p>
    <w:p>
      <w:pPr/>
      <w:r>
        <w:t xml:space="preserve">The grid chooses </w:t>
      </w:r>
      <w:r>
        <w:rPr>
          <w:rFonts w:ascii="Consolas" w:hAnsi="Consolas"/>
          <w:color w:val="18364E"/>
          <w:sz w:val="19"/>
        </w:rPr>
        <w:t>eta = 100</w:t>
      </w:r>
      <w:r>
        <w:t xml:space="preserve">, separation threshold </w:t>
      </w:r>
      <w:r>
        <w:rPr>
          <w:rFonts w:ascii="Consolas" w:hAnsi="Consolas"/>
          <w:color w:val="18364E"/>
          <w:sz w:val="19"/>
        </w:rPr>
        <w:t>0.10</w:t>
      </w:r>
      <w:r>
        <w:t xml:space="preserve">, and separation dispersion </w:t>
      </w:r>
      <w:r>
        <w:rPr>
          <w:rFonts w:ascii="Consolas" w:hAnsi="Consolas"/>
          <w:color w:val="18364E"/>
          <w:sz w:val="19"/>
        </w:rPr>
        <w:t>0.04</w:t>
      </w:r>
      <w:r>
        <w:t xml:space="preserve"> because that combination has the smallest fitted loss on moments that many other combinations fit almost exactly. Several alternatives have losses identical to many decimal places but radically different held-out predictions.</w:t>
      </w:r>
    </w:p>
    <w:p>
      <w:pPr/>
      <w:r>
        <w:t>For example, among specifications with fitted loss below 0.01:</w:t>
      </w:r>
    </w:p>
    <w:p>
      <w:pPr>
        <w:pStyle w:val="ListBullet"/>
      </w:pPr>
      <w:r>
        <w:t>the held-out Australian post job-finding error spans -2.84 to +0.48 percentage points;</w:t>
      </w:r>
    </w:p>
    <w:p>
      <w:pPr>
        <w:pStyle w:val="ListBullet"/>
      </w:pPr>
      <w:r>
        <w:t>the model-implied job-finding DiD spans -4.49 to -1.23 percentage points; and</w:t>
      </w:r>
    </w:p>
    <w:p>
      <w:pPr>
        <w:pStyle w:val="ListBullet"/>
      </w:pPr>
      <w:r>
        <w:t>the R-minus-N work wedge spans 5.36% to 41.43% of the wage.</w:t>
      </w:r>
    </w:p>
    <w:p>
      <w:pPr/>
      <w:r>
        <w:t>This is not ordinary sampling noise. It is weak identification/functional-form sensitivity.</w:t>
      </w:r>
    </w:p>
    <w:p>
      <w:pPr/>
      <w:r>
        <w:rPr>
          <w:b/>
        </w:rPr>
        <w:t>Required response</w:t>
      </w:r>
    </w:p>
    <w:p>
      <w:pPr/>
      <w:r>
        <w:t>Choose one of three defensible approaches:</w:t>
      </w:r>
    </w:p>
    <w:p>
      <w:pPr>
        <w:pStyle w:val="ListNumber"/>
      </w:pPr>
      <w:r>
        <w:rPr>
          <w:b/>
        </w:rPr>
        <w:t>Set identification (recommended).</w:t>
      </w:r>
      <w:r>
        <w:t xml:space="preserve"> Define an economically admissible parameter set and report the range of target and counterfactual outcomes for all parameters that fit the empirical moments within their confidence region.</w:t>
      </w:r>
    </w:p>
    <w:p>
      <w:pPr>
        <w:pStyle w:val="ListNumber"/>
      </w:pPr>
      <w:r>
        <w:rPr>
          <w:b/>
        </w:rPr>
        <w:t>External moments.</w:t>
      </w:r>
      <w:r>
        <w:t xml:space="preserve"> Add data on search effort, applications, offers, acceptance, recall, reservation wages, and employment-exit reasons to identify curvature and thresholds.</w:t>
      </w:r>
    </w:p>
    <w:p>
      <w:pPr>
        <w:pStyle w:val="ListNumber"/>
      </w:pPr>
      <w:r>
        <w:rPr>
          <w:b/>
        </w:rPr>
        <w:t>Bayesian or minimum-distance estimation with explicit priors/penalties.</w:t>
      </w:r>
      <w:r>
        <w:t xml:space="preserve"> Make prior information transparent and show prior sensitivity.</w:t>
      </w:r>
    </w:p>
    <w:p>
      <w:pPr/>
      <w:r>
        <w:t>Whichever approach is chosen, never imply that the eighth decimal place of the calibration loss identifies the economic mechanism.</w:t>
      </w:r>
    </w:p>
    <w:p>
      <w:pPr>
        <w:pStyle w:val="Heading2"/>
      </w:pPr>
      <w:r>
        <w:t>4.3 Re-estimate model targets after the empirical redesign</w:t>
      </w:r>
    </w:p>
    <w:p>
      <w:pPr/>
      <w:r>
        <w:t>Model 15 treats all four employment-exit moments as structural targets. The current empirical exit sample is selected on experiencing non-employment in 2020. Calibrating the model to those moments makes the model fit a potentially mechanical selection pattern.</w:t>
      </w:r>
    </w:p>
    <w:p>
      <w:pPr/>
      <w:r>
        <w:t>Freeze the revised empirical table first. Then recalibrate using:</w:t>
      </w:r>
    </w:p>
    <w:p>
      <w:pPr>
        <w:pStyle w:val="ListBullet"/>
      </w:pPr>
      <w:r>
        <w:t>risk-set-consistent job-finding rates;</w:t>
      </w:r>
    </w:p>
    <w:p>
      <w:pPr>
        <w:pStyle w:val="ListBullet"/>
      </w:pPr>
      <w:r>
        <w:t>risk-set-consistent employment-exit rates;</w:t>
      </w:r>
    </w:p>
    <w:p>
      <w:pPr>
        <w:pStyle w:val="ListBullet"/>
      </w:pPr>
      <w:r>
        <w:t>the exact empirical post-period window;</w:t>
      </w:r>
    </w:p>
    <w:p>
      <w:pPr>
        <w:pStyle w:val="ListBullet"/>
      </w:pPr>
      <w:r>
        <w:t>uncertainty for every target; and</w:t>
      </w:r>
    </w:p>
    <w:p>
      <w:pPr>
        <w:pStyle w:val="ListBullet"/>
      </w:pPr>
      <w:r>
        <w:t>subgroup moments defined consistently with the model.</w:t>
      </w:r>
    </w:p>
    <w:p>
      <w:pPr/>
      <w:r>
        <w:t>If exits cannot be separated into voluntary and involuntary components, rename the model object “employment exit” and consider adding an exogenous firm-destruction channel. The present surplus threshold can be one component, but the model should not interpret every payroll exit as a worker’s match-continuation choice.</w:t>
      </w:r>
    </w:p>
    <w:p>
      <w:pPr>
        <w:pStyle w:val="Heading2"/>
      </w:pPr>
      <w:r>
        <w:t>4.4 Correct the decomposition</w:t>
      </w:r>
    </w:p>
    <w:p>
      <w:pPr/>
      <w:r>
        <w:t>The four scenario rows are counterfactual environments, not additive contributions. Nonlinearity makes the order in which benefit, common-pandemic, and differential-pandemic components are added matter.</w:t>
      </w:r>
    </w:p>
    <w:p>
      <w:pPr/>
      <w:r>
        <w:t>Add one of the following:</w:t>
      </w:r>
    </w:p>
    <w:p>
      <w:pPr>
        <w:pStyle w:val="ListBullet"/>
      </w:pPr>
      <w:r>
        <w:t xml:space="preserve">a full factorial table showing all </w:t>
      </w:r>
      <w:r>
        <w:rPr>
          <w:rFonts w:ascii="Consolas" w:hAnsi="Consolas"/>
          <w:color w:val="18364E"/>
          <w:sz w:val="19"/>
        </w:rPr>
        <w:t>2^3 = 8</w:t>
      </w:r>
      <w:r>
        <w:t xml:space="preserve"> combinations;</w:t>
      </w:r>
    </w:p>
    <w:p>
      <w:pPr>
        <w:pStyle w:val="ListBullet"/>
      </w:pPr>
      <w:r>
        <w:t>an explicit interaction decomposition; or</w:t>
      </w:r>
    </w:p>
    <w:p>
      <w:pPr>
        <w:pStyle w:val="ListBullet"/>
      </w:pPr>
      <w:r>
        <w:t>a Shapley decomposition that averages each channel’s marginal contribution across all possible orders.</w:t>
      </w:r>
    </w:p>
    <w:p>
      <w:pPr/>
      <w:r>
        <w:t>For employment exits in the benchmark, the simple residual interaction relative to the listed standalone effects is about 1.97 percentage points:</w:t>
      </w:r>
    </w:p>
    <w:p>
      <w:pPr/>
      <w:r>
        <w:rPr>
          <w:rFonts w:ascii="Consolas" w:hAnsi="Consolas"/>
          <w:color w:val="18364E"/>
          <w:sz w:val="19"/>
        </w:rPr>
        <w:t>3.72 - 1.688 - 0.061 - 0.000 = 1.971 pp</w:t>
      </w:r>
      <w:r>
        <w:t>.</w:t>
      </w:r>
    </w:p>
    <w:p>
      <w:pPr/>
      <w:r>
        <w:t>That interaction is larger than the standalone differential work-wedge effect. It should be reported and economically interpreted: the larger outside option moves Australian surplus into the steep part of the exit schedule, making the work wedge much more consequential.</w:t>
      </w:r>
    </w:p>
    <w:p>
      <w:pPr/>
      <w:r>
        <w:t>For job finding, report effects on search, acceptance, contacts, and total job finding separately. In the benchmark, search is close to one for both groups while acceptance moves substantially, so the model’s job-finding response is primarily an acceptance-margin result.</w:t>
      </w:r>
    </w:p>
    <w:p>
      <w:pPr>
        <w:pStyle w:val="Heading2"/>
      </w:pPr>
      <w:r>
        <w:t>4.5 Discipline search and acceptance margins</w:t>
      </w:r>
    </w:p>
    <w:p>
      <w:pPr/>
      <w:r>
        <w:t>The selected search curvature is 100. Benchmark search effort is approximately 0.984–0.998, while acceptance probabilities vary much more. The fixed offer threshold (0.15) and dispersion (0.35) are not estimated from offer or acceptance data.</w:t>
      </w:r>
    </w:p>
    <w:p>
      <w:pPr/>
      <w:r>
        <w:t>The current six aggregate transition moments cannot separately identify:</w:t>
      </w:r>
    </w:p>
    <w:p>
      <w:pPr>
        <w:pStyle w:val="ListBullet"/>
      </w:pPr>
      <w:r>
        <w:t>search cost level and curvature;</w:t>
      </w:r>
    </w:p>
    <w:p>
      <w:pPr>
        <w:pStyle w:val="ListBullet"/>
      </w:pPr>
      <w:r>
        <w:t>contact efficiency;</w:t>
      </w:r>
    </w:p>
    <w:p>
      <w:pPr>
        <w:pStyle w:val="ListBullet"/>
      </w:pPr>
      <w:r>
        <w:t>offer-arrival responsiveness;</w:t>
      </w:r>
    </w:p>
    <w:p>
      <w:pPr>
        <w:pStyle w:val="ListBullet"/>
      </w:pPr>
      <w:r>
        <w:t>acceptance threshold and heterogeneity; and</w:t>
      </w:r>
    </w:p>
    <w:p>
      <w:pPr>
        <w:pStyle w:val="ListBullet"/>
      </w:pPr>
      <w:r>
        <w:t>the work-disutility wedge.</w:t>
      </w:r>
    </w:p>
    <w:p>
      <w:pPr/>
      <w:r>
        <w:t>This matters because the paper uses model language about reduced search and work willingness. A transition rate alone is the product of several margins.</w:t>
      </w:r>
    </w:p>
    <w:p>
      <w:pPr/>
      <w:r>
        <w:rPr>
          <w:b/>
        </w:rPr>
        <w:t>Best additional moments</w:t>
      </w:r>
    </w:p>
    <w:p>
      <w:pPr>
        <w:pStyle w:val="ListBullet"/>
      </w:pPr>
      <w:r>
        <w:t>number of applications or search contacts per week;</w:t>
      </w:r>
    </w:p>
    <w:p>
      <w:pPr>
        <w:pStyle w:val="ListBullet"/>
      </w:pPr>
      <w:r>
        <w:t>reported search hours;</w:t>
      </w:r>
    </w:p>
    <w:p>
      <w:pPr>
        <w:pStyle w:val="ListBullet"/>
      </w:pPr>
      <w:r>
        <w:t>benefit-system job-search reporting;</w:t>
      </w:r>
    </w:p>
    <w:p>
      <w:pPr>
        <w:pStyle w:val="ListBullet"/>
      </w:pPr>
      <w:r>
        <w:t>vacancy/application ratios by local market;</w:t>
      </w:r>
    </w:p>
    <w:p>
      <w:pPr>
        <w:pStyle w:val="ListBullet"/>
      </w:pPr>
      <w:r>
        <w:t>offer receipt and offer rejection;</w:t>
      </w:r>
    </w:p>
    <w:p>
      <w:pPr>
        <w:pStyle w:val="ListBullet"/>
      </w:pPr>
      <w:r>
        <w:t>recall expectations;</w:t>
      </w:r>
    </w:p>
    <w:p>
      <w:pPr>
        <w:pStyle w:val="ListBullet"/>
      </w:pPr>
      <w:r>
        <w:t>reservation wages;</w:t>
      </w:r>
    </w:p>
    <w:p>
      <w:pPr>
        <w:pStyle w:val="ListBullet"/>
      </w:pPr>
      <w:r>
        <w:t>job acceptance by offered wage; and</w:t>
      </w:r>
    </w:p>
    <w:p>
      <w:pPr>
        <w:pStyle w:val="ListBullet"/>
      </w:pPr>
      <w:r>
        <w:t>duration dependence in job finding.</w:t>
      </w:r>
    </w:p>
    <w:p>
      <w:pPr/>
      <w:r>
        <w:t>If those are unavailable, fix parameters from well-matched external evidence, explain transportability, and provide wide sensitivity bands. Marinescu, Skandalis, and Zhao estimate that a 10% benefit increase reduced applications by 3.6% during the US pandemic, while vacancy creation did not fall (</w:t>
      </w:r>
      <w:hyperlink r:id="rId20">
        <w:r>
          <w:rPr>
            <w:color w:val="2C6384"/>
            <w:u w:val="single"/>
          </w:rPr>
          <w:t>JPubE article</w:t>
        </w:r>
      </w:hyperlink>
      <w:r>
        <w:t>). Ganong et al. provide administrative evidence on spending and job-finding effects of expanded benefits (</w:t>
      </w:r>
      <w:hyperlink r:id="rId21">
        <w:r>
          <w:rPr>
            <w:color w:val="2C6384"/>
            <w:u w:val="single"/>
          </w:rPr>
          <w:t>AER article</w:t>
        </w:r>
      </w:hyperlink>
      <w:r>
        <w:t>). These papers are useful benchmarks, not parameters that can be imported without qualification.</w:t>
      </w:r>
    </w:p>
    <w:p>
      <w:pPr>
        <w:pStyle w:val="Heading2"/>
      </w:pPr>
      <w:r>
        <w:t>4.6 Make firm-side separation and free entry internally consistent</w:t>
      </w:r>
    </w:p>
    <w:p>
      <w:pPr/>
      <w:r>
        <w:t>Firm value uses a fixed destruction rate of 1% per week:</w:t>
      </w:r>
    </w:p>
    <w:p>
      <w:pPr/>
      <w:r>
        <w:rPr>
          <w:rFonts w:ascii="Consolas" w:hAnsi="Consolas"/>
          <w:color w:val="18364E"/>
          <w:sz w:val="19"/>
        </w:rPr>
        <w:t>J = (y - w) / [1 - beta(1 - delta_firm)]</w:t>
      </w:r>
      <w:r>
        <w:t>.</w:t>
      </w:r>
    </w:p>
    <w:p>
      <w:pPr/>
      <w:r>
        <w:t>The worker-side employment-exit rates are about 4.8% to 9.3% per week. Those exits do not enter firm continuation value or free entry. This disconnect can materially overstate the value of a vacancy and makes tightness insensitive to the policy-induced exit response.</w:t>
      </w:r>
    </w:p>
    <w:p>
      <w:pPr/>
      <w:r>
        <w:t>At minimum:</w:t>
      </w:r>
    </w:p>
    <w:p>
      <w:pPr>
        <w:pStyle w:val="ListBullet"/>
      </w:pPr>
      <w:r>
        <w:t>make firm continuation depend on the same match-destruction probability relevant to the worker/firm match;</w:t>
      </w:r>
    </w:p>
    <w:p>
      <w:pPr>
        <w:pStyle w:val="ListBullet"/>
      </w:pPr>
      <w:r>
        <w:t>integrate over R/N composition or state clearly which match type determines vacancy value;</w:t>
      </w:r>
    </w:p>
    <w:p>
      <w:pPr>
        <w:pStyle w:val="ListBullet"/>
      </w:pPr>
      <w:r>
        <w:t>allow the distribution of match surplus/quality to enter both worker and firm continuation;</w:t>
      </w:r>
    </w:p>
    <w:p>
      <w:pPr>
        <w:pStyle w:val="ListBullet"/>
      </w:pPr>
      <w:r>
        <w:t>test whether vacancy creation responds to the benefit and health shocks; and</w:t>
      </w:r>
    </w:p>
    <w:p>
      <w:pPr>
        <w:pStyle w:val="ListBullet"/>
      </w:pPr>
      <w:r>
        <w:t>compare model tightness with vacancy data.</w:t>
      </w:r>
    </w:p>
    <w:p>
      <w:pPr/>
      <w:r>
        <w:t>If the team does not want that extension, simplify the presentation: treat contact efficiency as an exogenous reduced-form job-opportunity process and drop the free-entry/general-equilibrium language.</w:t>
      </w:r>
    </w:p>
    <w:p>
      <w:pPr>
        <w:pStyle w:val="Heading2"/>
      </w:pPr>
      <w:r>
        <w:t>4.7 Clarify whether the exit threshold is truly structural</w:t>
      </w:r>
    </w:p>
    <w:p>
      <w:pPr/>
      <w:r>
        <w:t>The code comments describe a latent match-quality continuation threshold, but the implemented separation probability is a logistic function of static group-level flow surplus. There is no explicit match-quality state, wage draw, or match-specific continuation value in the Bellman equations.</w:t>
      </w:r>
    </w:p>
    <w:p>
      <w:pPr/>
      <w:r>
        <w:t>Two coherent choices are available:</w:t>
      </w:r>
    </w:p>
    <w:p>
      <w:pPr>
        <w:pStyle w:val="ListNumber"/>
      </w:pPr>
      <w:r>
        <w:rPr>
          <w:b/>
        </w:rPr>
        <w:t>Keep the current form and describe it accurately.</w:t>
      </w:r>
      <w:r>
        <w:t xml:space="preserve"> It is a reduced-form smooth hazard that maps net work surplus into employment-exit probability.</w:t>
      </w:r>
    </w:p>
    <w:p>
      <w:pPr>
        <w:pStyle w:val="ListNumber"/>
      </w:pPr>
      <w:r>
        <w:rPr>
          <w:b/>
        </w:rPr>
        <w:t>Implement the stated mechanism.</w:t>
      </w:r>
      <w:r>
        <w:t xml:space="preserve"> Introduce match quality </w:t>
      </w:r>
      <w:r>
        <w:rPr>
          <w:rFonts w:ascii="Consolas" w:hAnsi="Consolas"/>
          <w:color w:val="18364E"/>
          <w:sz w:val="19"/>
        </w:rPr>
        <w:t>x</w:t>
      </w:r>
      <w:r>
        <w:t xml:space="preserve">, a distribution of </w:t>
      </w:r>
      <w:r>
        <w:rPr>
          <w:rFonts w:ascii="Consolas" w:hAnsi="Consolas"/>
          <w:color w:val="18364E"/>
          <w:sz w:val="19"/>
        </w:rPr>
        <w:t>x</w:t>
      </w:r>
      <w:r>
        <w:t>, and a continuation rule based on joint match surplus. Separation is then the probability mass below the endogenous cutoff, with firm and worker values consistently affected.</w:t>
      </w:r>
    </w:p>
    <w:p>
      <w:pPr/>
      <w:r>
        <w:t>For the near-term paper, option 1 is likely sufficient if the model is explicitly an interpretation model. Calling the current hazard a fully structural match-quality model overstates what has been implemented.</w:t>
      </w:r>
    </w:p>
    <w:p>
      <w:pPr>
        <w:pStyle w:val="Heading2"/>
      </w:pPr>
      <w:r>
        <w:t>4.8 Align time units, horizon, and discounting</w:t>
      </w:r>
    </w:p>
    <w:p>
      <w:pPr/>
      <w:r>
        <w:t xml:space="preserve">The model is weekly and sets </w:t>
      </w:r>
      <w:r>
        <w:rPr>
          <w:rFonts w:ascii="Consolas" w:hAnsi="Consolas"/>
          <w:color w:val="18364E"/>
          <w:sz w:val="19"/>
        </w:rPr>
        <w:t>beta = 0.99</w:t>
      </w:r>
      <w:r>
        <w:t xml:space="preserve">. A weekly discount factor of 0.99 implies an annual factor of approximately </w:t>
      </w:r>
      <w:r>
        <w:rPr>
          <w:rFonts w:ascii="Consolas" w:hAnsi="Consolas"/>
          <w:color w:val="18364E"/>
          <w:sz w:val="19"/>
        </w:rPr>
        <w:t>0.99^52 = 0.59</w:t>
      </w:r>
      <w:r>
        <w:t>, far below conventional calibrations. This affects continuation values, search incentives, and firm value.</w:t>
      </w:r>
    </w:p>
    <w:p>
      <w:pPr/>
      <w:r>
        <w:t xml:space="preserve">Set beta from an annual interest/discount rate and convert consistently to weeks, for example </w:t>
      </w:r>
      <w:r>
        <w:rPr>
          <w:rFonts w:ascii="Consolas" w:hAnsi="Consolas"/>
          <w:color w:val="18364E"/>
          <w:sz w:val="19"/>
        </w:rPr>
        <w:t>beta_week = beta_annual^(1/52)</w:t>
      </w:r>
      <w:r>
        <w:t>. Report sensitivity.</w:t>
      </w:r>
    </w:p>
    <w:p>
      <w:pPr/>
      <w:r>
        <w:t>The model shock lasts from weeks 12 through 36 inclusive, or 25 weeks. The empirical main code appears to use fewer than 24 calendar weeks and ends before July. Meanwhile, the full supplement was paid from 27 April through 24 September. Model averages, empirical targets, and policy windows must refer to the same dates.</w:t>
      </w:r>
    </w:p>
    <w:p>
      <w:pPr/>
      <w:r>
        <w:t>Create a date-to-model-week mapping table. If announcement and payment dates differ, specify when agents learn the benefit path and when cash/eligibility enters the outside option.</w:t>
      </w:r>
    </w:p>
    <w:p>
      <w:pPr>
        <w:pStyle w:val="Heading2"/>
      </w:pPr>
      <w:r>
        <w:t>4.9 Replace placeholder benefit calibration with actual policy values</w:t>
      </w:r>
    </w:p>
    <w:p>
      <w:pPr/>
      <w:r>
        <w:t>The current baseline replacement rate is 28% and the supplement simply doubles it. This is a stylised approximation. The policy added a flat dollar amount, and regular JobSeeker entitlements varied with household circumstances and means tests.</w:t>
      </w:r>
    </w:p>
    <w:p>
      <w:pPr/>
      <w:r>
        <w:t>Use empirical distributions of:</w:t>
      </w:r>
    </w:p>
    <w:p>
      <w:pPr>
        <w:pStyle w:val="ListBullet"/>
      </w:pPr>
      <w:r>
        <w:t>pre-displacement weekly wages;</w:t>
      </w:r>
    </w:p>
    <w:p>
      <w:pPr>
        <w:pStyle w:val="ListBullet"/>
      </w:pPr>
      <w:r>
        <w:t>regular JobSeeker entitlements;</w:t>
      </w:r>
    </w:p>
    <w:p>
      <w:pPr>
        <w:pStyle w:val="ListBullet"/>
      </w:pPr>
      <w:r>
        <w:t>the $550 fortnightly supplement;</w:t>
      </w:r>
    </w:p>
    <w:p>
      <w:pPr>
        <w:pStyle w:val="ListBullet"/>
      </w:pPr>
      <w:r>
        <w:t>partner income and household status;</w:t>
      </w:r>
    </w:p>
    <w:p>
      <w:pPr>
        <w:pStyle w:val="ListBullet"/>
      </w:pPr>
      <w:r>
        <w:t>other transfer eligibility; and</w:t>
      </w:r>
    </w:p>
    <w:p>
      <w:pPr>
        <w:pStyle w:val="ListBullet"/>
      </w:pPr>
      <w:r>
        <w:t>partial earnings/taper rules.</w:t>
      </w:r>
    </w:p>
    <w:p>
      <w:pPr/>
      <w:r>
        <w:t>At minimum, calibrate representative low-, middle-, and high-replacement-rate types from actual administrative entitlement calculations. The model-validation CSV currently uses placeholder rates and mislabels income groups; remove it from any paper output until rebuilt.</w:t>
      </w:r>
    </w:p>
    <w:p>
      <w:pPr>
        <w:pStyle w:val="Heading2"/>
      </w:pPr>
      <w:r>
        <w:t>4.10 Reconsider the post-pandemic wedge normalisation</w:t>
      </w:r>
    </w:p>
    <w:p>
      <w:pPr/>
      <w:r>
        <w:t xml:space="preserve">Model 15 sets </w:t>
      </w:r>
      <w:r>
        <w:rPr>
          <w:rFonts w:ascii="Consolas" w:hAnsi="Consolas"/>
          <w:color w:val="18364E"/>
          <w:sz w:val="19"/>
        </w:rPr>
        <w:t>h_N = 0</w:t>
      </w:r>
      <w:r>
        <w:t xml:space="preserve">, uses a common additive exit shock to match N exits, and chooses </w:t>
      </w:r>
      <w:r>
        <w:rPr>
          <w:rFonts w:ascii="Consolas" w:hAnsi="Consolas"/>
          <w:color w:val="18364E"/>
          <w:sz w:val="19"/>
        </w:rPr>
        <w:t>h_R</w:t>
      </w:r>
      <w:r>
        <w:t xml:space="preserve"> to match R exits. Therefore:</w:t>
      </w:r>
    </w:p>
    <w:p>
      <w:pPr>
        <w:pStyle w:val="ListBullet"/>
      </w:pPr>
      <w:r>
        <w:t>N does not identify a common work-disutility shock in job finding;</w:t>
      </w:r>
    </w:p>
    <w:p>
      <w:pPr>
        <w:pStyle w:val="ListBullet"/>
      </w:pPr>
      <w:r>
        <w:t>the common post component affects exits but not N job finding directly;</w:t>
      </w:r>
    </w:p>
    <w:p>
      <w:pPr>
        <w:pStyle w:val="ListBullet"/>
      </w:pPr>
      <w:r>
        <w:t>the R work wedge absorbs any remaining R-specific exit forces, including unmodelled industry composition, JobKeeper, policy administration, and measurement; and</w:t>
      </w:r>
    </w:p>
    <w:p>
      <w:pPr>
        <w:pStyle w:val="ListBullet"/>
      </w:pPr>
      <w:r>
        <w:t xml:space="preserve">calling </w:t>
      </w:r>
      <w:r>
        <w:rPr>
          <w:rFonts w:ascii="Consolas" w:hAnsi="Consolas"/>
          <w:color w:val="18364E"/>
          <w:sz w:val="19"/>
        </w:rPr>
        <w:t>h_R</w:t>
      </w:r>
      <w:r>
        <w:t xml:space="preserve"> a “health disutility” is too specific.</w:t>
      </w:r>
    </w:p>
    <w:p>
      <w:pPr/>
      <w:r>
        <w:t xml:space="preserve">Rename it a </w:t>
      </w:r>
      <w:r>
        <w:rPr>
          <w:b/>
        </w:rPr>
        <w:t>differential net work-surplus wedge</w:t>
      </w:r>
      <w:r>
        <w:t xml:space="preserve"> unless external data identify health risk or work aversion. Consider allowing a common work wedge and a separate exogenous destruction shock, then use additional moments to distinguish them. Report normalisation sensitivity, such as fixing a positive common wedge or allowing both groups’ wedges to vary with sector exposure.</w:t>
      </w:r>
    </w:p>
    <w:p>
      <w:pPr>
        <w:pStyle w:val="Heading2"/>
      </w:pPr>
      <w:r>
        <w:t>4.11 Propagate empirical uncertainty through the model</w:t>
      </w:r>
    </w:p>
    <w:p>
      <w:pPr/>
      <w:r>
        <w:t>The model currently treats empirical cells as exact. Yet the job-finding DiD itself has substantial uncertainty under the current regression, and redesigned inference is likely wider.</w:t>
      </w:r>
    </w:p>
    <w:p>
      <w:pPr/>
      <w:r>
        <w:t>Use a full two-step uncertainty procedure:</w:t>
      </w:r>
    </w:p>
    <w:p>
      <w:pPr>
        <w:pStyle w:val="ListNumber"/>
      </w:pPr>
      <w:r>
        <w:t>Resample the empirical data using the chosen block/pair bootstrap.</w:t>
      </w:r>
    </w:p>
    <w:p>
      <w:pPr>
        <w:pStyle w:val="ListNumber"/>
      </w:pPr>
      <w:r>
        <w:t>Recompute the empirical target vector.</w:t>
      </w:r>
    </w:p>
    <w:p>
      <w:pPr>
        <w:pStyle w:val="ListNumber"/>
      </w:pPr>
      <w:r>
        <w:t>Recalibrate or re-estimate the model for each draw.</w:t>
      </w:r>
    </w:p>
    <w:p>
      <w:pPr>
        <w:pStyle w:val="ListNumber"/>
      </w:pPr>
      <w:r>
        <w:t>Record parameter, fit, held-out, decomposition, and counterfactual outcomes.</w:t>
      </w:r>
    </w:p>
    <w:p>
      <w:pPr>
        <w:pStyle w:val="ListNumber"/>
      </w:pPr>
      <w:r>
        <w:t>Combine sampling uncertainty with admissible-parameter-set uncertainty.</w:t>
      </w:r>
    </w:p>
    <w:p>
      <w:pPr/>
      <w:r>
        <w:t>If full bootstrap calibration is expensive, use a minimum-distance criterion with the empirical covariance matrix and construct confidence regions by simulation/profile methods. Report how often calibration fails and why.</w:t>
      </w:r>
    </w:p>
    <w:p>
      <w:pPr>
        <w:pStyle w:val="Heading2"/>
      </w:pPr>
      <w:r>
        <w:t>4.12 Use over-identifying moments and dynamic paths</w:t>
      </w:r>
    </w:p>
    <w:p>
      <w:pPr/>
      <w:r>
        <w:t>The model should be judged on more than four fitted cells and one held-out cell. Good validation targets include:</w:t>
      </w:r>
    </w:p>
    <w:p>
      <w:pPr>
        <w:pStyle w:val="ListBullet"/>
      </w:pPr>
      <w:r>
        <w:t>weekly transition paths rather than only pre/post averages;</w:t>
      </w:r>
    </w:p>
    <w:p>
      <w:pPr>
        <w:pStyle w:val="ListBullet"/>
      </w:pPr>
      <w:r>
        <w:t>duration dependence in job finding;</w:t>
      </w:r>
    </w:p>
    <w:p>
      <w:pPr>
        <w:pStyle w:val="ListBullet"/>
      </w:pPr>
      <w:r>
        <w:t>subgroup effects by actual replacement-rate change;</w:t>
      </w:r>
    </w:p>
    <w:p>
      <w:pPr>
        <w:pStyle w:val="ListBullet"/>
      </w:pPr>
      <w:r>
        <w:t>employment exits by firm JobKeeper exposure;</w:t>
      </w:r>
    </w:p>
    <w:p>
      <w:pPr>
        <w:pStyle w:val="ListBullet"/>
      </w:pPr>
      <w:r>
        <w:t>post-supplement taper/expiration behaviour;</w:t>
      </w:r>
    </w:p>
    <w:p>
      <w:pPr>
        <w:pStyle w:val="ListBullet"/>
      </w:pPr>
      <w:r>
        <w:t>earnings and job-retention outcomes;</w:t>
      </w:r>
    </w:p>
    <w:p>
      <w:pPr>
        <w:pStyle w:val="ListBullet"/>
      </w:pPr>
      <w:r>
        <w:t>applications/search if available; and</w:t>
      </w:r>
    </w:p>
    <w:p>
      <w:pPr>
        <w:pStyle w:val="ListBullet"/>
      </w:pPr>
      <w:r>
        <w:t>vacancies or tightness.</w:t>
      </w:r>
    </w:p>
    <w:p>
      <w:pPr/>
      <w:r>
        <w:t>Reserve some moments ex ante for validation. Report a model-versus-data figure with confidence intervals and avoid re-labelling moments as held out after specification choices have been informed by them.</w:t>
      </w:r>
    </w:p>
    <w:p>
      <w:pPr>
        <w:pStyle w:val="Heading2"/>
      </w:pPr>
      <w:r>
        <w:t>4.13 Numerical and reproducibility work</w:t>
      </w:r>
    </w:p>
    <w:p>
      <w:pPr/>
      <w:r>
        <w:t>The model runs, but a journal replication package should add:</w:t>
      </w:r>
    </w:p>
    <w:p>
      <w:pPr>
        <w:pStyle w:val="ListBullet"/>
      </w:pPr>
      <w:r>
        <w:rPr>
          <w:rFonts w:ascii="Consolas" w:hAnsi="Consolas"/>
          <w:color w:val="18364E"/>
          <w:sz w:val="19"/>
        </w:rPr>
        <w:t>Project.toml</w:t>
      </w:r>
      <w:r>
        <w:t xml:space="preserve"> and </w:t>
      </w:r>
      <w:r>
        <w:rPr>
          <w:rFonts w:ascii="Consolas" w:hAnsi="Consolas"/>
          <w:color w:val="18364E"/>
          <w:sz w:val="19"/>
        </w:rPr>
        <w:t>Manifest.toml</w:t>
      </w:r>
      <w:r>
        <w:t xml:space="preserve"> with the exact Julia version;</w:t>
      </w:r>
    </w:p>
    <w:p>
      <w:pPr>
        <w:pStyle w:val="ListBullet"/>
      </w:pPr>
      <w:r>
        <w:t>a single driver that generates all tables and figures from inputs;</w:t>
      </w:r>
    </w:p>
    <w:p>
      <w:pPr>
        <w:pStyle w:val="ListBullet"/>
      </w:pPr>
      <w:r>
        <w:t>automated tests for probabilities, Bellman convergence, search first-order conditions, and calibration recovery;</w:t>
      </w:r>
    </w:p>
    <w:p>
      <w:pPr>
        <w:pStyle w:val="ListBullet"/>
      </w:pPr>
      <w:r>
        <w:t>explicit optimiser convergence criteria and status output;</w:t>
      </w:r>
    </w:p>
    <w:p>
      <w:pPr>
        <w:pStyle w:val="ListBullet"/>
      </w:pPr>
      <w:r>
        <w:t>multiple starting values/global-search checks;</w:t>
      </w:r>
    </w:p>
    <w:p>
      <w:pPr>
        <w:pStyle w:val="ListBullet"/>
      </w:pPr>
      <w:r>
        <w:t xml:space="preserve">a log for every grid failure rather than silent </w:t>
      </w:r>
      <w:r>
        <w:rPr>
          <w:rFonts w:ascii="Consolas" w:hAnsi="Consolas"/>
          <w:color w:val="18364E"/>
          <w:sz w:val="19"/>
        </w:rPr>
        <w:t>try/catch</w:t>
      </w:r>
      <w:r>
        <w:t xml:space="preserve"> omission;</w:t>
      </w:r>
    </w:p>
    <w:p>
      <w:pPr>
        <w:pStyle w:val="ListBullet"/>
      </w:pPr>
      <w:r>
        <w:t>economically motivated bounds and flags when parameters hit bounds;</w:t>
      </w:r>
    </w:p>
    <w:p>
      <w:pPr>
        <w:pStyle w:val="ListBullet"/>
      </w:pPr>
      <w:r>
        <w:t>deterministic seeds wherever simulation is introduced; and</w:t>
      </w:r>
    </w:p>
    <w:p>
      <w:pPr>
        <w:pStyle w:val="ListBullet"/>
      </w:pPr>
      <w:r>
        <w:t>machine-readable metadata connecting output files to manuscript exhibits.</w:t>
      </w:r>
    </w:p>
    <w:p>
      <w:pPr/>
      <w:r>
        <w:t>There are 110 recorded grid rows out of 120 nominal combinations. The missing/failing cases should be documented. Some specifications push the work wedge to its upper bound, producing implausibly large percentages of the wage; those cases should not simply disappear or be pooled with economically admissible results.</w:t>
      </w:r>
    </w:p>
    <w:p>
      <w:pPr>
        <w:pStyle w:val="Heading2"/>
      </w:pPr>
      <w:r>
        <w:t>4.14 Welfare claims: extend or delete</w:t>
      </w:r>
    </w:p>
    <w:p>
      <w:pPr/>
      <w:r>
        <w:t>The current model cannot establish that the supplement’s net social benefits were positive. It has linear flow utility, no consumption/savings choice, no risk aversion, no liquidity constraints, no government budget, no marginal cost of public funds, and no epidemiological externality. It therefore omits both the insurance value of benefits and major social benefits/costs of reduced contact.</w:t>
      </w:r>
    </w:p>
    <w:p>
      <w:pPr/>
      <w:r>
        <w:t>Two options:</w:t>
      </w:r>
    </w:p>
    <w:p>
      <w:pPr>
        <w:pStyle w:val="ListBullet"/>
      </w:pPr>
      <w:r>
        <w:rPr>
          <w:b/>
        </w:rPr>
        <w:t>Recommended:</w:t>
      </w:r>
      <w:r>
        <w:t xml:space="preserve"> remove optimality/net-benefit language and say the paper estimates behavioural responses and uses a model to interpret channels.</w:t>
      </w:r>
    </w:p>
    <w:p>
      <w:pPr>
        <w:pStyle w:val="ListBullet"/>
      </w:pPr>
      <w:r>
        <w:rPr>
          <w:b/>
        </w:rPr>
        <w:t>Ambitious extension:</w:t>
      </w:r>
      <w:r>
        <w:t xml:space="preserve"> add heterogeneous households with consumption/savings and risk aversion, benefit financing, vacancy/employment externalities, and an epidemiological/contact externality. Calibrate consumption responses and public-health costs, then report welfare with uncertainty.</w:t>
      </w:r>
    </w:p>
    <w:p>
      <w:pPr/>
      <w:r>
        <w:t>A sentence such as “the supplement may have provided valuable insurance during an extraordinary downturn, but our design and model do not estimate its net welfare effect” is both accurate and credible.</w:t>
      </w:r>
    </w:p>
    <w:p>
      <w:pPr>
        <w:pStyle w:val="Heading2"/>
      </w:pPr>
      <w:r>
        <w:t>4.15 Model section that should appear in the paper</w:t>
      </w:r>
    </w:p>
    <w:p>
      <w:pPr/>
      <w:r>
        <w:t>A journal-ready model section can be concise and organised as follows:</w:t>
      </w:r>
    </w:p>
    <w:p>
      <w:pPr>
        <w:pStyle w:val="ListNumber"/>
      </w:pPr>
      <w:r>
        <w:rPr>
          <w:b/>
        </w:rPr>
        <w:t>Purpose and scope.</w:t>
      </w:r>
      <w:r>
        <w:t xml:space="preserve"> State that the model asks whether the reduced-form transition gaps are quantitatively consistent with benefit-induced changes in net work surplus, a common opportunity shock, and a residual differential work wedge.</w:t>
      </w:r>
    </w:p>
    <w:p>
      <w:pPr>
        <w:pStyle w:val="ListNumber"/>
      </w:pPr>
      <w:r>
        <w:rPr>
          <w:b/>
        </w:rPr>
        <w:t>Environment.</w:t>
      </w:r>
      <w:r>
        <w:t xml:space="preserve"> Define weekly states, outside options, wage/output, search, contacts, acceptance, and employment exits.</w:t>
      </w:r>
    </w:p>
    <w:p>
      <w:pPr>
        <w:pStyle w:val="ListNumber"/>
      </w:pPr>
      <w:r>
        <w:rPr>
          <w:b/>
        </w:rPr>
        <w:t>Equations.</w:t>
      </w:r>
      <w:r>
        <w:t xml:space="preserve"> Show the two Bellman equations, search FOC, offer/acceptance probability, and exit hazard.</w:t>
      </w:r>
    </w:p>
    <w:p>
      <w:pPr>
        <w:pStyle w:val="ListNumber"/>
      </w:pPr>
      <w:r>
        <w:rPr>
          <w:b/>
        </w:rPr>
        <w:t>Identification/calibration table.</w:t>
      </w:r>
      <w:r>
        <w:t xml:space="preserve"> One row per parameter: value, moment/source, fitted versus fixed, and economic interpretation.</w:t>
      </w:r>
    </w:p>
    <w:p>
      <w:pPr>
        <w:pStyle w:val="ListNumber"/>
      </w:pPr>
      <w:r>
        <w:rPr>
          <w:b/>
        </w:rPr>
        <w:t>Fit and validation.</w:t>
      </w:r>
      <w:r>
        <w:t xml:space="preserve"> Report fitted cells, the held-out R post cell, and the range over near-fitting specifications.</w:t>
      </w:r>
    </w:p>
    <w:p>
      <w:pPr>
        <w:pStyle w:val="ListNumber"/>
      </w:pPr>
      <w:r>
        <w:rPr>
          <w:b/>
        </w:rPr>
        <w:t>Counterfactual decomposition.</w:t>
      </w:r>
      <w:r>
        <w:t xml:space="preserve"> Show full factorial or Shapley contributions plus search/acceptance/exit margins.</w:t>
      </w:r>
    </w:p>
    <w:p>
      <w:pPr>
        <w:pStyle w:val="ListNumber"/>
      </w:pPr>
      <w:r>
        <w:rPr>
          <w:b/>
        </w:rPr>
        <w:t>Limitations.</w:t>
      </w:r>
      <w:r>
        <w:t xml:space="preserve"> Partial equilibrium, work-wedge interpretation, absence of welfare, and sensitivity.</w:t>
      </w:r>
    </w:p>
    <w:p>
      <w:pPr/>
      <w:r>
        <w:t>The main text should use one benchmark only as a visual anchor. The conclusions must be based on the admissible range, not the benchmark alone.</w:t>
      </w:r>
    </w:p>
    <w:p>
      <w:r>
        <w:br w:type="page"/>
      </w:r>
    </w:p>
    <w:p>
      <w:pPr>
        <w:pStyle w:val="Heading1"/>
      </w:pPr>
      <w:r>
        <w:t>5. Framing, structure, and writing</w:t>
      </w:r>
    </w:p>
    <w:p>
      <w:pPr>
        <w:pStyle w:val="Heading2"/>
      </w:pPr>
      <w:r>
        <w:t>5.1 Reframe the paper around a durable public-economics question</w:t>
      </w:r>
    </w:p>
    <w:p>
      <w:pPr/>
      <w:r>
        <w:t>The framing should not be “what happened during one unusual Australian pandemic programme?” It should be:</w:t>
      </w:r>
    </w:p>
    <w:p>
      <w:pPr>
        <w:pStyle w:val="Callout"/>
        <w:shd w:fill="EAF2F7"/>
        <w:pBdr>
          <w:left w:val="single" w:sz="18" w:space="5" w:color="2C6384"/>
        </w:pBdr>
      </w:pPr>
      <w:r>
        <w:t>How does a large increase in unemployment assistance affect employment transitions when labour demand is weak, health risks are salient, and job-search requirements are relaxed?</w:t>
      </w:r>
    </w:p>
    <w:p>
      <w:pPr/>
      <w:r>
        <w:t>The Australian–New Zealand comparison then provides the empirical design, and model 15 helps interpret why benefit effects can interact with a pandemic work wedge.</w:t>
      </w:r>
    </w:p>
    <w:p>
      <w:pPr/>
      <w:r>
        <w:t>This framing connects to lasting debates about state-contingent unemployment insurance, moral hazard versus insurance, benefit generosity in recessions, labour-market tightness, and programme interactions. It also makes clear what is special about the episode: benefits, labour demand, health risks, wage subsidies, and search requirements moved together.</w:t>
      </w:r>
    </w:p>
    <w:p>
      <w:pPr>
        <w:pStyle w:val="Heading2"/>
      </w:pPr>
      <w:r>
        <w:t>5.2 Recommended title</w:t>
      </w:r>
    </w:p>
    <w:p>
      <w:pPr/>
      <w:r>
        <w:t>The current title is serviceable but narrower alternatives communicate the design and contribution better:</w:t>
      </w:r>
    </w:p>
    <w:p>
      <w:pPr/>
      <w:r>
        <w:rPr>
          <w:b/>
        </w:rPr>
        <w:t>Preferred</w:t>
      </w:r>
    </w:p>
    <w:p>
      <w:pPr/>
      <w:r>
        <w:rPr>
          <w:i/>
        </w:rPr>
        <w:t>Unemployment Assistance and Employment Transitions in a Public-Health Crisis: Evidence from Australians and New Zealanders</w:t>
      </w:r>
    </w:p>
    <w:p>
      <w:pPr/>
      <w:r>
        <w:rPr>
          <w:b/>
        </w:rPr>
        <w:t>More design-focused</w:t>
      </w:r>
    </w:p>
    <w:p>
      <w:pPr/>
      <w:r>
        <w:rPr>
          <w:i/>
        </w:rPr>
        <w:t>Large Unemployment-Benefit Increases and Employment Transitions: Administrative Evidence from Australia</w:t>
      </w:r>
    </w:p>
    <w:p>
      <w:pPr/>
      <w:r>
        <w:rPr>
          <w:b/>
        </w:rPr>
        <w:t>If the policy-bundle interpretation remains necessary</w:t>
      </w:r>
    </w:p>
    <w:p>
      <w:pPr/>
      <w:r>
        <w:rPr>
          <w:i/>
        </w:rPr>
        <w:t>Emergency Income Support and Employment Transitions: Evidence from Australia’s JobSeeker Expansion</w:t>
      </w:r>
    </w:p>
    <w:p>
      <w:pPr/>
      <w:r>
        <w:t>Avoid “labour supply” in the title unless the outcomes genuinely distinguish labour-supply choices from employer destruction, stand-downs, and payroll measurement.</w:t>
      </w:r>
    </w:p>
    <w:p>
      <w:pPr>
        <w:pStyle w:val="Heading2"/>
      </w:pPr>
      <w:r>
        <w:t>5.3 A defensible contribution statement</w:t>
      </w:r>
    </w:p>
    <w:p>
      <w:pPr/>
      <w:r>
        <w:t>The introduction should state no more than three contributions.</w:t>
      </w:r>
    </w:p>
    <w:p>
      <w:pPr>
        <w:pStyle w:val="ListNumber"/>
      </w:pPr>
      <w:r>
        <w:rPr>
          <w:b/>
        </w:rPr>
        <w:t>Design/data contribution.</w:t>
      </w:r>
      <w:r>
        <w:t xml:space="preserve"> The paper compares pre-policy-similar Australian and ineligible New Zealand citizens in the same Australian labour markets using linked weekly administrative records.</w:t>
      </w:r>
    </w:p>
    <w:p>
      <w:pPr>
        <w:pStyle w:val="ListNumber"/>
      </w:pPr>
      <w:r>
        <w:rPr>
          <w:b/>
        </w:rPr>
        <w:t>Empirical contribution.</w:t>
      </w:r>
      <w:r>
        <w:t xml:space="preserve"> It estimates how the JobSeeker expansion changed transitions into and out of recorded payroll employment, with design-specific inference and explicit treatment of the policy bundle.</w:t>
      </w:r>
    </w:p>
    <w:p>
      <w:pPr>
        <w:pStyle w:val="ListNumber"/>
      </w:pPr>
      <w:r>
        <w:rPr>
          <w:b/>
        </w:rPr>
        <w:t>Mechanism contribution.</w:t>
      </w:r>
      <w:r>
        <w:t xml:space="preserve"> A partial-equilibrium dynamic model shows how a flat benefit increase and a work-surplus wedge can interact; it reports a range of decompositions consistent with the empirical moments.</w:t>
      </w:r>
    </w:p>
    <w:p>
      <w:pPr/>
      <w:r>
        <w:t>Do not claim that the groups faced “identical conditions.” They lived in the same country and often the same local labour markets, but nationality may correlate with migration tenure, networks, occupation, mobility, benefit access, household structure, and pandemic responses. Say “shared local shocks, conditional on observables and the identifying assumption.”</w:t>
      </w:r>
    </w:p>
    <w:p>
      <w:pPr>
        <w:pStyle w:val="Heading2"/>
      </w:pPr>
      <w:r>
        <w:t>5.4 Correct the headline interpretation</w:t>
      </w:r>
    </w:p>
    <w:p>
      <w:pPr/>
      <w:r>
        <w:t>The abstract currently says most of the labour response came from pandemic work disutility rather than benefits. Model 15 says the opposite for job finding: the benefit-only counterfactual produces a -1.50 pp DiD, while the full model produces -1.31 pp. The common-COVID-only scenario increases the relative Australian-minus-NZ job-finding gap by +0.24 pp, and the differential-only effect is small.</w:t>
      </w:r>
    </w:p>
    <w:p>
      <w:pPr/>
      <w:r>
        <w:t>For employment exits, the important model-15 message is not “health versus benefits” as separate additive shares. It is complementarity: benefits move net surplus toward the steep part of the exit schedule, so the differential wedge has a larger effect in the full environment. The standalone scenarios leave about 1.97 pp of the full 3.72 pp DiD as interaction.</w:t>
      </w:r>
    </w:p>
    <w:p>
      <w:pPr/>
      <w:r>
        <w:t>Rewrite every summary around this distinction.</w:t>
      </w:r>
    </w:p>
    <w:p>
      <w:pPr>
        <w:pStyle w:val="Heading2"/>
      </w:pPr>
      <w:r>
        <w:t>5.5 Proposed abstract template</w:t>
      </w:r>
    </w:p>
    <w:p>
      <w:pPr/>
      <w:r>
        <w:t>The final numbers and confidence intervals must come from the redesigned analysis. A suitable structure is:</w:t>
      </w:r>
    </w:p>
    <w:p>
      <w:pPr>
        <w:pStyle w:val="Callout"/>
        <w:shd w:fill="EAF2F7"/>
        <w:pBdr>
          <w:left w:val="single" w:sz="18" w:space="5" w:color="2C6384"/>
        </w:pBdr>
      </w:pPr>
      <w:r>
        <w:t>We study how a large temporary expansion of unemployment assistance affected employment transitions during the COVID-19 recession. We link Australian payroll, tax, and social-security records and compare Australian citizens exposed to the JobSeeker expansion with observably similar New Zealand citizens living in the same local labour markets but generally ineligible for the payment. Using pre-policy cohorts and weekly employment risk sets, we estimate [effect and confidence interval] on job finding and [effect and confidence interval] on exits from recorded payroll employment. Results are [stable/not stable] to alternative transition definitions, policy dates, JobKeeper exposure, and deviations from parallel trends. We discipline a dynamic partial-equilibrium search and employment-exit model with the estimated transition moments. The model attributes [range] of the job-finding response to the benefit increase and shows that benefits interact nonlinearly with a differential work-surplus wedge in explaining employment exits. The findings show [one broad public-economics lesson], while not identifying the policy’s net welfare effect.</w:t>
      </w:r>
    </w:p>
    <w:p>
      <w:pPr/>
      <w:r>
        <w:t>Do not put “19%,” “64%,” or “no earnings gain” into the new abstract until the denominator, inference, and earnings regression are all fixed. The current 64% separation statement does not map transparently to the table cells: the 3.72 pp DiD is about 77% of the 4.84% Australian pre rate, while other denominators produce different percentages. Choose one denominator, explain it, and use percentage points as the primary metric.</w:t>
      </w:r>
    </w:p>
    <w:p>
      <w:pPr>
        <w:pStyle w:val="Heading2"/>
      </w:pPr>
      <w:r>
        <w:t>5.6 Recommended introduction architecture</w:t>
      </w:r>
    </w:p>
    <w:p>
      <w:pPr/>
      <w:r>
        <w:rPr>
          <w:b/>
        </w:rPr>
        <w:t>Paragraph 1: question and public-finance trade-off.</w:t>
      </w:r>
      <w:r>
        <w:t xml:space="preserve"> Explain why emergency benefits may reduce search/acceptance yet provide insurance and reduce socially costly contact when jobs are scarce.</w:t>
      </w:r>
    </w:p>
    <w:p>
      <w:pPr/>
      <w:r>
        <w:rPr>
          <w:b/>
        </w:rPr>
        <w:t>Paragraph 2: institutional experiment and identifying comparison.</w:t>
      </w:r>
      <w:r>
        <w:t xml:space="preserve"> Explain Australian exposure versus New Zealand ineligibility, shared labour markets, exact policy bundle, and the counterfactual assumption.</w:t>
      </w:r>
    </w:p>
    <w:p>
      <w:pPr/>
      <w:r>
        <w:rPr>
          <w:b/>
        </w:rPr>
        <w:t>Paragraph 3: empirical results.</w:t>
      </w:r>
      <w:r>
        <w:t xml:space="preserve"> Give point estimates in percentage points, confidence intervals, baseline rates, and the strongest robustness limitation. Distinguish job finding from employment exits.</w:t>
      </w:r>
    </w:p>
    <w:p>
      <w:pPr/>
      <w:r>
        <w:rPr>
          <w:b/>
        </w:rPr>
        <w:t>Paragraph 4: mechanism/model result.</w:t>
      </w:r>
      <w:r>
        <w:t xml:space="preserve"> Describe model 15 accurately, including the benefit-dominant job-finding result, nonlinear exit interaction, held-out prediction, and sensitivity range.</w:t>
      </w:r>
    </w:p>
    <w:p>
      <w:pPr/>
      <w:r>
        <w:rPr>
          <w:b/>
        </w:rPr>
        <w:t>Paragraph 5: literature and contribution.</w:t>
      </w:r>
      <w:r>
        <w:t xml:space="preserve"> Position against pandemic UI studies, standard UI moral-hazard/insurance work, search/tightness papers, and Australian policy evidence. Explain what linked citizenship and weekly transitions add.</w:t>
      </w:r>
    </w:p>
    <w:p>
      <w:pPr/>
      <w:r>
        <w:rPr>
          <w:b/>
        </w:rPr>
        <w:t>Paragraph 6: scope and limits.</w:t>
      </w:r>
      <w:r>
        <w:t xml:space="preserve"> State that the paper does not estimate welfare and that exposure is a policy bundle unless component identification succeeds.</w:t>
      </w:r>
    </w:p>
    <w:p>
      <w:pPr/>
      <w:r>
        <w:t>Then provide a short roadmap.</w:t>
      </w:r>
    </w:p>
    <w:p>
      <w:pPr>
        <w:pStyle w:val="Heading2"/>
      </w:pPr>
      <w:r>
        <w:t>5.7 Recommended paper structure</w:t>
      </w:r>
    </w:p>
    <w:p>
      <w:pPr>
        <w:pStyle w:val="ListNumber"/>
      </w:pPr>
      <w:r>
        <w:t>Introduction</w:t>
      </w:r>
    </w:p>
    <w:p>
      <w:pPr>
        <w:pStyle w:val="ListNumber"/>
      </w:pPr>
      <w:r>
        <w:t>Institutional setting and policy timeline</w:t>
      </w:r>
    </w:p>
    <w:p>
      <w:pPr>
        <w:pStyle w:val="ListNumber"/>
      </w:pPr>
      <w:r>
        <w:t>Data, cohort construction, outcomes, and descriptive evidence</w:t>
      </w:r>
    </w:p>
    <w:p>
      <w:pPr>
        <w:pStyle w:val="ListNumber"/>
      </w:pPr>
      <w:r>
        <w:t>Empirical strategy, estimand, and inference</w:t>
      </w:r>
    </w:p>
    <w:p>
      <w:pPr>
        <w:pStyle w:val="ListNumber"/>
      </w:pPr>
      <w:r>
        <w:t>Effects on job finding and employment exits</w:t>
      </w:r>
    </w:p>
    <w:p>
      <w:pPr>
        <w:pStyle w:val="ListNumber"/>
      </w:pPr>
      <w:r>
        <w:t>Mechanisms, policy interactions, and robustness</w:t>
      </w:r>
    </w:p>
    <w:p>
      <w:pPr>
        <w:pStyle w:val="ListNumber"/>
      </w:pPr>
      <w:r>
        <w:t>Dynamic interpretation model</w:t>
      </w:r>
    </w:p>
    <w:p>
      <w:pPr>
        <w:pStyle w:val="ListNumber"/>
      </w:pPr>
      <w:r>
        <w:t>Conclusion</w:t>
      </w:r>
    </w:p>
    <w:p>
      <w:pPr/>
      <w:r>
        <w:t>Move to the appendix:</w:t>
      </w:r>
    </w:p>
    <w:p>
      <w:pPr>
        <w:pStyle w:val="ListBullet"/>
      </w:pPr>
      <w:r>
        <w:t>long institutional detail not required to understand identification;</w:t>
      </w:r>
    </w:p>
    <w:p>
      <w:pPr>
        <w:pStyle w:val="ListBullet"/>
      </w:pPr>
      <w:r>
        <w:t>all balance distributions after the main balance table/Love plot;</w:t>
      </w:r>
    </w:p>
    <w:p>
      <w:pPr>
        <w:pStyle w:val="ListBullet"/>
      </w:pPr>
      <w:r>
        <w:t>alternative matching estimators;</w:t>
      </w:r>
    </w:p>
    <w:p>
      <w:pPr>
        <w:pStyle w:val="ListBullet"/>
      </w:pPr>
      <w:r>
        <w:t>placebo-date grids;</w:t>
      </w:r>
    </w:p>
    <w:p>
      <w:pPr>
        <w:pStyle w:val="ListBullet"/>
      </w:pPr>
      <w:r>
        <w:t>detailed subgroup tables;</w:t>
      </w:r>
    </w:p>
    <w:p>
      <w:pPr>
        <w:pStyle w:val="ListBullet"/>
      </w:pPr>
      <w:r>
        <w:t>model derivations, full grid, optimisation diagnostics, and all eight factorial scenarios; and</w:t>
      </w:r>
    </w:p>
    <w:p>
      <w:pPr>
        <w:pStyle w:val="ListBullet"/>
      </w:pPr>
      <w:r>
        <w:t>data construction and disclosure details.</w:t>
      </w:r>
    </w:p>
    <w:p>
      <w:pPr/>
      <w:r>
        <w:t xml:space="preserve">The current “RDD” material should be renamed. Time is the running variable and many other shocks occur at the cut-off; it is not a cross-sectional regression discontinuity with locally as-good-as-random assignment. Call it a </w:t>
      </w:r>
      <w:r>
        <w:rPr>
          <w:b/>
        </w:rPr>
        <w:t>controlled interrupted time-series/event-time robustness exercise</w:t>
      </w:r>
      <w:r>
        <w:t xml:space="preserve">. The code’s </w:t>
      </w:r>
      <w:r>
        <w:rPr>
          <w:rFonts w:ascii="Consolas" w:hAnsi="Consolas"/>
          <w:color w:val="18364E"/>
          <w:sz w:val="19"/>
        </w:rPr>
        <w:t>rdplot</w:t>
      </w:r>
      <w:r>
        <w:t xml:space="preserve"> output is a visual smoothing device, not in itself a causal RDD estimator.</w:t>
      </w:r>
    </w:p>
    <w:p>
      <w:pPr>
        <w:pStyle w:val="Heading2"/>
      </w:pPr>
      <w:r>
        <w:t>5.8 Rewrite the institutional section as an identification section</w:t>
      </w:r>
    </w:p>
    <w:p>
      <w:pPr/>
      <w:r>
        <w:t>The institutional section should contain one compact table:</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Feature</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Australians</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NZ citizens in Australia</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Identification relevance</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JobSeeker/Supplement eligibility</w:t>
            </w:r>
          </w:p>
        </w:tc>
        <w:tc>
          <w:tcPr>
            <w:tcW w:type="dxa" w:w="2409"/>
            <w:vAlign w:val="center"/>
            <w:tcMar>
              <w:top w:w="80" w:type="dxa"/>
              <w:start w:w="90" w:type="dxa"/>
              <w:bottom w:w="80" w:type="dxa"/>
              <w:end w:w="90" w:type="dxa"/>
            </w:tcMar>
          </w:tcPr>
          <w:p>
            <w:pPr>
              <w:spacing w:after="0" w:line="240" w:lineRule="auto"/>
            </w:pPr>
            <w:r>
              <w:rPr>
                <w:rFonts w:ascii="Aptos" w:hAnsi="Aptos"/>
                <w:sz w:val="16"/>
              </w:rPr>
              <w:t>Define precisely</w:t>
            </w:r>
          </w:p>
        </w:tc>
        <w:tc>
          <w:tcPr>
            <w:tcW w:type="dxa" w:w="2409"/>
            <w:vAlign w:val="center"/>
            <w:tcMar>
              <w:top w:w="80" w:type="dxa"/>
              <w:start w:w="90" w:type="dxa"/>
              <w:bottom w:w="80" w:type="dxa"/>
              <w:end w:w="90" w:type="dxa"/>
            </w:tcMar>
          </w:tcPr>
          <w:p>
            <w:pPr>
              <w:spacing w:after="0" w:line="240" w:lineRule="auto"/>
            </w:pPr>
            <w:r>
              <w:rPr>
                <w:rFonts w:ascii="Aptos" w:hAnsi="Aptos"/>
                <w:sz w:val="16"/>
              </w:rPr>
              <w:t>Define residency/SCV exceptions precisely</w:t>
            </w:r>
          </w:p>
        </w:tc>
        <w:tc>
          <w:tcPr>
            <w:tcW w:type="dxa" w:w="2409"/>
            <w:vAlign w:val="center"/>
            <w:tcMar>
              <w:top w:w="80" w:type="dxa"/>
              <w:start w:w="90" w:type="dxa"/>
              <w:bottom w:w="80" w:type="dxa"/>
              <w:end w:w="90" w:type="dxa"/>
            </w:tcMar>
          </w:tcPr>
          <w:p>
            <w:pPr>
              <w:spacing w:after="0" w:line="240" w:lineRule="auto"/>
            </w:pPr>
            <w:r>
              <w:rPr>
                <w:rFonts w:ascii="Aptos" w:hAnsi="Aptos"/>
                <w:sz w:val="16"/>
              </w:rPr>
              <w:t>Treatment exposure</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JobKeeper</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Employer/worker-specific</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Employer/worker-specific</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Major competing policy</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Mutual obligations</w:t>
            </w:r>
          </w:p>
        </w:tc>
        <w:tc>
          <w:tcPr>
            <w:tcW w:type="dxa" w:w="2409"/>
            <w:vAlign w:val="center"/>
            <w:tcMar>
              <w:top w:w="80" w:type="dxa"/>
              <w:start w:w="90" w:type="dxa"/>
              <w:bottom w:w="80" w:type="dxa"/>
              <w:end w:w="90" w:type="dxa"/>
            </w:tcMar>
          </w:tcPr>
          <w:p>
            <w:pPr>
              <w:spacing w:after="0" w:line="240" w:lineRule="auto"/>
            </w:pPr>
            <w:r>
              <w:rPr>
                <w:rFonts w:ascii="Aptos" w:hAnsi="Aptos"/>
                <w:sz w:val="16"/>
              </w:rPr>
              <w:t>Suspended/staged return</w:t>
            </w:r>
          </w:p>
        </w:tc>
        <w:tc>
          <w:tcPr>
            <w:tcW w:type="dxa" w:w="2409"/>
            <w:vAlign w:val="center"/>
            <w:tcMar>
              <w:top w:w="80" w:type="dxa"/>
              <w:start w:w="90" w:type="dxa"/>
              <w:bottom w:w="80" w:type="dxa"/>
              <w:end w:w="90" w:type="dxa"/>
            </w:tcMar>
          </w:tcPr>
          <w:p>
            <w:pPr>
              <w:spacing w:after="0" w:line="240" w:lineRule="auto"/>
            </w:pPr>
            <w:r>
              <w:rPr>
                <w:rFonts w:ascii="Aptos" w:hAnsi="Aptos"/>
                <w:sz w:val="16"/>
              </w:rPr>
              <w:t>Generally not applicable if ineligible</w:t>
            </w:r>
          </w:p>
        </w:tc>
        <w:tc>
          <w:tcPr>
            <w:tcW w:type="dxa" w:w="2409"/>
            <w:vAlign w:val="center"/>
            <w:tcMar>
              <w:top w:w="80" w:type="dxa"/>
              <w:start w:w="90" w:type="dxa"/>
              <w:bottom w:w="80" w:type="dxa"/>
              <w:end w:w="90" w:type="dxa"/>
            </w:tcMar>
          </w:tcPr>
          <w:p>
            <w:pPr>
              <w:spacing w:after="0" w:line="240" w:lineRule="auto"/>
            </w:pPr>
            <w:r>
              <w:rPr>
                <w:rFonts w:ascii="Aptos" w:hAnsi="Aptos"/>
                <w:sz w:val="16"/>
              </w:rPr>
              <w:t>Policy-bundle mechanism</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Health restrictions</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Same state/local area</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Same state/local area</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Shared shocks conditional on location</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Migration/return options</w:t>
            </w:r>
          </w:p>
        </w:tc>
        <w:tc>
          <w:tcPr>
            <w:tcW w:type="dxa" w:w="2409"/>
            <w:vAlign w:val="center"/>
            <w:tcMar>
              <w:top w:w="80" w:type="dxa"/>
              <w:start w:w="90" w:type="dxa"/>
              <w:bottom w:w="80" w:type="dxa"/>
              <w:end w:w="90" w:type="dxa"/>
            </w:tcMar>
          </w:tcPr>
          <w:p>
            <w:pPr>
              <w:spacing w:after="0" w:line="240" w:lineRule="auto"/>
            </w:pPr>
            <w:r>
              <w:rPr>
                <w:rFonts w:ascii="Aptos" w:hAnsi="Aptos"/>
                <w:sz w:val="16"/>
              </w:rPr>
              <w:t>Different</w:t>
            </w:r>
          </w:p>
        </w:tc>
        <w:tc>
          <w:tcPr>
            <w:tcW w:type="dxa" w:w="2409"/>
            <w:vAlign w:val="center"/>
            <w:tcMar>
              <w:top w:w="80" w:type="dxa"/>
              <w:start w:w="90" w:type="dxa"/>
              <w:bottom w:w="80" w:type="dxa"/>
              <w:end w:w="90" w:type="dxa"/>
            </w:tcMar>
          </w:tcPr>
          <w:p>
            <w:pPr>
              <w:spacing w:after="0" w:line="240" w:lineRule="auto"/>
            </w:pPr>
            <w:r>
              <w:rPr>
                <w:rFonts w:ascii="Aptos" w:hAnsi="Aptos"/>
                <w:sz w:val="16"/>
              </w:rPr>
              <w:t>Potential NZ return migration</w:t>
            </w:r>
          </w:p>
        </w:tc>
        <w:tc>
          <w:tcPr>
            <w:tcW w:type="dxa" w:w="2409"/>
            <w:vAlign w:val="center"/>
            <w:tcMar>
              <w:top w:w="80" w:type="dxa"/>
              <w:start w:w="90" w:type="dxa"/>
              <w:bottom w:w="80" w:type="dxa"/>
              <w:end w:w="90" w:type="dxa"/>
            </w:tcMar>
          </w:tcPr>
          <w:p>
            <w:pPr>
              <w:spacing w:after="0" w:line="240" w:lineRule="auto"/>
            </w:pPr>
            <w:r>
              <w:rPr>
                <w:rFonts w:ascii="Aptos" w:hAnsi="Aptos"/>
                <w:sz w:val="16"/>
              </w:rPr>
              <w:t>Attrition/composition threat</w:t>
            </w:r>
          </w:p>
        </w:tc>
      </w:tr>
    </w:tbl>
    <w:p>
      <w:pPr>
        <w:spacing w:after="20"/>
      </w:pPr>
    </w:p>
    <w:p>
      <w:pPr/>
      <w:r>
        <w:t>Follow it immediately with the identifying assumption and evidence on each threat. Do not postpone the treatment-bundle issue until robustness sections.</w:t>
      </w:r>
    </w:p>
    <w:p>
      <w:pPr>
        <w:pStyle w:val="Heading2"/>
      </w:pPr>
      <w:r>
        <w:t>5.9 Results-writing rules</w:t>
      </w:r>
    </w:p>
    <w:p>
      <w:pPr>
        <w:pStyle w:val="ListBullet"/>
      </w:pPr>
      <w:r>
        <w:t>Lead with percentage points, then translate to a percentage of a clearly named baseline.</w:t>
      </w:r>
    </w:p>
    <w:p>
      <w:pPr>
        <w:pStyle w:val="ListBullet"/>
      </w:pPr>
      <w:r>
        <w:t>Report confidence intervals in the prose.</w:t>
      </w:r>
    </w:p>
    <w:p>
      <w:pPr>
        <w:pStyle w:val="ListBullet"/>
      </w:pPr>
      <w:r>
        <w:t>Separate within-Australian before/after changes from the DiD estimate.</w:t>
      </w:r>
    </w:p>
    <w:p>
      <w:pPr>
        <w:pStyle w:val="ListBullet"/>
      </w:pPr>
      <w:r>
        <w:t>Do not interpret non-significance as zero.</w:t>
      </w:r>
    </w:p>
    <w:p>
      <w:pPr>
        <w:pStyle w:val="ListBullet"/>
      </w:pPr>
      <w:r>
        <w:t>Do not compare significance levels across subgroups; test coefficient differences.</w:t>
      </w:r>
    </w:p>
    <w:p>
      <w:pPr>
        <w:pStyle w:val="ListBullet"/>
      </w:pPr>
      <w:r>
        <w:t>Use “estimated” and “consistent with” where design assumptions are strong.</w:t>
      </w:r>
    </w:p>
    <w:p>
      <w:pPr>
        <w:pStyle w:val="ListBullet"/>
      </w:pPr>
      <w:r>
        <w:t>Use “exit from recorded payroll employment” unless exit type is observed.</w:t>
      </w:r>
    </w:p>
    <w:p>
      <w:pPr>
        <w:pStyle w:val="ListBullet"/>
      </w:pPr>
      <w:r>
        <w:t>State which results are fitted and held out in the model.</w:t>
      </w:r>
    </w:p>
    <w:p>
      <w:pPr>
        <w:pStyle w:val="ListBullet"/>
      </w:pPr>
      <w:r>
        <w:t xml:space="preserve">Call </w:t>
      </w:r>
      <w:r>
        <w:rPr>
          <w:rFonts w:ascii="Consolas" w:hAnsi="Consolas"/>
          <w:color w:val="18364E"/>
          <w:sz w:val="19"/>
        </w:rPr>
        <w:t>h_R - h_N</w:t>
      </w:r>
      <w:r>
        <w:t xml:space="preserve"> a differential net work-surplus wedge unless independently identified as health disutility.</w:t>
      </w:r>
    </w:p>
    <w:p>
      <w:pPr>
        <w:pStyle w:val="ListBullet"/>
      </w:pPr>
      <w:r>
        <w:t>Report model ranges alongside the benchmark.</w:t>
      </w:r>
    </w:p>
    <w:p>
      <w:pPr>
        <w:pStyle w:val="Heading2"/>
      </w:pPr>
      <w:r>
        <w:t>5.10 Literature positioning</w:t>
      </w:r>
    </w:p>
    <w:p>
      <w:pPr/>
      <w:r>
        <w:t>The paper should engage four literatures rather than list many loosely related studies.</w:t>
      </w:r>
    </w:p>
    <w:p>
      <w:pPr>
        <w:pStyle w:val="ListNumber"/>
      </w:pPr>
      <w:r>
        <w:rPr>
          <w:b/>
        </w:rPr>
        <w:t>Pandemic unemployment-benefit effects.</w:t>
      </w:r>
      <w:r>
        <w:t xml:space="preserve"> Contrast administrative job-finding estimates such as Ganong et al. with application/tightness evidence such as Marinescu, Skandalis, and Zhao. Emphasise Australia’s flat supplement and citizenship-based comparison.</w:t>
      </w:r>
    </w:p>
    <w:p>
      <w:pPr>
        <w:pStyle w:val="ListNumber"/>
      </w:pPr>
      <w:r>
        <w:rPr>
          <w:b/>
        </w:rPr>
        <w:t>Unemployment insurance, search, and liquidity/insurance.</w:t>
      </w:r>
      <w:r>
        <w:t xml:space="preserve"> Explain that a job-finding response need not be pure moral hazard and that net welfare requires insurance/liquidity evidence.</w:t>
      </w:r>
    </w:p>
    <w:p>
      <w:pPr>
        <w:pStyle w:val="ListNumber"/>
      </w:pPr>
      <w:r>
        <w:rPr>
          <w:b/>
        </w:rPr>
        <w:t>Labour demand and wage subsidies.</w:t>
      </w:r>
      <w:r>
        <w:t xml:space="preserve"> Use the JobKeeper literature to motivate why employment exits cannot be interpreted without employer support.</w:t>
      </w:r>
    </w:p>
    <w:p>
      <w:pPr>
        <w:pStyle w:val="ListNumber"/>
      </w:pPr>
      <w:r>
        <w:rPr>
          <w:b/>
        </w:rPr>
        <w:t>State-contingent policy and pandemic-specific work costs.</w:t>
      </w:r>
      <w:r>
        <w:t xml:space="preserve"> Position the nonlinear interaction result as the model’s potentially durable insight.</w:t>
      </w:r>
    </w:p>
    <w:p>
      <w:pPr/>
      <w:r>
        <w:t>The paper should not imply that a smaller job-finding rate is necessarily inefficient. Marinescu et al. argue that reduced applications may raise tightness when vacancies are exceptionally scarce. The paper can discuss this logic without making its own welfare claim.</w:t>
      </w:r>
    </w:p>
    <w:p>
      <w:pPr>
        <w:pStyle w:val="Heading2"/>
      </w:pPr>
      <w:r>
        <w:t>5.11 Conclusion rewrite</w:t>
      </w:r>
    </w:p>
    <w:p>
      <w:pPr/>
      <w:r>
        <w:t>The conclusion should do four things only:</w:t>
      </w:r>
    </w:p>
    <w:p>
      <w:pPr>
        <w:pStyle w:val="ListNumber"/>
      </w:pPr>
      <w:r>
        <w:t>Restate the design and preferred empirical estimates with uncertainty.</w:t>
      </w:r>
    </w:p>
    <w:p>
      <w:pPr>
        <w:pStyle w:val="ListNumber"/>
      </w:pPr>
      <w:r>
        <w:t>State the model’s robust qualitative finding and the range of quantitative decompositions.</w:t>
      </w:r>
    </w:p>
    <w:p>
      <w:pPr>
        <w:pStyle w:val="ListNumber"/>
      </w:pPr>
      <w:r>
        <w:t>Give the policy lesson: benefit disincentives and work-environment shocks may interact, so emergency-benefit design cannot be evaluated from normal-times elasticities alone.</w:t>
      </w:r>
    </w:p>
    <w:p>
      <w:pPr>
        <w:pStyle w:val="ListNumber"/>
      </w:pPr>
      <w:r>
        <w:t>State limitations: one policy episode, bundled reforms, citizenship comparability, payroll measurement, partial-equilibrium model, and no welfare estimate.</w:t>
      </w:r>
    </w:p>
    <w:p>
      <w:pPr/>
      <w:r>
        <w:t>Delete claims that the supplement had positive net social benefits unless a welfare model and appropriate empirical moments are added.</w:t>
      </w:r>
    </w:p>
    <w:p>
      <w:pPr>
        <w:pStyle w:val="Heading2"/>
      </w:pPr>
      <w:r>
        <w:t>5.12 Detailed consistency and copy-edit checklist</w:t>
      </w:r>
    </w:p>
    <w:p>
      <w:pPr>
        <w:pStyle w:val="ListBullet"/>
      </w:pPr>
      <w:r>
        <w:t>Reconcile the model version, equations, parameters, and output values everywhere.</w:t>
      </w:r>
    </w:p>
    <w:p>
      <w:pPr>
        <w:pStyle w:val="ListBullet"/>
      </w:pPr>
      <w:r>
        <w:t>Reconcile “19%” and “64%” with table cells and named denominators.</w:t>
      </w:r>
    </w:p>
    <w:p>
      <w:pPr>
        <w:pStyle w:val="ListBullet"/>
      </w:pPr>
      <w:r>
        <w:t>Define JFR and employment exit once and use identical definitions in tables, figures, and model targets.</w:t>
      </w:r>
    </w:p>
    <w:p>
      <w:pPr>
        <w:pStyle w:val="ListBullet"/>
      </w:pPr>
      <w:r>
        <w:t>Standardise “New Zealand citizens,” “New Zealanders,” and the legal Special Category Visa category.</w:t>
      </w:r>
    </w:p>
    <w:p>
      <w:pPr>
        <w:pStyle w:val="ListBullet"/>
      </w:pPr>
      <w:r>
        <w:t>Distinguish announcement, entitlement, and payment dates.</w:t>
      </w:r>
    </w:p>
    <w:p>
      <w:pPr>
        <w:pStyle w:val="ListBullet"/>
      </w:pPr>
      <w:r>
        <w:t>Replace “separation rate” where voluntary/involuntary status is unknown.</w:t>
      </w:r>
    </w:p>
    <w:p>
      <w:pPr>
        <w:pStyle w:val="ListBullet"/>
      </w:pPr>
      <w:r>
        <w:t>Remove “identical conditions.”</w:t>
      </w:r>
    </w:p>
    <w:p>
      <w:pPr>
        <w:pStyle w:val="ListBullet"/>
      </w:pPr>
      <w:r>
        <w:t>Replace causal “the Supplement” language with “policy exposure” where the bundle cannot be separated.</w:t>
      </w:r>
    </w:p>
    <w:p>
      <w:pPr>
        <w:pStyle w:val="ListBullet"/>
      </w:pPr>
      <w:r>
        <w:t>Explain why July is excluded; do not leave a code comment that exclusion increases the estimate.</w:t>
      </w:r>
    </w:p>
    <w:p>
      <w:pPr>
        <w:pStyle w:val="ListBullet"/>
      </w:pPr>
      <w:r>
        <w:t>Ensure all table notes state unit of observation, sample, weights, fixed effects, standard errors, risk-set definition, dates, and baseline mean.</w:t>
      </w:r>
    </w:p>
    <w:p>
      <w:pPr>
        <w:pStyle w:val="ListBullet"/>
      </w:pPr>
      <w:r>
        <w:t>Put exact N person-weeks, persons, employers, and transition events in every main table.</w:t>
      </w:r>
    </w:p>
    <w:p>
      <w:pPr>
        <w:pStyle w:val="ListBullet"/>
      </w:pPr>
      <w:r>
        <w:t>Use consistent rounding: coefficients in percentage points with two decimals; rates with two decimals; model parameters with meaningful precision.</w:t>
      </w:r>
    </w:p>
    <w:p>
      <w:pPr>
        <w:pStyle w:val="ListBullet"/>
      </w:pPr>
      <w:r>
        <w:t>Add JEL codes such as H53, J64, J65, and I18 after verifying the final framing.</w:t>
      </w:r>
    </w:p>
    <w:p>
      <w:pPr>
        <w:pStyle w:val="ListBullet"/>
      </w:pPr>
      <w:r>
        <w:t>Use keywords that reflect the policy and design: unemployment assistance, JobSeeker, job finding, employment exits, administrative data, COVID-19.</w:t>
      </w:r>
    </w:p>
    <w:p>
      <w:r>
        <w:br w:type="page"/>
      </w:r>
    </w:p>
    <w:p>
      <w:pPr>
        <w:pStyle w:val="Heading1"/>
      </w:pPr>
      <w:r>
        <w:t>6. Concrete execution plan</w:t>
      </w:r>
    </w:p>
    <w:p>
      <w:pPr>
        <w:pStyle w:val="Heading2"/>
      </w:pPr>
      <w:r>
        <w:t>Phase 1 — Freeze the research design</w:t>
      </w:r>
    </w:p>
    <w:p>
      <w:pPr/>
      <w:r>
        <w:rPr>
          <w:b/>
        </w:rPr>
        <w:t>Deliverables</w:t>
      </w:r>
    </w:p>
    <w:p>
      <w:pPr>
        <w:pStyle w:val="ListBullet"/>
      </w:pPr>
      <w:r>
        <w:t>one-page estimand note;</w:t>
      </w:r>
    </w:p>
    <w:p>
      <w:pPr>
        <w:pStyle w:val="ListBullet"/>
      </w:pPr>
      <w:r>
        <w:t>exact eligibility and citizenship rules;</w:t>
      </w:r>
    </w:p>
    <w:p>
      <w:pPr>
        <w:pStyle w:val="ListBullet"/>
      </w:pPr>
      <w:r>
        <w:t>exact policy timeline;</w:t>
      </w:r>
    </w:p>
    <w:p>
      <w:pPr>
        <w:pStyle w:val="ListBullet"/>
      </w:pPr>
      <w:r>
        <w:t>pre-treatment cohort definition;</w:t>
      </w:r>
    </w:p>
    <w:p>
      <w:pPr>
        <w:pStyle w:val="ListBullet"/>
      </w:pPr>
      <w:r>
        <w:t>job-finding and employment-exit risk-set definitions;</w:t>
      </w:r>
    </w:p>
    <w:p>
      <w:pPr>
        <w:pStyle w:val="ListBullet"/>
      </w:pPr>
      <w:r>
        <w:t>primary and secondary outcome definitions; and</w:t>
      </w:r>
    </w:p>
    <w:p>
      <w:pPr>
        <w:pStyle w:val="ListBullet"/>
      </w:pPr>
      <w:r>
        <w:t>pre-stated preferred windows and inference methods.</w:t>
      </w:r>
    </w:p>
    <w:p>
      <w:pPr/>
      <w:r>
        <w:rPr>
          <w:b/>
        </w:rPr>
        <w:t>Decision</w:t>
      </w:r>
    </w:p>
    <w:p>
      <w:pPr/>
      <w:r>
        <w:t>If the team cannot define treatment without realised future receipt, the paper should explicitly become a descriptive recipient comparison rather than a causal policy paper.</w:t>
      </w:r>
    </w:p>
    <w:p>
      <w:pPr>
        <w:pStyle w:val="Heading2"/>
      </w:pPr>
      <w:r>
        <w:t>Phase 2 — Rebuild and validate the microdata panel</w:t>
      </w:r>
    </w:p>
    <w:p>
      <w:pPr/>
      <w:r>
        <w:rPr>
          <w:b/>
        </w:rPr>
        <w:t>Deliverables</w:t>
      </w:r>
    </w:p>
    <w:p>
      <w:pPr>
        <w:pStyle w:val="ListBullet"/>
      </w:pPr>
      <w:r>
        <w:t>secure-data construction code;</w:t>
      </w:r>
    </w:p>
    <w:p>
      <w:pPr>
        <w:pStyle w:val="ListBullet"/>
      </w:pPr>
      <w:r>
        <w:t>cohort-flow table;</w:t>
      </w:r>
    </w:p>
    <w:p>
      <w:pPr>
        <w:pStyle w:val="ListBullet"/>
      </w:pPr>
      <w:r>
        <w:t>weekly denominators/events;</w:t>
      </w:r>
    </w:p>
    <w:p>
      <w:pPr>
        <w:pStyle w:val="ListBullet"/>
      </w:pPr>
      <w:r>
        <w:t>measurement-validation appendix;</w:t>
      </w:r>
    </w:p>
    <w:p>
      <w:pPr>
        <w:pStyle w:val="ListBullet"/>
      </w:pPr>
      <w:r>
        <w:t>balance and overlap package; and</w:t>
      </w:r>
    </w:p>
    <w:p>
      <w:pPr>
        <w:pStyle w:val="ListBullet"/>
      </w:pPr>
      <w:r>
        <w:t>synthetic replication data.</w:t>
      </w:r>
    </w:p>
    <w:p>
      <w:pPr/>
      <w:r>
        <w:rPr>
          <w:b/>
        </w:rPr>
        <w:t>Decision</w:t>
      </w:r>
    </w:p>
    <w:p>
      <w:pPr/>
      <w:r>
        <w:t>If STP cadence or attrition explains large transition differences, revise the outcome and narrow the claim before further modelling.</w:t>
      </w:r>
    </w:p>
    <w:p>
      <w:pPr>
        <w:pStyle w:val="Heading2"/>
      </w:pPr>
      <w:r>
        <w:t>Phase 3 — Re-estimate the reduced form</w:t>
      </w:r>
    </w:p>
    <w:p>
      <w:pPr/>
      <w:r>
        <w:rPr>
          <w:b/>
        </w:rPr>
        <w:t>Deliverables</w:t>
      </w:r>
    </w:p>
    <w:p>
      <w:pPr>
        <w:pStyle w:val="ListBullet"/>
      </w:pPr>
      <w:r>
        <w:t>person-week main estimates;</w:t>
      </w:r>
    </w:p>
    <w:p>
      <w:pPr>
        <w:pStyle w:val="ListBullet"/>
      </w:pPr>
      <w:r>
        <w:t>conservative time-series/few-policy confidence intervals;</w:t>
      </w:r>
    </w:p>
    <w:p>
      <w:pPr>
        <w:pStyle w:val="ListBullet"/>
      </w:pPr>
      <w:r>
        <w:t>long-preperiod event study;</w:t>
      </w:r>
    </w:p>
    <w:p>
      <w:pPr>
        <w:pStyle w:val="ListBullet"/>
      </w:pPr>
      <w:r>
        <w:t>HonestDiD/trend sensitivity;</w:t>
      </w:r>
    </w:p>
    <w:p>
      <w:pPr>
        <w:pStyle w:val="ListBullet"/>
      </w:pPr>
      <w:r>
        <w:t>placebo-date distribution;</w:t>
      </w:r>
    </w:p>
    <w:p>
      <w:pPr>
        <w:pStyle w:val="ListBullet"/>
      </w:pPr>
      <w:r>
        <w:t>JobKeeper analysis;</w:t>
      </w:r>
    </w:p>
    <w:p>
      <w:pPr>
        <w:pStyle w:val="ListBullet"/>
      </w:pPr>
      <w:r>
        <w:t>policy-date sensitivity; and</w:t>
      </w:r>
    </w:p>
    <w:p>
      <w:pPr>
        <w:pStyle w:val="ListBullet"/>
      </w:pPr>
      <w:r>
        <w:t>a frozen empirical target table with covariance matrix.</w:t>
      </w:r>
    </w:p>
    <w:p>
      <w:pPr/>
      <w:r>
        <w:rPr>
          <w:b/>
        </w:rPr>
        <w:t>Decision</w:t>
      </w:r>
    </w:p>
    <w:p>
      <w:pPr/>
      <w:r>
        <w:t>Proceed to a model-centred paper only if the sign and economically meaningful magnitude of the main effects survive the core design changes. Statistical significance at an arbitrary threshold is not the only criterion, but the uncertainty must support the strength of the claims.</w:t>
      </w:r>
    </w:p>
    <w:p>
      <w:pPr>
        <w:pStyle w:val="Heading2"/>
      </w:pPr>
      <w:r>
        <w:t>Phase 4 — Recalibrate and identify model 15</w:t>
      </w:r>
    </w:p>
    <w:p>
      <w:pPr/>
      <w:r>
        <w:rPr>
          <w:b/>
        </w:rPr>
        <w:t>Deliverables</w:t>
      </w:r>
    </w:p>
    <w:p>
      <w:pPr>
        <w:pStyle w:val="ListBullet"/>
      </w:pPr>
      <w:r>
        <w:t>corrected empirical targets;</w:t>
      </w:r>
    </w:p>
    <w:p>
      <w:pPr>
        <w:pStyle w:val="ListBullet"/>
      </w:pPr>
      <w:r>
        <w:t>weekly beta and aligned horizon;</w:t>
      </w:r>
    </w:p>
    <w:p>
      <w:pPr>
        <w:pStyle w:val="ListBullet"/>
      </w:pPr>
      <w:r>
        <w:t>actual replacement-rate distribution;</w:t>
      </w:r>
    </w:p>
    <w:p>
      <w:pPr>
        <w:pStyle w:val="ListBullet"/>
      </w:pPr>
      <w:r>
        <w:t>firm-exit consistency or simplified exogenous contact block;</w:t>
      </w:r>
    </w:p>
    <w:p>
      <w:pPr>
        <w:pStyle w:val="ListBullet"/>
      </w:pPr>
      <w:r>
        <w:t>full factorial/Shapley decomposition;</w:t>
      </w:r>
    </w:p>
    <w:p>
      <w:pPr>
        <w:pStyle w:val="ListBullet"/>
      </w:pPr>
      <w:r>
        <w:t>near-fit identified ranges;</w:t>
      </w:r>
    </w:p>
    <w:p>
      <w:pPr>
        <w:pStyle w:val="ListBullet"/>
      </w:pPr>
      <w:r>
        <w:t>empirical bootstrap through calibration;</w:t>
      </w:r>
    </w:p>
    <w:p>
      <w:pPr>
        <w:pStyle w:val="ListBullet"/>
      </w:pPr>
      <w:r>
        <w:t>dynamic/subgroup validation; and</w:t>
      </w:r>
    </w:p>
    <w:p>
      <w:pPr>
        <w:pStyle w:val="ListBullet"/>
      </w:pPr>
      <w:r>
        <w:t>locked Julia replication environment.</w:t>
      </w:r>
    </w:p>
    <w:p>
      <w:pPr/>
      <w:r>
        <w:rPr>
          <w:b/>
        </w:rPr>
        <w:t>Decision</w:t>
      </w:r>
    </w:p>
    <w:p>
      <w:pPr/>
      <w:r>
        <w:t>Keep the model in the main text if its robust qualitative result and useful quantitative bounds survive. Otherwise present it as an appendix interpretation exercise or submit a reduced-form paper.</w:t>
      </w:r>
    </w:p>
    <w:p>
      <w:pPr>
        <w:pStyle w:val="Heading2"/>
      </w:pPr>
      <w:r>
        <w:t>Phase 5 — Rewrite from a blank outline</w:t>
      </w:r>
    </w:p>
    <w:p>
      <w:pPr/>
      <w:r>
        <w:t>Do not patch the current prose section by section. Create a new manuscript skeleton using the structure in section 5.7, place the final exhibits first, and write around them.</w:t>
      </w:r>
    </w:p>
    <w:p>
      <w:pPr/>
      <w:r>
        <w:rPr>
          <w:b/>
        </w:rPr>
        <w:t>Deliverables</w:t>
      </w:r>
    </w:p>
    <w:p>
      <w:pPr>
        <w:pStyle w:val="ListBullet"/>
      </w:pPr>
      <w:r>
        <w:t>new title and 200–250 word abstract;</w:t>
      </w:r>
    </w:p>
    <w:p>
      <w:pPr>
        <w:pStyle w:val="ListBullet"/>
      </w:pPr>
      <w:r>
        <w:t>six-paragraph introduction;</w:t>
      </w:r>
    </w:p>
    <w:p>
      <w:pPr>
        <w:pStyle w:val="ListBullet"/>
      </w:pPr>
      <w:r>
        <w:t>identification-first institutional section;</w:t>
      </w:r>
    </w:p>
    <w:p>
      <w:pPr>
        <w:pStyle w:val="ListBullet"/>
      </w:pPr>
      <w:r>
        <w:t>concise empirical design and inference section;</w:t>
      </w:r>
    </w:p>
    <w:p>
      <w:pPr>
        <w:pStyle w:val="ListBullet"/>
      </w:pPr>
      <w:r>
        <w:t>model-15 section based on the actual code;</w:t>
      </w:r>
    </w:p>
    <w:p>
      <w:pPr>
        <w:pStyle w:val="ListBullet"/>
      </w:pPr>
      <w:r>
        <w:t>restrained conclusion; and</w:t>
      </w:r>
    </w:p>
    <w:p>
      <w:pPr>
        <w:pStyle w:val="ListBullet"/>
      </w:pPr>
      <w:r>
        <w:t>online appendix with construction, robustness, and model details.</w:t>
      </w:r>
    </w:p>
    <w:p>
      <w:pPr>
        <w:pStyle w:val="Heading2"/>
      </w:pPr>
      <w:r>
        <w:t>Phase 6 — Internal referee process</w:t>
      </w:r>
    </w:p>
    <w:p>
      <w:pPr/>
      <w:r>
        <w:t>Before submission, ask at least three readers to take distinct roles:</w:t>
      </w:r>
    </w:p>
    <w:p>
      <w:pPr>
        <w:pStyle w:val="ListBullet"/>
      </w:pPr>
      <w:r>
        <w:t>an applied microeconometrician to attack cohort selection and inference;</w:t>
      </w:r>
    </w:p>
    <w:p>
      <w:pPr>
        <w:pStyle w:val="ListBullet"/>
      </w:pPr>
      <w:r>
        <w:t>a search/public-finance modeller to audit model identification and welfare language; and</w:t>
      </w:r>
    </w:p>
    <w:p>
      <w:pPr>
        <w:pStyle w:val="ListBullet"/>
      </w:pPr>
      <w:r>
        <w:t>an Australian institutions/data expert to audit eligibility, dates, JobKeeper, and STP measurement.</w:t>
      </w:r>
    </w:p>
    <w:p>
      <w:pPr/>
      <w:r>
        <w:t>Give them the paper, appendix, code map, and a one-page list of the assumptions the authors believe are essential. Resolve objections with new evidence or narrower claims, not only additional prose.</w:t>
      </w:r>
    </w:p>
    <w:p>
      <w:pPr>
        <w:pStyle w:val="Heading2"/>
      </w:pPr>
      <w:r>
        <w:t>Recommended stop/go dashboard</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cantSplit/>
          <w:tblHeader w:val="true"/>
        </w:trPr>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Question</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Green</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Amber</w:t>
            </w:r>
          </w:p>
        </w:tc>
        <w:tc>
          <w:tcPr>
            <w:tcW w:type="dxa" w:w="2409"/>
            <w:vAlign w:val="center"/>
            <w:tcMar>
              <w:top w:w="80" w:type="dxa"/>
              <w:start w:w="90" w:type="dxa"/>
              <w:bottom w:w="80" w:type="dxa"/>
              <w:end w:w="90" w:type="dxa"/>
            </w:tcMar>
            <w:shd w:fill="18364E"/>
          </w:tcPr>
          <w:p>
            <w:pPr>
              <w:spacing w:after="0" w:line="240" w:lineRule="auto"/>
            </w:pPr>
            <w:r>
              <w:rPr>
                <w:rFonts w:ascii="Aptos" w:hAnsi="Aptos"/>
                <w:b/>
                <w:color w:val="FFFFFF"/>
                <w:sz w:val="16"/>
              </w:rPr>
              <w:t>Red</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Does the effect survive an ex-ante cohort?</w:t>
            </w:r>
          </w:p>
        </w:tc>
        <w:tc>
          <w:tcPr>
            <w:tcW w:type="dxa" w:w="2409"/>
            <w:vAlign w:val="center"/>
            <w:tcMar>
              <w:top w:w="80" w:type="dxa"/>
              <w:start w:w="90" w:type="dxa"/>
              <w:bottom w:w="80" w:type="dxa"/>
              <w:end w:w="90" w:type="dxa"/>
            </w:tcMar>
          </w:tcPr>
          <w:p>
            <w:pPr>
              <w:spacing w:after="0" w:line="240" w:lineRule="auto"/>
            </w:pPr>
            <w:r>
              <w:rPr>
                <w:rFonts w:ascii="Aptos" w:hAnsi="Aptos"/>
                <w:sz w:val="16"/>
              </w:rPr>
              <w:t>Similar sign/magnitude</w:t>
            </w:r>
          </w:p>
        </w:tc>
        <w:tc>
          <w:tcPr>
            <w:tcW w:type="dxa" w:w="2409"/>
            <w:vAlign w:val="center"/>
            <w:tcMar>
              <w:top w:w="80" w:type="dxa"/>
              <w:start w:w="90" w:type="dxa"/>
              <w:bottom w:w="80" w:type="dxa"/>
              <w:end w:w="90" w:type="dxa"/>
            </w:tcMar>
          </w:tcPr>
          <w:p>
            <w:pPr>
              <w:spacing w:after="0" w:line="240" w:lineRule="auto"/>
            </w:pPr>
            <w:r>
              <w:rPr>
                <w:rFonts w:ascii="Aptos" w:hAnsi="Aptos"/>
                <w:sz w:val="16"/>
              </w:rPr>
              <w:t>Smaller, imprecise but informative</w:t>
            </w:r>
          </w:p>
        </w:tc>
        <w:tc>
          <w:tcPr>
            <w:tcW w:type="dxa" w:w="2409"/>
            <w:vAlign w:val="center"/>
            <w:tcMar>
              <w:top w:w="80" w:type="dxa"/>
              <w:start w:w="90" w:type="dxa"/>
              <w:bottom w:w="80" w:type="dxa"/>
              <w:end w:w="90" w:type="dxa"/>
            </w:tcMar>
          </w:tcPr>
          <w:p>
            <w:pPr>
              <w:spacing w:after="0" w:line="240" w:lineRule="auto"/>
            </w:pPr>
            <w:r>
              <w:rPr>
                <w:rFonts w:ascii="Aptos" w:hAnsi="Aptos"/>
                <w:sz w:val="16"/>
              </w:rPr>
              <w:t>Reverses or disappears mechanically</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Does conservative inference support the claim?</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CI excludes small effects</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Wide CI but economically bounded</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CI spans large effects of both signs</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Can JobKeeper be addressed?</w:t>
            </w:r>
          </w:p>
        </w:tc>
        <w:tc>
          <w:tcPr>
            <w:tcW w:type="dxa" w:w="2409"/>
            <w:vAlign w:val="center"/>
            <w:tcMar>
              <w:top w:w="80" w:type="dxa"/>
              <w:start w:w="90" w:type="dxa"/>
              <w:bottom w:w="80" w:type="dxa"/>
              <w:end w:w="90" w:type="dxa"/>
            </w:tcMar>
          </w:tcPr>
          <w:p>
            <w:pPr>
              <w:spacing w:after="0" w:line="240" w:lineRule="auto"/>
            </w:pPr>
            <w:r>
              <w:rPr>
                <w:rFonts w:ascii="Aptos" w:hAnsi="Aptos"/>
                <w:sz w:val="16"/>
              </w:rPr>
              <w:t>Direct exposure/design</w:t>
            </w:r>
          </w:p>
        </w:tc>
        <w:tc>
          <w:tcPr>
            <w:tcW w:type="dxa" w:w="2409"/>
            <w:vAlign w:val="center"/>
            <w:tcMar>
              <w:top w:w="80" w:type="dxa"/>
              <w:start w:w="90" w:type="dxa"/>
              <w:bottom w:w="80" w:type="dxa"/>
              <w:end w:w="90" w:type="dxa"/>
            </w:tcMar>
          </w:tcPr>
          <w:p>
            <w:pPr>
              <w:spacing w:after="0" w:line="240" w:lineRule="auto"/>
            </w:pPr>
            <w:r>
              <w:rPr>
                <w:rFonts w:ascii="Aptos" w:hAnsi="Aptos"/>
                <w:sz w:val="16"/>
              </w:rPr>
              <w:t>Strong predicted exposure checks</w:t>
            </w:r>
          </w:p>
        </w:tc>
        <w:tc>
          <w:tcPr>
            <w:tcW w:type="dxa" w:w="2409"/>
            <w:vAlign w:val="center"/>
            <w:tcMar>
              <w:top w:w="80" w:type="dxa"/>
              <w:start w:w="90" w:type="dxa"/>
              <w:bottom w:w="80" w:type="dxa"/>
              <w:end w:w="90" w:type="dxa"/>
            </w:tcMar>
          </w:tcPr>
          <w:p>
            <w:pPr>
              <w:spacing w:after="0" w:line="240" w:lineRule="auto"/>
            </w:pPr>
            <w:r>
              <w:rPr>
                <w:rFonts w:ascii="Aptos" w:hAnsi="Aptos"/>
                <w:sz w:val="16"/>
              </w:rPr>
              <w:t>Only a calendar dummy</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Are exits interpretable?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Reason/type observed</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Persistent payroll exits</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One-week missing pay in selected sample</w:t>
            </w:r>
          </w:p>
        </w:tc>
      </w:tr>
      <w:tr>
        <w:trPr>
          <w:cantSplit/>
        </w:trPr>
        <w:tc>
          <w:tcPr>
            <w:tcW w:type="dxa" w:w="2409"/>
            <w:vAlign w:val="center"/>
            <w:tcMar>
              <w:top w:w="80" w:type="dxa"/>
              <w:start w:w="90" w:type="dxa"/>
              <w:bottom w:w="80" w:type="dxa"/>
              <w:end w:w="90" w:type="dxa"/>
            </w:tcMar>
          </w:tcPr>
          <w:p>
            <w:pPr>
              <w:spacing w:after="0" w:line="240" w:lineRule="auto"/>
            </w:pPr>
            <w:r>
              <w:rPr>
                <w:rFonts w:ascii="Aptos" w:hAnsi="Aptos"/>
                <w:sz w:val="16"/>
              </w:rPr>
              <w:t>Is model mechanism identified?</w:t>
            </w:r>
          </w:p>
        </w:tc>
        <w:tc>
          <w:tcPr>
            <w:tcW w:type="dxa" w:w="2409"/>
            <w:vAlign w:val="center"/>
            <w:tcMar>
              <w:top w:w="80" w:type="dxa"/>
              <w:start w:w="90" w:type="dxa"/>
              <w:bottom w:w="80" w:type="dxa"/>
              <w:end w:w="90" w:type="dxa"/>
            </w:tcMar>
          </w:tcPr>
          <w:p>
            <w:pPr>
              <w:spacing w:after="0" w:line="240" w:lineRule="auto"/>
            </w:pPr>
            <w:r>
              <w:rPr>
                <w:rFonts w:ascii="Aptos" w:hAnsi="Aptos"/>
                <w:sz w:val="16"/>
              </w:rPr>
              <w:t>External moments/stable set</w:t>
            </w:r>
          </w:p>
        </w:tc>
        <w:tc>
          <w:tcPr>
            <w:tcW w:type="dxa" w:w="2409"/>
            <w:vAlign w:val="center"/>
            <w:tcMar>
              <w:top w:w="80" w:type="dxa"/>
              <w:start w:w="90" w:type="dxa"/>
              <w:bottom w:w="80" w:type="dxa"/>
              <w:end w:w="90" w:type="dxa"/>
            </w:tcMar>
          </w:tcPr>
          <w:p>
            <w:pPr>
              <w:spacing w:after="0" w:line="240" w:lineRule="auto"/>
            </w:pPr>
            <w:r>
              <w:rPr>
                <w:rFonts w:ascii="Aptos" w:hAnsi="Aptos"/>
                <w:sz w:val="16"/>
              </w:rPr>
              <w:t>Wide but informative bounds</w:t>
            </w:r>
          </w:p>
        </w:tc>
        <w:tc>
          <w:tcPr>
            <w:tcW w:type="dxa" w:w="2409"/>
            <w:vAlign w:val="center"/>
            <w:tcMar>
              <w:top w:w="80" w:type="dxa"/>
              <w:start w:w="90" w:type="dxa"/>
              <w:bottom w:w="80" w:type="dxa"/>
              <w:end w:w="90" w:type="dxa"/>
            </w:tcMar>
          </w:tcPr>
          <w:p>
            <w:pPr>
              <w:spacing w:after="0" w:line="240" w:lineRule="auto"/>
            </w:pPr>
            <w:r>
              <w:rPr>
                <w:rFonts w:ascii="Aptos" w:hAnsi="Aptos"/>
                <w:sz w:val="16"/>
              </w:rPr>
              <w:t>Benchmark depends on grid tie-break</w:t>
            </w:r>
          </w:p>
        </w:tc>
      </w:tr>
      <w:tr>
        <w:trPr>
          <w:cantSplit/>
        </w:trPr>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Is welfare estimated?</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Full welfare structure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Explicitly out of scope</w:t>
            </w:r>
          </w:p>
        </w:tc>
        <w:tc>
          <w:tcPr>
            <w:tcW w:type="dxa" w:w="2409"/>
            <w:vAlign w:val="center"/>
            <w:tcMar>
              <w:top w:w="80" w:type="dxa"/>
              <w:start w:w="90" w:type="dxa"/>
              <w:bottom w:w="80" w:type="dxa"/>
              <w:end w:w="90" w:type="dxa"/>
            </w:tcMar>
            <w:shd w:fill="F2F4F5"/>
          </w:tcPr>
          <w:p>
            <w:pPr>
              <w:spacing w:after="0" w:line="240" w:lineRule="auto"/>
            </w:pPr>
            <w:r>
              <w:rPr>
                <w:rFonts w:ascii="Aptos" w:hAnsi="Aptos"/>
                <w:sz w:val="16"/>
              </w:rPr>
              <w:t>Unsupported net-benefit claim</w:t>
            </w:r>
          </w:p>
        </w:tc>
      </w:tr>
    </w:tbl>
    <w:p>
      <w:pPr>
        <w:spacing w:after="20"/>
      </w:pPr>
    </w:p>
    <w:p>
      <w:r>
        <w:br w:type="page"/>
      </w:r>
    </w:p>
    <w:p>
      <w:pPr>
        <w:pStyle w:val="Heading1"/>
      </w:pPr>
      <w:r>
        <w:t>7. JPubE submission package</w:t>
      </w:r>
    </w:p>
    <w:p>
      <w:pPr>
        <w:pStyle w:val="Heading2"/>
      </w:pPr>
      <w:r>
        <w:t>7.1 Article type</w:t>
      </w:r>
    </w:p>
    <w:p>
      <w:pPr/>
      <w:r>
        <w:t>Use the regular research-article route unless the final paper can stand alone within 6,000 words and five exhibits. JPubE’s short-paper route imposes those limits and expects the main text to stand alone. The present project needs more room because identification, administrative-data construction, and model sensitivity are central rather than ancillary.</w:t>
      </w:r>
    </w:p>
    <w:p>
      <w:pPr>
        <w:pStyle w:val="Heading2"/>
      </w:pPr>
      <w:r>
        <w:t>7.2 Current journal-facing checklist</w:t>
      </w:r>
    </w:p>
    <w:p>
      <w:pPr/>
      <w:r>
        <w:t xml:space="preserve">Recheck the live </w:t>
      </w:r>
      <w:hyperlink r:id="rId22">
        <w:r>
          <w:rPr>
            <w:color w:val="2C6384"/>
            <w:u w:val="single"/>
          </w:rPr>
          <w:t>JPubE Guide for Authors</w:t>
        </w:r>
      </w:hyperlink>
      <w:r>
        <w:t xml:space="preserve"> immediately before submission. Based on the current guide/publisher requirements, prepare:</w:t>
      </w:r>
    </w:p>
    <w:p>
      <w:pPr>
        <w:pStyle w:val="ListBullet"/>
      </w:pPr>
      <w:r>
        <w:t>editable manuscript source and editable tables;</w:t>
      </w:r>
    </w:p>
    <w:p>
      <w:pPr>
        <w:pStyle w:val="ListBullet"/>
      </w:pPr>
      <w:r>
        <w:t>concise abstract within the journal limit;</w:t>
      </w:r>
    </w:p>
    <w:p>
      <w:pPr>
        <w:pStyle w:val="ListBullet"/>
      </w:pPr>
      <w:r>
        <w:t>1–7 keywords;</w:t>
      </w:r>
    </w:p>
    <w:p>
      <w:pPr>
        <w:pStyle w:val="ListBullet"/>
      </w:pPr>
      <w:r>
        <w:t>3–5 highlights, each no more than 85 characters, in a separate editable file;</w:t>
      </w:r>
    </w:p>
    <w:p>
      <w:pPr>
        <w:pStyle w:val="ListBullet"/>
      </w:pPr>
      <w:r>
        <w:t>title page and corresponding-author details;</w:t>
      </w:r>
    </w:p>
    <w:p>
      <w:pPr>
        <w:pStyle w:val="ListBullet"/>
      </w:pPr>
      <w:r>
        <w:t>funding statement;</w:t>
      </w:r>
    </w:p>
    <w:p>
      <w:pPr>
        <w:pStyle w:val="ListBullet"/>
      </w:pPr>
      <w:r>
        <w:t>competing-interest declaration;</w:t>
      </w:r>
    </w:p>
    <w:p>
      <w:pPr>
        <w:pStyle w:val="ListBullet"/>
      </w:pPr>
      <w:r>
        <w:t>author-contribution statement if requested;</w:t>
      </w:r>
    </w:p>
    <w:p>
      <w:pPr>
        <w:pStyle w:val="ListBullet"/>
      </w:pPr>
      <w:r>
        <w:t>data/code availability statement;</w:t>
      </w:r>
    </w:p>
    <w:p>
      <w:pPr>
        <w:pStyle w:val="ListBullet"/>
      </w:pPr>
      <w:r>
        <w:t>all figure captions and accessible, publication-quality files;</w:t>
      </w:r>
    </w:p>
    <w:p>
      <w:pPr>
        <w:pStyle w:val="ListBullet"/>
      </w:pPr>
      <w:r>
        <w:t>online appendix and replication README; and</w:t>
      </w:r>
    </w:p>
    <w:p>
      <w:pPr>
        <w:pStyle w:val="ListBullet"/>
      </w:pPr>
      <w:r>
        <w:t>any required declaration of generative-AI use in manuscript preparation.</w:t>
      </w:r>
    </w:p>
    <w:p>
      <w:pPr/>
      <w:r>
        <w:t>Because AI assistance has been used in developing this review and may be used in rewriting, the authors should check Elsevier’s current generative-AI policy and disclose use in the form required at submission. Human authors remain responsible for every claim, reference, equation, and result. Do not treat this report as verified manuscript text without author review.</w:t>
      </w:r>
    </w:p>
    <w:p>
      <w:pPr/>
      <w:r>
        <w:t>The journal currently lists a submission fee on its homepage; verify the amount and any student rate at the time of submission (</w:t>
      </w:r>
      <w:hyperlink r:id="rId11">
        <w:r>
          <w:rPr>
            <w:color w:val="2C6384"/>
            <w:u w:val="single"/>
          </w:rPr>
          <w:t>JPubE homepage</w:t>
        </w:r>
      </w:hyperlink>
      <w:r>
        <w:t>).</w:t>
      </w:r>
    </w:p>
    <w:p>
      <w:pPr>
        <w:pStyle w:val="Heading2"/>
      </w:pPr>
      <w:r>
        <w:t>7.3 Suggested highlights, conditional on final results</w:t>
      </w:r>
    </w:p>
    <w:p>
      <w:pPr/>
      <w:r>
        <w:t>These are structural templates and must be updated after re-estimation:</w:t>
      </w:r>
    </w:p>
    <w:p>
      <w:pPr>
        <w:pStyle w:val="ListBullet"/>
      </w:pPr>
      <w:r>
        <w:t>Linked records compare Australians with ineligible New Zealand workers</w:t>
      </w:r>
    </w:p>
    <w:p>
      <w:pPr>
        <w:pStyle w:val="ListBullet"/>
      </w:pPr>
      <w:r>
        <w:t>Emergency benefits reduced weekly job finding by [final estimate]</w:t>
      </w:r>
    </w:p>
    <w:p>
      <w:pPr>
        <w:pStyle w:val="ListBullet"/>
      </w:pPr>
      <w:r>
        <w:t>Effects are robust to [most decisive design check]</w:t>
      </w:r>
    </w:p>
    <w:p>
      <w:pPr>
        <w:pStyle w:val="ListBullet"/>
      </w:pPr>
      <w:r>
        <w:t>Benefits and work costs interact in explaining employment exits</w:t>
      </w:r>
    </w:p>
    <w:p>
      <w:pPr>
        <w:pStyle w:val="ListBullet"/>
      </w:pPr>
      <w:r>
        <w:t>Model uncertainty is reported across near-fitting specifications</w:t>
      </w:r>
    </w:p>
    <w:p>
      <w:pPr/>
      <w:r>
        <w:t>Keep each final bullet within the journal’s character limit.</w:t>
      </w:r>
    </w:p>
    <w:p>
      <w:pPr>
        <w:pStyle w:val="Heading2"/>
      </w:pPr>
      <w:r>
        <w:t>7.4 Cover-letter argument</w:t>
      </w:r>
    </w:p>
    <w:p>
      <w:pPr/>
      <w:r>
        <w:t>The cover letter should make four points in one page:</w:t>
      </w:r>
    </w:p>
    <w:p>
      <w:pPr>
        <w:pStyle w:val="ListNumber"/>
      </w:pPr>
      <w:r>
        <w:t>The paper addresses unemployment-insurance design under aggregate and health shocks, a core public-economics question.</w:t>
      </w:r>
    </w:p>
    <w:p>
      <w:pPr>
        <w:pStyle w:val="ListNumber"/>
      </w:pPr>
      <w:r>
        <w:t>The citizenship-based comparison and linked weekly administrative records provide evidence unavailable in existing US studies.</w:t>
      </w:r>
    </w:p>
    <w:p>
      <w:pPr>
        <w:pStyle w:val="ListNumber"/>
      </w:pPr>
      <w:r>
        <w:t>The paper deals directly with one-policy inference, policy bundling, JobKeeper, and administrative-data measurement.</w:t>
      </w:r>
    </w:p>
    <w:p>
      <w:pPr>
        <w:pStyle w:val="ListNumber"/>
      </w:pPr>
      <w:r>
        <w:t>The model’s contribution is nonlinear interaction and transparent identified ranges, not an unsupported welfare calculation.</w:t>
      </w:r>
    </w:p>
    <w:p>
      <w:pPr/>
      <w:r>
        <w:t>Do not oversell the natural experiment. Editors often react better to a precise assumption and extensive diagnostics than to an “ideal control group” claim that referees can quickly challenge.</w:t>
      </w:r>
    </w:p>
    <w:p>
      <w:pPr>
        <w:pStyle w:val="Heading2"/>
      </w:pPr>
      <w:r>
        <w:t>7.5 Replication package outline</w:t>
      </w:r>
    </w:p>
    <w:tbl>
      <w:tblPr>
        <w:tblStyle w:val="TableGrid"/>
        <w:tblW w:type="auto" w:w="0"/>
        <w:jc w:val="center"/>
        <w:tblLayout w:type="autofit"/>
        <w:tblLook w:firstColumn="1" w:firstRow="1" w:lastColumn="0" w:lastRow="0" w:noHBand="0" w:noVBand="1" w:val="04A0"/>
      </w:tblPr>
      <w:tblGrid>
        <w:gridCol w:w="4819"/>
        <w:gridCol w:w="4819"/>
      </w:tblGrid>
      <w:tr>
        <w:trPr>
          <w:cantSplit/>
          <w:tblHeader w:val="true"/>
        </w:trPr>
        <w:tc>
          <w:tcPr>
            <w:tcW w:type="dxa" w:w="4819"/>
            <w:vAlign w:val="center"/>
            <w:tcMar>
              <w:top w:w="80" w:type="dxa"/>
              <w:start w:w="90" w:type="dxa"/>
              <w:bottom w:w="80" w:type="dxa"/>
              <w:end w:w="90" w:type="dxa"/>
            </w:tcMar>
            <w:shd w:fill="18364E"/>
          </w:tcPr>
          <w:p>
            <w:pPr>
              <w:spacing w:after="0" w:line="240" w:lineRule="auto"/>
            </w:pPr>
            <w:r>
              <w:rPr>
                <w:rFonts w:ascii="Aptos" w:hAnsi="Aptos"/>
                <w:b/>
                <w:color w:val="FFFFFF"/>
                <w:sz w:val="16"/>
              </w:rPr>
              <w:t>Folder</w:t>
            </w:r>
          </w:p>
        </w:tc>
        <w:tc>
          <w:tcPr>
            <w:tcW w:type="dxa" w:w="4819"/>
            <w:vAlign w:val="center"/>
            <w:tcMar>
              <w:top w:w="80" w:type="dxa"/>
              <w:start w:w="90" w:type="dxa"/>
              <w:bottom w:w="80" w:type="dxa"/>
              <w:end w:w="90" w:type="dxa"/>
            </w:tcMar>
            <w:shd w:fill="18364E"/>
          </w:tcPr>
          <w:p>
            <w:pPr>
              <w:spacing w:after="0" w:line="240" w:lineRule="auto"/>
            </w:pPr>
            <w:r>
              <w:rPr>
                <w:rFonts w:ascii="Aptos" w:hAnsi="Aptos"/>
                <w:b/>
                <w:color w:val="FFFFFF"/>
                <w:sz w:val="16"/>
              </w:rPr>
              <w:t>Contents</w:t>
            </w:r>
          </w:p>
        </w:tc>
      </w:tr>
      <w:tr>
        <w:trPr>
          <w:cantSplit/>
        </w:trPr>
        <w:tc>
          <w:tcPr>
            <w:tcW w:type="dxa" w:w="4819"/>
            <w:vAlign w:val="center"/>
            <w:tcMar>
              <w:top w:w="80" w:type="dxa"/>
              <w:start w:w="90" w:type="dxa"/>
              <w:bottom w:w="80" w:type="dxa"/>
              <w:end w:w="90" w:type="dxa"/>
            </w:tcMar>
          </w:tcPr>
          <w:p>
            <w:pPr>
              <w:spacing w:after="0" w:line="240" w:lineRule="auto"/>
            </w:pPr>
            <w:r>
              <w:rPr>
                <w:rFonts w:ascii="Aptos" w:hAnsi="Aptos"/>
                <w:color w:val="18364E"/>
                <w:sz w:val="16"/>
              </w:rPr>
              <w:t>code/secure_build</w:t>
            </w:r>
          </w:p>
        </w:tc>
        <w:tc>
          <w:tcPr>
            <w:tcW w:type="dxa" w:w="4819"/>
            <w:vAlign w:val="center"/>
            <w:tcMar>
              <w:top w:w="80" w:type="dxa"/>
              <w:start w:w="90" w:type="dxa"/>
              <w:bottom w:w="80" w:type="dxa"/>
              <w:end w:w="90" w:type="dxa"/>
            </w:tcMar>
          </w:tcPr>
          <w:p>
            <w:pPr>
              <w:spacing w:after="0" w:line="240" w:lineRule="auto"/>
            </w:pPr>
            <w:r>
              <w:rPr>
                <w:rFonts w:ascii="Aptos" w:hAnsi="Aptos"/>
                <w:sz w:val="16"/>
              </w:rPr>
              <w:t>Non-public secure microdata build scripts and audit log</w:t>
            </w:r>
          </w:p>
        </w:tc>
      </w:tr>
      <w:tr>
        <w:trPr>
          <w:cantSplit/>
        </w:trPr>
        <w:tc>
          <w:tcPr>
            <w:tcW w:type="dxa" w:w="4819"/>
            <w:vAlign w:val="center"/>
            <w:tcMar>
              <w:top w:w="80" w:type="dxa"/>
              <w:start w:w="90" w:type="dxa"/>
              <w:bottom w:w="80" w:type="dxa"/>
              <w:end w:w="90" w:type="dxa"/>
            </w:tcMar>
            <w:shd w:fill="F2F4F5"/>
          </w:tcPr>
          <w:p>
            <w:pPr>
              <w:spacing w:after="0" w:line="240" w:lineRule="auto"/>
            </w:pPr>
            <w:r>
              <w:rPr>
                <w:rFonts w:ascii="Aptos" w:hAnsi="Aptos"/>
                <w:color w:val="18364E"/>
                <w:sz w:val="16"/>
              </w:rPr>
              <w:t>code/analysis</w:t>
            </w:r>
          </w:p>
        </w:tc>
        <w:tc>
          <w:tcPr>
            <w:tcW w:type="dxa" w:w="4819"/>
            <w:vAlign w:val="center"/>
            <w:tcMar>
              <w:top w:w="80" w:type="dxa"/>
              <w:start w:w="90" w:type="dxa"/>
              <w:bottom w:w="80" w:type="dxa"/>
              <w:end w:w="90" w:type="dxa"/>
            </w:tcMar>
            <w:shd w:fill="F2F4F5"/>
          </w:tcPr>
          <w:p>
            <w:pPr>
              <w:spacing w:after="0" w:line="240" w:lineRule="auto"/>
            </w:pPr>
            <w:r>
              <w:rPr>
                <w:rFonts w:ascii="Aptos" w:hAnsi="Aptos"/>
                <w:sz w:val="16"/>
              </w:rPr>
              <w:t>Public scripts operating on synthetic/cleared data</w:t>
            </w:r>
          </w:p>
        </w:tc>
      </w:tr>
      <w:tr>
        <w:trPr>
          <w:cantSplit/>
        </w:trPr>
        <w:tc>
          <w:tcPr>
            <w:tcW w:type="dxa" w:w="4819"/>
            <w:vAlign w:val="center"/>
            <w:tcMar>
              <w:top w:w="80" w:type="dxa"/>
              <w:start w:w="90" w:type="dxa"/>
              <w:bottom w:w="80" w:type="dxa"/>
              <w:end w:w="90" w:type="dxa"/>
            </w:tcMar>
          </w:tcPr>
          <w:p>
            <w:pPr>
              <w:spacing w:after="0" w:line="240" w:lineRule="auto"/>
            </w:pPr>
            <w:r>
              <w:rPr>
                <w:rFonts w:ascii="Aptos" w:hAnsi="Aptos"/>
                <w:color w:val="18364E"/>
                <w:sz w:val="16"/>
              </w:rPr>
              <w:t>code/model</w:t>
            </w:r>
          </w:p>
        </w:tc>
        <w:tc>
          <w:tcPr>
            <w:tcW w:type="dxa" w:w="4819"/>
            <w:vAlign w:val="center"/>
            <w:tcMar>
              <w:top w:w="80" w:type="dxa"/>
              <w:start w:w="90" w:type="dxa"/>
              <w:bottom w:w="80" w:type="dxa"/>
              <w:end w:w="90" w:type="dxa"/>
            </w:tcMar>
          </w:tcPr>
          <w:p>
            <w:pPr>
              <w:spacing w:after="0" w:line="240" w:lineRule="auto"/>
            </w:pPr>
            <w:r>
              <w:rPr>
                <w:rFonts w:ascii="Aptos" w:hAnsi="Aptos"/>
                <w:sz w:val="16"/>
              </w:rPr>
              <w:t>Model 15+, Julia environment, tests, and driver</w:t>
            </w:r>
          </w:p>
        </w:tc>
      </w:tr>
      <w:tr>
        <w:trPr>
          <w:cantSplit/>
        </w:trPr>
        <w:tc>
          <w:tcPr>
            <w:tcW w:type="dxa" w:w="4819"/>
            <w:vAlign w:val="center"/>
            <w:tcMar>
              <w:top w:w="80" w:type="dxa"/>
              <w:start w:w="90" w:type="dxa"/>
              <w:bottom w:w="80" w:type="dxa"/>
              <w:end w:w="90" w:type="dxa"/>
            </w:tcMar>
            <w:shd w:fill="F2F4F5"/>
          </w:tcPr>
          <w:p>
            <w:pPr>
              <w:spacing w:after="0" w:line="240" w:lineRule="auto"/>
            </w:pPr>
            <w:r>
              <w:rPr>
                <w:rFonts w:ascii="Aptos" w:hAnsi="Aptos"/>
                <w:color w:val="18364E"/>
                <w:sz w:val="16"/>
              </w:rPr>
              <w:t>data/synthetic</w:t>
            </w:r>
          </w:p>
        </w:tc>
        <w:tc>
          <w:tcPr>
            <w:tcW w:type="dxa" w:w="4819"/>
            <w:vAlign w:val="center"/>
            <w:tcMar>
              <w:top w:w="80" w:type="dxa"/>
              <w:start w:w="90" w:type="dxa"/>
              <w:bottom w:w="80" w:type="dxa"/>
              <w:end w:w="90" w:type="dxa"/>
            </w:tcMar>
            <w:shd w:fill="F2F4F5"/>
          </w:tcPr>
          <w:p>
            <w:pPr>
              <w:spacing w:after="0" w:line="240" w:lineRule="auto"/>
            </w:pPr>
            <w:r>
              <w:rPr>
                <w:rFonts w:ascii="Aptos" w:hAnsi="Aptos"/>
                <w:sz w:val="16"/>
              </w:rPr>
              <w:t>Synthetic data with identical schema</w:t>
            </w:r>
          </w:p>
        </w:tc>
      </w:tr>
      <w:tr>
        <w:trPr>
          <w:cantSplit/>
        </w:trPr>
        <w:tc>
          <w:tcPr>
            <w:tcW w:type="dxa" w:w="4819"/>
            <w:vAlign w:val="center"/>
            <w:tcMar>
              <w:top w:w="80" w:type="dxa"/>
              <w:start w:w="90" w:type="dxa"/>
              <w:bottom w:w="80" w:type="dxa"/>
              <w:end w:w="90" w:type="dxa"/>
            </w:tcMar>
          </w:tcPr>
          <w:p>
            <w:pPr>
              <w:spacing w:after="0" w:line="240" w:lineRule="auto"/>
            </w:pPr>
            <w:r>
              <w:rPr>
                <w:rFonts w:ascii="Aptos" w:hAnsi="Aptos"/>
                <w:color w:val="18364E"/>
                <w:sz w:val="16"/>
              </w:rPr>
              <w:t>data/cleared</w:t>
            </w:r>
          </w:p>
        </w:tc>
        <w:tc>
          <w:tcPr>
            <w:tcW w:type="dxa" w:w="4819"/>
            <w:vAlign w:val="center"/>
            <w:tcMar>
              <w:top w:w="80" w:type="dxa"/>
              <w:start w:w="90" w:type="dxa"/>
              <w:bottom w:w="80" w:type="dxa"/>
              <w:end w:w="90" w:type="dxa"/>
            </w:tcMar>
          </w:tcPr>
          <w:p>
            <w:pPr>
              <w:spacing w:after="0" w:line="240" w:lineRule="auto"/>
            </w:pPr>
            <w:r>
              <w:rPr>
                <w:rFonts w:ascii="Aptos" w:hAnsi="Aptos"/>
                <w:sz w:val="16"/>
              </w:rPr>
              <w:t>Approved sufficient statistics/aggregate inputs</w:t>
            </w:r>
          </w:p>
        </w:tc>
      </w:tr>
      <w:tr>
        <w:trPr>
          <w:cantSplit/>
        </w:trPr>
        <w:tc>
          <w:tcPr>
            <w:tcW w:type="dxa" w:w="4819"/>
            <w:vAlign w:val="center"/>
            <w:tcMar>
              <w:top w:w="80" w:type="dxa"/>
              <w:start w:w="90" w:type="dxa"/>
              <w:bottom w:w="80" w:type="dxa"/>
              <w:end w:w="90" w:type="dxa"/>
            </w:tcMar>
            <w:shd w:fill="F2F4F5"/>
          </w:tcPr>
          <w:p>
            <w:pPr>
              <w:spacing w:after="0" w:line="240" w:lineRule="auto"/>
            </w:pPr>
            <w:r>
              <w:rPr>
                <w:rFonts w:ascii="Aptos" w:hAnsi="Aptos"/>
                <w:color w:val="18364E"/>
                <w:sz w:val="16"/>
              </w:rPr>
              <w:t>output</w:t>
            </w:r>
          </w:p>
        </w:tc>
        <w:tc>
          <w:tcPr>
            <w:tcW w:type="dxa" w:w="4819"/>
            <w:vAlign w:val="center"/>
            <w:tcMar>
              <w:top w:w="80" w:type="dxa"/>
              <w:start w:w="90" w:type="dxa"/>
              <w:bottom w:w="80" w:type="dxa"/>
              <w:end w:w="90" w:type="dxa"/>
            </w:tcMar>
            <w:shd w:fill="F2F4F5"/>
          </w:tcPr>
          <w:p>
            <w:pPr>
              <w:spacing w:after="0" w:line="240" w:lineRule="auto"/>
            </w:pPr>
            <w:r>
              <w:rPr>
                <w:rFonts w:ascii="Aptos" w:hAnsi="Aptos"/>
                <w:sz w:val="16"/>
              </w:rPr>
              <w:t>Machine-generated tables and figures</w:t>
            </w:r>
          </w:p>
        </w:tc>
      </w:tr>
      <w:tr>
        <w:trPr>
          <w:cantSplit/>
        </w:trPr>
        <w:tc>
          <w:tcPr>
            <w:tcW w:type="dxa" w:w="4819"/>
            <w:vAlign w:val="center"/>
            <w:tcMar>
              <w:top w:w="80" w:type="dxa"/>
              <w:start w:w="90" w:type="dxa"/>
              <w:bottom w:w="80" w:type="dxa"/>
              <w:end w:w="90" w:type="dxa"/>
            </w:tcMar>
          </w:tcPr>
          <w:p>
            <w:pPr>
              <w:spacing w:after="0" w:line="240" w:lineRule="auto"/>
            </w:pPr>
            <w:r>
              <w:rPr>
                <w:rFonts w:ascii="Aptos" w:hAnsi="Aptos"/>
                <w:color w:val="18364E"/>
                <w:sz w:val="16"/>
              </w:rPr>
              <w:t>docs</w:t>
            </w:r>
          </w:p>
        </w:tc>
        <w:tc>
          <w:tcPr>
            <w:tcW w:type="dxa" w:w="4819"/>
            <w:vAlign w:val="center"/>
            <w:tcMar>
              <w:top w:w="80" w:type="dxa"/>
              <w:start w:w="90" w:type="dxa"/>
              <w:bottom w:w="80" w:type="dxa"/>
              <w:end w:w="90" w:type="dxa"/>
            </w:tcMar>
          </w:tcPr>
          <w:p>
            <w:pPr>
              <w:spacing w:after="0" w:line="240" w:lineRule="auto"/>
            </w:pPr>
            <w:r>
              <w:rPr>
                <w:rFonts w:ascii="Aptos" w:hAnsi="Aptos"/>
                <w:sz w:val="16"/>
              </w:rPr>
              <w:t>README, data dictionary, provenance, disclosure notes</w:t>
            </w:r>
          </w:p>
        </w:tc>
      </w:tr>
    </w:tbl>
    <w:p>
      <w:pPr>
        <w:spacing w:after="20"/>
      </w:pPr>
    </w:p>
    <w:p>
      <w:pPr/>
      <w:r>
        <w:t xml:space="preserve">The manuscript tables should be generated directly from </w:t>
      </w:r>
      <w:r>
        <w:rPr>
          <w:rFonts w:ascii="Consolas" w:hAnsi="Consolas"/>
          <w:color w:val="18364E"/>
          <w:sz w:val="19"/>
        </w:rPr>
        <w:t>output</w:t>
      </w:r>
      <w:r>
        <w:t>; do not manually transpose estimates into Word or LaTeX.</w:t>
      </w:r>
    </w:p>
    <w:p>
      <w:r>
        <w:br w:type="page"/>
      </w:r>
    </w:p>
    <w:p>
      <w:pPr>
        <w:pStyle w:val="Heading1"/>
      </w:pPr>
      <w:r>
        <w:t>8. Detailed audit notes</w:t>
      </w:r>
    </w:p>
    <w:p>
      <w:pPr>
        <w:pStyle w:val="Heading2"/>
      </w:pPr>
      <w:r>
        <w:t>8.1 Main empirical numbers currently reported</w:t>
      </w:r>
    </w:p>
    <w:p>
      <w:pPr/>
      <w:r>
        <w:t>The current aggregate DiD cells imply:</w:t>
      </w:r>
    </w:p>
    <w:p>
      <w:pPr>
        <w:pStyle w:val="ListBullet"/>
      </w:pPr>
      <w:r>
        <w:t>N pre job finding: 10.02%;</w:t>
      </w:r>
    </w:p>
    <w:p>
      <w:pPr>
        <w:pStyle w:val="ListBullet"/>
      </w:pPr>
      <w:r>
        <w:t>R/Australian pre job finding: 8.68%;</w:t>
      </w:r>
    </w:p>
    <w:p>
      <w:pPr>
        <w:pStyle w:val="ListBullet"/>
      </w:pPr>
      <w:r>
        <w:t>N post job finding: 8.23%;</w:t>
      </w:r>
    </w:p>
    <w:p>
      <w:pPr>
        <w:pStyle w:val="ListBullet"/>
      </w:pPr>
      <w:r>
        <w:t>R/Australian post job finding: 5.18%;</w:t>
      </w:r>
    </w:p>
    <w:p>
      <w:pPr>
        <w:pStyle w:val="ListBullet"/>
      </w:pPr>
      <w:r>
        <w:t>job-finding DiD: -1.71 pp;</w:t>
      </w:r>
    </w:p>
    <w:p>
      <w:pPr>
        <w:pStyle w:val="ListBullet"/>
      </w:pPr>
      <w:r>
        <w:t>N pre employment exit: 4.80%;</w:t>
      </w:r>
    </w:p>
    <w:p>
      <w:pPr>
        <w:pStyle w:val="ListBullet"/>
      </w:pPr>
      <w:r>
        <w:t>R/Australian pre employment exit: 4.84%;</w:t>
      </w:r>
    </w:p>
    <w:p>
      <w:pPr>
        <w:pStyle w:val="ListBullet"/>
      </w:pPr>
      <w:r>
        <w:t>N post employment exit: 5.50%;</w:t>
      </w:r>
    </w:p>
    <w:p>
      <w:pPr>
        <w:pStyle w:val="ListBullet"/>
      </w:pPr>
      <w:r>
        <w:t>R/Australian post employment exit: 9.26%; and</w:t>
      </w:r>
    </w:p>
    <w:p>
      <w:pPr>
        <w:pStyle w:val="ListBullet"/>
      </w:pPr>
      <w:r>
        <w:t>employment-exit DiD: +3.72 pp.</w:t>
      </w:r>
    </w:p>
    <w:p>
      <w:pPr/>
      <w:r>
        <w:t>The reviewed main R scripts estimate these using nationality-by-week cells with no explicit robust/clustered variance option. A comment in the job-finding script states that the aggregate regression is being used for convenience and that the secure lab needs a full fixed-effects estimate. Treat the present standard errors as preliminary.</w:t>
      </w:r>
    </w:p>
    <w:p>
      <w:pPr>
        <w:pStyle w:val="Heading2"/>
      </w:pPr>
      <w:r>
        <w:t>8.2 Code-specific empirical issues to resolve</w:t>
      </w:r>
    </w:p>
    <w:p>
      <w:pPr>
        <w:pStyle w:val="ListBullet"/>
      </w:pPr>
      <w:r>
        <w:t>The conceptual treatment date and weekly cut-off differ; document the mapping.</w:t>
      </w:r>
    </w:p>
    <w:p>
      <w:pPr>
        <w:pStyle w:val="ListBullet"/>
      </w:pPr>
      <w:r>
        <w:t>The sample is cut before July, and a code comment notes that including an outlier increases estimates. The exclusion rule needs a substantive, pre-stated justification.</w:t>
      </w:r>
    </w:p>
    <w:p>
      <w:pPr>
        <w:pStyle w:val="ListBullet"/>
      </w:pPr>
      <w:r>
        <w:t xml:space="preserve">The RDD plot calculates a discontinuity from fitted plotting values; the fixed-trend version uses ordinary </w:t>
      </w:r>
      <w:r>
        <w:rPr>
          <w:rFonts w:ascii="Consolas" w:hAnsi="Consolas"/>
          <w:color w:val="18364E"/>
          <w:sz w:val="19"/>
        </w:rPr>
        <w:t>lm(prop ~ event_time + post)</w:t>
      </w:r>
      <w:r>
        <w:t xml:space="preserve"> without time-series-robust uncertainty.</w:t>
      </w:r>
    </w:p>
    <w:p>
      <w:pPr>
        <w:pStyle w:val="ListBullet"/>
      </w:pPr>
      <w:r>
        <w:t>The balance script produces distribution/count graphics but not a complete standardised-balance table.</w:t>
      </w:r>
    </w:p>
    <w:p>
      <w:pPr>
        <w:pStyle w:val="ListBullet"/>
      </w:pPr>
      <w:r>
        <w:t>The earnings script is descriptive and cannot support a formal “no effect” statement.</w:t>
      </w:r>
    </w:p>
    <w:p>
      <w:pPr>
        <w:pStyle w:val="ListBullet"/>
      </w:pPr>
      <w:r>
        <w:t>The Victoria scripts estimate separate subgroup regressions rather than a direct triple interaction.</w:t>
      </w:r>
    </w:p>
    <w:p>
      <w:pPr>
        <w:pStyle w:val="ListBullet"/>
      </w:pPr>
      <w:r>
        <w:t>The JobKeeper robustness uses a short calendar-period dummy rather than actual receipt or eligibility.</w:t>
      </w:r>
    </w:p>
    <w:p>
      <w:pPr>
        <w:pStyle w:val="ListBullet"/>
      </w:pPr>
      <w:r>
        <w:t>The public/cleared project lacks the underlying matching and microdata construction code.</w:t>
      </w:r>
    </w:p>
    <w:p>
      <w:pPr/>
      <w:r>
        <w:t>These observations are not criticisms of exploratory workflow. They identify what must be replaced before the outputs become submission evidence.</w:t>
      </w:r>
    </w:p>
    <w:p>
      <w:pPr>
        <w:pStyle w:val="Heading2"/>
      </w:pPr>
      <w:r>
        <w:t>8.3 Model-15 benchmark parameter table</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Parameter/object</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Benchmark</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Status/concern</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Weekly discount factor</w:t>
            </w:r>
          </w:p>
        </w:tc>
        <w:tc>
          <w:tcPr>
            <w:tcW w:type="dxa" w:w="3213"/>
            <w:vAlign w:val="center"/>
            <w:tcMar>
              <w:top w:w="80" w:type="dxa"/>
              <w:start w:w="90" w:type="dxa"/>
              <w:bottom w:w="80" w:type="dxa"/>
              <w:end w:w="90" w:type="dxa"/>
            </w:tcMar>
          </w:tcPr>
          <w:p>
            <w:pPr>
              <w:spacing w:after="0" w:line="240" w:lineRule="auto"/>
            </w:pPr>
            <w:r>
              <w:rPr>
                <w:rFonts w:ascii="Aptos" w:hAnsi="Aptos"/>
                <w:sz w:val="16"/>
              </w:rPr>
              <w:t>0.99</w:t>
            </w:r>
          </w:p>
        </w:tc>
        <w:tc>
          <w:tcPr>
            <w:tcW w:type="dxa" w:w="3213"/>
            <w:vAlign w:val="center"/>
            <w:tcMar>
              <w:top w:w="80" w:type="dxa"/>
              <w:start w:w="90" w:type="dxa"/>
              <w:bottom w:w="80" w:type="dxa"/>
              <w:end w:w="90" w:type="dxa"/>
            </w:tcMar>
          </w:tcPr>
          <w:p>
            <w:pPr>
              <w:spacing w:after="0" w:line="240" w:lineRule="auto"/>
            </w:pPr>
            <w:r>
              <w:rPr>
                <w:rFonts w:ascii="Aptos" w:hAnsi="Aptos"/>
                <w:sz w:val="16"/>
              </w:rPr>
              <w:t>implies annual factor about 0.59</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Fixed firm destruction</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0.01</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inconsistent with worker exit target levels</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Matching elasticity</w:t>
            </w:r>
          </w:p>
        </w:tc>
        <w:tc>
          <w:tcPr>
            <w:tcW w:type="dxa" w:w="3213"/>
            <w:vAlign w:val="center"/>
            <w:tcMar>
              <w:top w:w="80" w:type="dxa"/>
              <w:start w:w="90" w:type="dxa"/>
              <w:bottom w:w="80" w:type="dxa"/>
              <w:end w:w="90" w:type="dxa"/>
            </w:tcMar>
          </w:tcPr>
          <w:p>
            <w:pPr>
              <w:spacing w:after="0" w:line="240" w:lineRule="auto"/>
            </w:pPr>
            <w:r>
              <w:rPr>
                <w:rFonts w:ascii="Aptos" w:hAnsi="Aptos"/>
                <w:sz w:val="16"/>
              </w:rPr>
              <w:t>0.42</w:t>
            </w:r>
          </w:p>
        </w:tc>
        <w:tc>
          <w:tcPr>
            <w:tcW w:type="dxa" w:w="3213"/>
            <w:vAlign w:val="center"/>
            <w:tcMar>
              <w:top w:w="80" w:type="dxa"/>
              <w:start w:w="90" w:type="dxa"/>
              <w:bottom w:w="80" w:type="dxa"/>
              <w:end w:w="90" w:type="dxa"/>
            </w:tcMar>
          </w:tcPr>
          <w:p>
            <w:pPr>
              <w:spacing w:after="0" w:line="240" w:lineRule="auto"/>
            </w:pPr>
            <w:r>
              <w:rPr>
                <w:rFonts w:ascii="Aptos" w:hAnsi="Aptos"/>
                <w:sz w:val="16"/>
              </w:rPr>
              <w:t>fixed; cite/source/sensitivity needed</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Wage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0.55</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normalisation/calibration</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Output</w:t>
            </w:r>
          </w:p>
        </w:tc>
        <w:tc>
          <w:tcPr>
            <w:tcW w:type="dxa" w:w="3213"/>
            <w:vAlign w:val="center"/>
            <w:tcMar>
              <w:top w:w="80" w:type="dxa"/>
              <w:start w:w="90" w:type="dxa"/>
              <w:bottom w:w="80" w:type="dxa"/>
              <w:end w:w="90" w:type="dxa"/>
            </w:tcMar>
          </w:tcPr>
          <w:p>
            <w:pPr>
              <w:spacing w:after="0" w:line="240" w:lineRule="auto"/>
            </w:pPr>
            <w:r>
              <w:rPr>
                <w:rFonts w:ascii="Aptos" w:hAnsi="Aptos"/>
                <w:sz w:val="16"/>
              </w:rPr>
              <w:t>1.00</w:t>
            </w:r>
          </w:p>
        </w:tc>
        <w:tc>
          <w:tcPr>
            <w:tcW w:type="dxa" w:w="3213"/>
            <w:vAlign w:val="center"/>
            <w:tcMar>
              <w:top w:w="80" w:type="dxa"/>
              <w:start w:w="90" w:type="dxa"/>
              <w:bottom w:w="80" w:type="dxa"/>
              <w:end w:w="90" w:type="dxa"/>
            </w:tcMar>
          </w:tcPr>
          <w:p>
            <w:pPr>
              <w:spacing w:after="0" w:line="240" w:lineRule="auto"/>
            </w:pPr>
            <w:r>
              <w:rPr>
                <w:rFonts w:ascii="Aptos" w:hAnsi="Aptos"/>
                <w:sz w:val="16"/>
              </w:rPr>
              <w:t>normalisation</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Pre replacement rate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0.28</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stylised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Benefit multiplier</w:t>
            </w:r>
          </w:p>
        </w:tc>
        <w:tc>
          <w:tcPr>
            <w:tcW w:type="dxa" w:w="3213"/>
            <w:vAlign w:val="center"/>
            <w:tcMar>
              <w:top w:w="80" w:type="dxa"/>
              <w:start w:w="90" w:type="dxa"/>
              <w:bottom w:w="80" w:type="dxa"/>
              <w:end w:w="90" w:type="dxa"/>
            </w:tcMar>
          </w:tcPr>
          <w:p>
            <w:pPr>
              <w:spacing w:after="0" w:line="240" w:lineRule="auto"/>
            </w:pPr>
            <w:r>
              <w:rPr>
                <w:rFonts w:ascii="Aptos" w:hAnsi="Aptos"/>
                <w:sz w:val="16"/>
              </w:rPr>
              <w:t>2.00</w:t>
            </w:r>
          </w:p>
        </w:tc>
        <w:tc>
          <w:tcPr>
            <w:tcW w:type="dxa" w:w="3213"/>
            <w:vAlign w:val="center"/>
            <w:tcMar>
              <w:top w:w="80" w:type="dxa"/>
              <w:start w:w="90" w:type="dxa"/>
              <w:bottom w:w="80" w:type="dxa"/>
              <w:end w:w="90" w:type="dxa"/>
            </w:tcMar>
          </w:tcPr>
          <w:p>
            <w:pPr>
              <w:spacing w:after="0" w:line="240" w:lineRule="auto"/>
            </w:pPr>
            <w:r>
              <w:rPr>
                <w:rFonts w:ascii="Aptos" w:hAnsi="Aptos"/>
                <w:sz w:val="16"/>
              </w:rPr>
              <w:t>stylised flat supplement approximation</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Leisure value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0.055</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fixed at 10% of wage</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Offer threshold</w:t>
            </w:r>
          </w:p>
        </w:tc>
        <w:tc>
          <w:tcPr>
            <w:tcW w:type="dxa" w:w="3213"/>
            <w:vAlign w:val="center"/>
            <w:tcMar>
              <w:top w:w="80" w:type="dxa"/>
              <w:start w:w="90" w:type="dxa"/>
              <w:bottom w:w="80" w:type="dxa"/>
              <w:end w:w="90" w:type="dxa"/>
            </w:tcMar>
          </w:tcPr>
          <w:p>
            <w:pPr>
              <w:spacing w:after="0" w:line="240" w:lineRule="auto"/>
            </w:pPr>
            <w:r>
              <w:rPr>
                <w:rFonts w:ascii="Aptos" w:hAnsi="Aptos"/>
                <w:sz w:val="16"/>
              </w:rPr>
              <w:t>0.15</w:t>
            </w:r>
          </w:p>
        </w:tc>
        <w:tc>
          <w:tcPr>
            <w:tcW w:type="dxa" w:w="3213"/>
            <w:vAlign w:val="center"/>
            <w:tcMar>
              <w:top w:w="80" w:type="dxa"/>
              <w:start w:w="90" w:type="dxa"/>
              <w:bottom w:w="80" w:type="dxa"/>
              <w:end w:w="90" w:type="dxa"/>
            </w:tcMar>
          </w:tcPr>
          <w:p>
            <w:pPr>
              <w:spacing w:after="0" w:line="240" w:lineRule="auto"/>
            </w:pPr>
            <w:r>
              <w:rPr>
                <w:rFonts w:ascii="Aptos" w:hAnsi="Aptos"/>
                <w:sz w:val="16"/>
              </w:rPr>
              <w:t>fixed, not externally disciplined</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Offer dispersion</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0.35</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fixed, not externally disciplined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Search curvature</w:t>
            </w:r>
          </w:p>
        </w:tc>
        <w:tc>
          <w:tcPr>
            <w:tcW w:type="dxa" w:w="3213"/>
            <w:vAlign w:val="center"/>
            <w:tcMar>
              <w:top w:w="80" w:type="dxa"/>
              <w:start w:w="90" w:type="dxa"/>
              <w:bottom w:w="80" w:type="dxa"/>
              <w:end w:w="90" w:type="dxa"/>
            </w:tcMar>
          </w:tcPr>
          <w:p>
            <w:pPr>
              <w:spacing w:after="0" w:line="240" w:lineRule="auto"/>
            </w:pPr>
            <w:r>
              <w:rPr>
                <w:rFonts w:ascii="Aptos" w:hAnsi="Aptos"/>
                <w:sz w:val="16"/>
              </w:rPr>
              <w:t>100</w:t>
            </w:r>
          </w:p>
        </w:tc>
        <w:tc>
          <w:tcPr>
            <w:tcW w:type="dxa" w:w="3213"/>
            <w:vAlign w:val="center"/>
            <w:tcMar>
              <w:top w:w="80" w:type="dxa"/>
              <w:start w:w="90" w:type="dxa"/>
              <w:bottom w:w="80" w:type="dxa"/>
              <w:end w:w="90" w:type="dxa"/>
            </w:tcMar>
          </w:tcPr>
          <w:p>
            <w:pPr>
              <w:spacing w:after="0" w:line="240" w:lineRule="auto"/>
            </w:pPr>
            <w:r>
              <w:rPr>
                <w:rFonts w:ascii="Aptos" w:hAnsi="Aptos"/>
                <w:sz w:val="16"/>
              </w:rPr>
              <w:t>grid-selected; drives near-constant search</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Separation threshold</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0.10</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grid-selected, weakly identified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Separation dispersion</w:t>
            </w:r>
          </w:p>
        </w:tc>
        <w:tc>
          <w:tcPr>
            <w:tcW w:type="dxa" w:w="3213"/>
            <w:vAlign w:val="center"/>
            <w:tcMar>
              <w:top w:w="80" w:type="dxa"/>
              <w:start w:w="90" w:type="dxa"/>
              <w:bottom w:w="80" w:type="dxa"/>
              <w:end w:w="90" w:type="dxa"/>
            </w:tcMar>
          </w:tcPr>
          <w:p>
            <w:pPr>
              <w:spacing w:after="0" w:line="240" w:lineRule="auto"/>
            </w:pPr>
            <w:r>
              <w:rPr>
                <w:rFonts w:ascii="Aptos" w:hAnsi="Aptos"/>
                <w:sz w:val="16"/>
              </w:rPr>
              <w:t>0.04</w:t>
            </w:r>
          </w:p>
        </w:tc>
        <w:tc>
          <w:tcPr>
            <w:tcW w:type="dxa" w:w="3213"/>
            <w:vAlign w:val="center"/>
            <w:tcMar>
              <w:top w:w="80" w:type="dxa"/>
              <w:start w:w="90" w:type="dxa"/>
              <w:bottom w:w="80" w:type="dxa"/>
              <w:end w:w="90" w:type="dxa"/>
            </w:tcMar>
          </w:tcPr>
          <w:p>
            <w:pPr>
              <w:spacing w:after="0" w:line="240" w:lineRule="auto"/>
            </w:pPr>
            <w:r>
              <w:rPr>
                <w:rFonts w:ascii="Aptos" w:hAnsi="Aptos"/>
                <w:sz w:val="16"/>
              </w:rPr>
              <w:t>grid-selected, weakly identified</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Pre matching efficiency</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0.07394</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Post matching efficiency</w:t>
            </w:r>
          </w:p>
        </w:tc>
        <w:tc>
          <w:tcPr>
            <w:tcW w:type="dxa" w:w="3213"/>
            <w:vAlign w:val="center"/>
            <w:tcMar>
              <w:top w:w="80" w:type="dxa"/>
              <w:start w:w="90" w:type="dxa"/>
              <w:bottom w:w="80" w:type="dxa"/>
              <w:end w:w="90" w:type="dxa"/>
            </w:tcMar>
          </w:tcPr>
          <w:p>
            <w:pPr>
              <w:spacing w:after="0" w:line="240" w:lineRule="auto"/>
            </w:pPr>
            <w:r>
              <w:rPr>
                <w:rFonts w:ascii="Aptos" w:hAnsi="Aptos"/>
                <w:sz w:val="16"/>
              </w:rPr>
              <w:t>0.06772</w:t>
            </w:r>
          </w:p>
        </w:tc>
        <w:tc>
          <w:tcPr>
            <w:tcW w:type="dxa" w:w="3213"/>
            <w:vAlign w:val="center"/>
            <w:tcMar>
              <w:top w:w="80" w:type="dxa"/>
              <w:start w:w="90" w:type="dxa"/>
              <w:bottom w:w="80" w:type="dxa"/>
              <w:end w:w="90" w:type="dxa"/>
            </w:tcMar>
          </w:tcPr>
          <w:p>
            <w:pPr>
              <w:spacing w:after="0" w:line="240" w:lineRule="auto"/>
            </w:pPr>
            <w:r>
              <w:rPr>
                <w:rFonts w:ascii="Aptos" w:hAnsi="Aptos"/>
                <w:sz w:val="16"/>
              </w:rPr>
              <w:t>fitted to N post job finding</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Search-cost scale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0.34735</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R differential work wedge</w:t>
            </w:r>
          </w:p>
        </w:tc>
        <w:tc>
          <w:tcPr>
            <w:tcW w:type="dxa" w:w="3213"/>
            <w:vAlign w:val="center"/>
            <w:tcMar>
              <w:top w:w="80" w:type="dxa"/>
              <w:start w:w="90" w:type="dxa"/>
              <w:bottom w:w="80" w:type="dxa"/>
              <w:end w:w="90" w:type="dxa"/>
            </w:tcMar>
          </w:tcPr>
          <w:p>
            <w:pPr>
              <w:spacing w:after="0" w:line="240" w:lineRule="auto"/>
            </w:pPr>
            <w:r>
              <w:rPr>
                <w:rFonts w:ascii="Aptos" w:hAnsi="Aptos"/>
                <w:sz w:val="16"/>
              </w:rPr>
              <w:t>0.03682</w:t>
            </w:r>
          </w:p>
        </w:tc>
        <w:tc>
          <w:tcPr>
            <w:tcW w:type="dxa" w:w="3213"/>
            <w:vAlign w:val="center"/>
            <w:tcMar>
              <w:top w:w="80" w:type="dxa"/>
              <w:start w:w="90" w:type="dxa"/>
              <w:bottom w:w="80" w:type="dxa"/>
              <w:end w:w="90" w:type="dxa"/>
            </w:tcMar>
          </w:tcPr>
          <w:p>
            <w:pPr>
              <w:spacing w:after="0" w:line="240" w:lineRule="auto"/>
            </w:pPr>
            <w:r>
              <w:rPr>
                <w:rFonts w:ascii="Aptos" w:hAnsi="Aptos"/>
                <w:sz w:val="16"/>
              </w:rPr>
              <w:t>6.69% of wage, specification-sensitive</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N work wedge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normalisation</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Common exit shock</w:t>
            </w:r>
          </w:p>
        </w:tc>
        <w:tc>
          <w:tcPr>
            <w:tcW w:type="dxa" w:w="3213"/>
            <w:vAlign w:val="center"/>
            <w:tcMar>
              <w:top w:w="80" w:type="dxa"/>
              <w:start w:w="90" w:type="dxa"/>
              <w:bottom w:w="80" w:type="dxa"/>
              <w:end w:w="90" w:type="dxa"/>
            </w:tcMar>
          </w:tcPr>
          <w:p>
            <w:pPr>
              <w:spacing w:after="0" w:line="240" w:lineRule="auto"/>
            </w:pPr>
            <w:r>
              <w:rPr>
                <w:rFonts w:ascii="Aptos" w:hAnsi="Aptos"/>
                <w:sz w:val="16"/>
              </w:rPr>
              <w:t>0.007</w:t>
            </w:r>
          </w:p>
        </w:tc>
        <w:tc>
          <w:tcPr>
            <w:tcW w:type="dxa" w:w="3213"/>
            <w:vAlign w:val="center"/>
            <w:tcMar>
              <w:top w:w="80" w:type="dxa"/>
              <w:start w:w="90" w:type="dxa"/>
              <w:bottom w:w="80" w:type="dxa"/>
              <w:end w:w="90" w:type="dxa"/>
            </w:tcMar>
          </w:tcPr>
          <w:p>
            <w:pPr>
              <w:spacing w:after="0" w:line="240" w:lineRule="auto"/>
            </w:pPr>
            <w:r>
              <w:rPr>
                <w:rFonts w:ascii="Aptos" w:hAnsi="Aptos"/>
                <w:sz w:val="16"/>
              </w:rPr>
              <w:t>fitted to N post exit</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Exit base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0.04799</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fitted</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Exit amplitude</w:t>
            </w:r>
          </w:p>
        </w:tc>
        <w:tc>
          <w:tcPr>
            <w:tcW w:type="dxa" w:w="3213"/>
            <w:vAlign w:val="center"/>
            <w:tcMar>
              <w:top w:w="80" w:type="dxa"/>
              <w:start w:w="90" w:type="dxa"/>
              <w:bottom w:w="80" w:type="dxa"/>
              <w:end w:w="90" w:type="dxa"/>
            </w:tcMar>
          </w:tcPr>
          <w:p>
            <w:pPr>
              <w:spacing w:after="0" w:line="240" w:lineRule="auto"/>
            </w:pPr>
            <w:r>
              <w:rPr>
                <w:rFonts w:ascii="Aptos" w:hAnsi="Aptos"/>
                <w:sz w:val="16"/>
              </w:rPr>
              <w:t>0.16947</w:t>
            </w:r>
          </w:p>
        </w:tc>
        <w:tc>
          <w:tcPr>
            <w:tcW w:type="dxa" w:w="3213"/>
            <w:vAlign w:val="center"/>
            <w:tcMar>
              <w:top w:w="80" w:type="dxa"/>
              <w:start w:w="90" w:type="dxa"/>
              <w:bottom w:w="80" w:type="dxa"/>
              <w:end w:w="90" w:type="dxa"/>
            </w:tcMar>
          </w:tcPr>
          <w:p>
            <w:pPr>
              <w:spacing w:after="0" w:line="240" w:lineRule="auto"/>
            </w:pPr>
            <w:r>
              <w:rPr>
                <w:rFonts w:ascii="Aptos" w:hAnsi="Aptos"/>
                <w:sz w:val="16"/>
              </w:rPr>
              <w:t>fitted</w:t>
            </w:r>
          </w:p>
        </w:tc>
      </w:tr>
    </w:tbl>
    <w:p>
      <w:pPr>
        <w:spacing w:after="20"/>
      </w:pPr>
    </w:p>
    <w:p>
      <w:pPr>
        <w:pStyle w:val="Heading2"/>
      </w:pPr>
      <w:r>
        <w:t>8.4 Claim-by-claim disposition</w:t>
      </w:r>
    </w:p>
    <w:tbl>
      <w:tblPr>
        <w:tblStyle w:val="TableGrid"/>
        <w:tblW w:type="auto" w:w="0"/>
        <w:jc w:val="center"/>
        <w:tblLayout w:type="autofit"/>
        <w:tblLook w:firstColumn="1" w:firstRow="1" w:lastColumn="0" w:lastRow="0" w:noHBand="0" w:noVBand="1" w:val="04A0"/>
      </w:tblPr>
      <w:tblGrid>
        <w:gridCol w:w="3213"/>
        <w:gridCol w:w="3213"/>
        <w:gridCol w:w="3213"/>
      </w:tblGrid>
      <w:tr>
        <w:trPr>
          <w:cantSplit/>
          <w:tblHeader w:val="true"/>
        </w:trPr>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Current type of claim</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Disposition</w:t>
            </w:r>
          </w:p>
        </w:tc>
        <w:tc>
          <w:tcPr>
            <w:tcW w:type="dxa" w:w="3213"/>
            <w:vAlign w:val="center"/>
            <w:tcMar>
              <w:top w:w="80" w:type="dxa"/>
              <w:start w:w="90" w:type="dxa"/>
              <w:bottom w:w="80" w:type="dxa"/>
              <w:end w:w="90" w:type="dxa"/>
            </w:tcMar>
            <w:shd w:fill="18364E"/>
          </w:tcPr>
          <w:p>
            <w:pPr>
              <w:spacing w:after="0" w:line="240" w:lineRule="auto"/>
            </w:pPr>
            <w:r>
              <w:rPr>
                <w:rFonts w:ascii="Aptos" w:hAnsi="Aptos"/>
                <w:b/>
                <w:color w:val="FFFFFF"/>
                <w:sz w:val="16"/>
              </w:rPr>
              <w:t>What would justify it</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“The supplement reduced job finding by 19%”</w:t>
            </w:r>
          </w:p>
        </w:tc>
        <w:tc>
          <w:tcPr>
            <w:tcW w:type="dxa" w:w="3213"/>
            <w:vAlign w:val="center"/>
            <w:tcMar>
              <w:top w:w="80" w:type="dxa"/>
              <w:start w:w="90" w:type="dxa"/>
              <w:bottom w:w="80" w:type="dxa"/>
              <w:end w:w="90" w:type="dxa"/>
            </w:tcMar>
          </w:tcPr>
          <w:p>
            <w:pPr>
              <w:spacing w:after="0" w:line="240" w:lineRule="auto"/>
            </w:pPr>
            <w:r>
              <w:rPr>
                <w:rFonts w:ascii="Aptos" w:hAnsi="Aptos"/>
                <w:sz w:val="16"/>
              </w:rPr>
              <w:t>Hold</w:t>
            </w:r>
          </w:p>
        </w:tc>
        <w:tc>
          <w:tcPr>
            <w:tcW w:type="dxa" w:w="3213"/>
            <w:vAlign w:val="center"/>
            <w:tcMar>
              <w:top w:w="80" w:type="dxa"/>
              <w:start w:w="90" w:type="dxa"/>
              <w:bottom w:w="80" w:type="dxa"/>
              <w:end w:w="90" w:type="dxa"/>
            </w:tcMar>
          </w:tcPr>
          <w:p>
            <w:pPr>
              <w:spacing w:after="0" w:line="240" w:lineRule="auto"/>
            </w:pPr>
            <w:r>
              <w:rPr>
                <w:rFonts w:ascii="Aptos" w:hAnsi="Aptos"/>
                <w:sz w:val="16"/>
              </w:rPr>
              <w:t>redesigned cohort, inference, bundle qualification, clear denominator</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“The supplement increased separations by 64%”</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Hold/recalculate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valid exit risk set, direct JobKeeper treatment, clear denominator</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“No later earnings benefit”</w:t>
            </w:r>
          </w:p>
        </w:tc>
        <w:tc>
          <w:tcPr>
            <w:tcW w:type="dxa" w:w="3213"/>
            <w:vAlign w:val="center"/>
            <w:tcMar>
              <w:top w:w="80" w:type="dxa"/>
              <w:start w:w="90" w:type="dxa"/>
              <w:bottom w:w="80" w:type="dxa"/>
              <w:end w:w="90" w:type="dxa"/>
            </w:tcMar>
          </w:tcPr>
          <w:p>
            <w:pPr>
              <w:spacing w:after="0" w:line="240" w:lineRule="auto"/>
            </w:pPr>
            <w:r>
              <w:rPr>
                <w:rFonts w:ascii="Aptos" w:hAnsi="Aptos"/>
                <w:sz w:val="16"/>
              </w:rPr>
              <w:t>Remove for now</w:t>
            </w:r>
          </w:p>
        </w:tc>
        <w:tc>
          <w:tcPr>
            <w:tcW w:type="dxa" w:w="3213"/>
            <w:vAlign w:val="center"/>
            <w:tcMar>
              <w:top w:w="80" w:type="dxa"/>
              <w:start w:w="90" w:type="dxa"/>
              <w:bottom w:w="80" w:type="dxa"/>
              <w:end w:w="90" w:type="dxa"/>
            </w:tcMar>
          </w:tcPr>
          <w:p>
            <w:pPr>
              <w:spacing w:after="0" w:line="240" w:lineRule="auto"/>
            </w:pPr>
            <w:r>
              <w:rPr>
                <w:rFonts w:ascii="Aptos" w:hAnsi="Aptos"/>
                <w:sz w:val="16"/>
              </w:rPr>
              <w:t>formal earnings estimates with uncertainty and selection treatment</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“Most response came from pandemic work disutility”</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Reverse/remove</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inconsistent with model 15 benchmark and sensitivity</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“NZ identifies common pandemic disutility”</w:t>
            </w:r>
          </w:p>
        </w:tc>
        <w:tc>
          <w:tcPr>
            <w:tcW w:type="dxa" w:w="3213"/>
            <w:vAlign w:val="center"/>
            <w:tcMar>
              <w:top w:w="80" w:type="dxa"/>
              <w:start w:w="90" w:type="dxa"/>
              <w:bottom w:w="80" w:type="dxa"/>
              <w:end w:w="90" w:type="dxa"/>
            </w:tcMar>
          </w:tcPr>
          <w:p>
            <w:pPr>
              <w:spacing w:after="0" w:line="240" w:lineRule="auto"/>
            </w:pPr>
            <w:r>
              <w:rPr>
                <w:rFonts w:ascii="Aptos" w:hAnsi="Aptos"/>
                <w:sz w:val="16"/>
              </w:rPr>
              <w:t>Remove</w:t>
            </w:r>
          </w:p>
        </w:tc>
        <w:tc>
          <w:tcPr>
            <w:tcW w:type="dxa" w:w="3213"/>
            <w:vAlign w:val="center"/>
            <w:tcMar>
              <w:top w:w="80" w:type="dxa"/>
              <w:start w:w="90" w:type="dxa"/>
              <w:bottom w:w="80" w:type="dxa"/>
              <w:end w:w="90" w:type="dxa"/>
            </w:tcMar>
          </w:tcPr>
          <w:p>
            <w:pPr>
              <w:spacing w:after="0" w:line="240" w:lineRule="auto"/>
            </w:pPr>
            <w:r>
              <w:rPr>
                <w:rFonts w:ascii="Aptos" w:hAnsi="Aptos"/>
                <w:sz w:val="16"/>
              </w:rPr>
              <w:t>model sets N work wedge to zero and fits a common exit intercept</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“Mutual obligations are not the mechanism”</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Narrow</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pooled triple-difference and valid Victoria counterfactual</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“Positive net social benefits”</w:t>
            </w:r>
          </w:p>
        </w:tc>
        <w:tc>
          <w:tcPr>
            <w:tcW w:type="dxa" w:w="3213"/>
            <w:vAlign w:val="center"/>
            <w:tcMar>
              <w:top w:w="80" w:type="dxa"/>
              <w:start w:w="90" w:type="dxa"/>
              <w:bottom w:w="80" w:type="dxa"/>
              <w:end w:w="90" w:type="dxa"/>
            </w:tcMar>
          </w:tcPr>
          <w:p>
            <w:pPr>
              <w:spacing w:after="0" w:line="240" w:lineRule="auto"/>
            </w:pPr>
            <w:r>
              <w:rPr>
                <w:rFonts w:ascii="Aptos" w:hAnsi="Aptos"/>
                <w:sz w:val="16"/>
              </w:rPr>
              <w:t>Remove</w:t>
            </w:r>
          </w:p>
        </w:tc>
        <w:tc>
          <w:tcPr>
            <w:tcW w:type="dxa" w:w="3213"/>
            <w:vAlign w:val="center"/>
            <w:tcMar>
              <w:top w:w="80" w:type="dxa"/>
              <w:start w:w="90" w:type="dxa"/>
              <w:bottom w:w="80" w:type="dxa"/>
              <w:end w:w="90" w:type="dxa"/>
            </w:tcMar>
          </w:tcPr>
          <w:p>
            <w:pPr>
              <w:spacing w:after="0" w:line="240" w:lineRule="auto"/>
            </w:pPr>
            <w:r>
              <w:rPr>
                <w:rFonts w:ascii="Aptos" w:hAnsi="Aptos"/>
                <w:sz w:val="16"/>
              </w:rPr>
              <w:t>welfare model plus insurance, fiscal, demand, and health moments</w:t>
            </w:r>
          </w:p>
        </w:tc>
      </w:tr>
      <w:tr>
        <w:trPr>
          <w:cantSplit/>
        </w:trPr>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“Structural search-and-matching model”</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Qualify</w:t>
            </w:r>
          </w:p>
        </w:tc>
        <w:tc>
          <w:tcPr>
            <w:tcW w:type="dxa" w:w="3213"/>
            <w:vAlign w:val="center"/>
            <w:tcMar>
              <w:top w:w="80" w:type="dxa"/>
              <w:start w:w="90" w:type="dxa"/>
              <w:bottom w:w="80" w:type="dxa"/>
              <w:end w:w="90" w:type="dxa"/>
            </w:tcMar>
            <w:shd w:fill="F2F4F5"/>
          </w:tcPr>
          <w:p>
            <w:pPr>
              <w:spacing w:after="0" w:line="240" w:lineRule="auto"/>
            </w:pPr>
            <w:r>
              <w:rPr>
                <w:rFonts w:ascii="Aptos" w:hAnsi="Aptos"/>
                <w:sz w:val="16"/>
              </w:rPr>
              <w:t>call partial equilibrium or close firm-side feedback</w:t>
            </w:r>
          </w:p>
        </w:tc>
      </w:tr>
      <w:tr>
        <w:trPr>
          <w:cantSplit/>
        </w:trPr>
        <w:tc>
          <w:tcPr>
            <w:tcW w:type="dxa" w:w="3213"/>
            <w:vAlign w:val="center"/>
            <w:tcMar>
              <w:top w:w="80" w:type="dxa"/>
              <w:start w:w="90" w:type="dxa"/>
              <w:bottom w:w="80" w:type="dxa"/>
              <w:end w:w="90" w:type="dxa"/>
            </w:tcMar>
          </w:tcPr>
          <w:p>
            <w:pPr>
              <w:spacing w:after="0" w:line="240" w:lineRule="auto"/>
            </w:pPr>
            <w:r>
              <w:rPr>
                <w:rFonts w:ascii="Aptos" w:hAnsi="Aptos"/>
                <w:sz w:val="16"/>
              </w:rPr>
              <w:t>“Income results validate replacement rates”</w:t>
            </w:r>
          </w:p>
        </w:tc>
        <w:tc>
          <w:tcPr>
            <w:tcW w:type="dxa" w:w="3213"/>
            <w:vAlign w:val="center"/>
            <w:tcMar>
              <w:top w:w="80" w:type="dxa"/>
              <w:start w:w="90" w:type="dxa"/>
              <w:bottom w:w="80" w:type="dxa"/>
              <w:end w:w="90" w:type="dxa"/>
            </w:tcMar>
          </w:tcPr>
          <w:p>
            <w:pPr>
              <w:spacing w:after="0" w:line="240" w:lineRule="auto"/>
            </w:pPr>
            <w:r>
              <w:rPr>
                <w:rFonts w:ascii="Aptos" w:hAnsi="Aptos"/>
                <w:sz w:val="16"/>
              </w:rPr>
              <w:t>Remove</w:t>
            </w:r>
          </w:p>
        </w:tc>
        <w:tc>
          <w:tcPr>
            <w:tcW w:type="dxa" w:w="3213"/>
            <w:vAlign w:val="center"/>
            <w:tcMar>
              <w:top w:w="80" w:type="dxa"/>
              <w:start w:w="90" w:type="dxa"/>
              <w:bottom w:w="80" w:type="dxa"/>
              <w:end w:w="90" w:type="dxa"/>
            </w:tcMar>
          </w:tcPr>
          <w:p>
            <w:pPr>
              <w:spacing w:after="0" w:line="240" w:lineRule="auto"/>
            </w:pPr>
            <w:r>
              <w:rPr>
                <w:rFonts w:ascii="Aptos" w:hAnsi="Aptos"/>
                <w:sz w:val="16"/>
              </w:rPr>
              <w:t>calculate actual predicted replacement rates</w:t>
            </w:r>
          </w:p>
        </w:tc>
      </w:tr>
    </w:tbl>
    <w:p>
      <w:pPr>
        <w:spacing w:after="20"/>
      </w:pPr>
    </w:p>
    <w:p>
      <w:pPr>
        <w:pStyle w:val="Heading2"/>
      </w:pPr>
      <w:r>
        <w:t>8.5 Likely referee objections and pre-emptive answers</w:t>
      </w:r>
    </w:p>
    <w:p>
      <w:pPr/>
      <w:r>
        <w:rPr>
          <w:b/>
        </w:rPr>
        <w:t>“Treatment is selected on receiving JobSeeker.”</w:t>
      </w:r>
    </w:p>
    <w:p>
      <w:pPr/>
      <w:r>
        <w:t>Answer with an eligibility-defined intention-to-treat cohort, and show receipt only as a first-stage/mediator.</w:t>
      </w:r>
    </w:p>
    <w:p>
      <w:pPr/>
      <w:r>
        <w:rPr>
          <w:b/>
        </w:rPr>
        <w:t>“The sample conditions on future unemployment.”</w:t>
      </w:r>
    </w:p>
    <w:p>
      <w:pPr/>
      <w:r>
        <w:t>Answer with an ex-ante cohort and week-specific risk sets; include old results only as a comparison.</w:t>
      </w:r>
    </w:p>
    <w:p>
      <w:pPr/>
      <w:r>
        <w:rPr>
          <w:b/>
        </w:rPr>
        <w:t>“There is one treated group, so the standard errors are meaningless.”</w:t>
      </w:r>
    </w:p>
    <w:p>
      <w:pPr/>
      <w:r>
        <w:t>Answer with transparent time-series, block-bootstrap, collapse, and placebo-date inference; moderate claims accordingly.</w:t>
      </w:r>
    </w:p>
    <w:p>
      <w:pPr/>
      <w:r>
        <w:rPr>
          <w:b/>
        </w:rPr>
        <w:t>“Australians and New Zealanders had different trends/composition.”</w:t>
      </w:r>
    </w:p>
    <w:p>
      <w:pPr/>
      <w:r>
        <w:t>Answer with a long pre-period, balance on pre-outcomes, local/industry adjustment, attrition evidence, and honest trend sensitivity.</w:t>
      </w:r>
    </w:p>
    <w:p>
      <w:pPr/>
      <w:r>
        <w:rPr>
          <w:b/>
        </w:rPr>
        <w:t>“JobKeeper drives employment retention.”</w:t>
      </w:r>
    </w:p>
    <w:p>
      <w:pPr/>
      <w:r>
        <w:t>Answer with actual exposure/eligibility or a strong restricted design; a calendar dummy will not suffice.</w:t>
      </w:r>
    </w:p>
    <w:p>
      <w:pPr/>
      <w:r>
        <w:rPr>
          <w:b/>
        </w:rPr>
        <w:t>“Your separation outcome is not worker labour supply.”</w:t>
      </w:r>
    </w:p>
    <w:p>
      <w:pPr/>
      <w:r>
        <w:t>Answer by measuring exit type or renaming it payroll employment exit and adding employer destruction to the model.</w:t>
      </w:r>
    </w:p>
    <w:p>
      <w:pPr/>
      <w:r>
        <w:rPr>
          <w:b/>
        </w:rPr>
        <w:t>“The model is not identified.”</w:t>
      </w:r>
    </w:p>
    <w:p>
      <w:pPr/>
      <w:r>
        <w:t>Answer with near-fit parameter sets, external moments, and uncertainty ranges rather than a single tie-broken benchmark.</w:t>
      </w:r>
    </w:p>
    <w:p>
      <w:pPr/>
      <w:r>
        <w:rPr>
          <w:b/>
        </w:rPr>
        <w:t>“The welfare conclusion is unsupported.”</w:t>
      </w:r>
    </w:p>
    <w:p>
      <w:pPr/>
      <w:r>
        <w:t>Answer by removing it or adding a genuine welfare framework.</w:t>
      </w:r>
    </w:p>
    <w:p>
      <w:pPr>
        <w:pStyle w:val="Heading2"/>
      </w:pPr>
      <w:r>
        <w:t>8.6 Final pre-submission checklist</w:t>
      </w:r>
    </w:p>
    <w:p>
      <w:pPr>
        <w:pStyle w:val="ListBullet"/>
      </w:pPr>
      <w:r>
        <w:t>☐ Treatment and estimand use only pre-policy/legal information.</w:t>
      </w:r>
    </w:p>
    <w:p>
      <w:pPr>
        <w:pStyle w:val="ListBullet"/>
      </w:pPr>
      <w:r>
        <w:t>☐ Cohort inclusion never depends on future employment or benefit receipt.</w:t>
      </w:r>
    </w:p>
    <w:p>
      <w:pPr>
        <w:pStyle w:val="ListBullet"/>
      </w:pPr>
      <w:r>
        <w:t>☐ Job-finding and exit risk sets are fully documented.</w:t>
      </w:r>
    </w:p>
    <w:p>
      <w:pPr>
        <w:pStyle w:val="ListBullet"/>
      </w:pPr>
      <w:r>
        <w:t>☐ Main estimates use person-week data and appropriate duration controls.</w:t>
      </w:r>
    </w:p>
    <w:p>
      <w:pPr>
        <w:pStyle w:val="ListBullet"/>
      </w:pPr>
      <w:r>
        <w:t>☐ Inference addresses serial correlation and one policy change.</w:t>
      </w:r>
    </w:p>
    <w:p>
      <w:pPr>
        <w:pStyle w:val="ListBullet"/>
      </w:pPr>
      <w:r>
        <w:t>☐ Pre-period extends into 2019 where data permit.</w:t>
      </w:r>
    </w:p>
    <w:p>
      <w:pPr>
        <w:pStyle w:val="ListBullet"/>
      </w:pPr>
      <w:r>
        <w:t>☐ Honest parallel-trend sensitivity is reported.</w:t>
      </w:r>
    </w:p>
    <w:p>
      <w:pPr>
        <w:pStyle w:val="ListBullet"/>
      </w:pPr>
      <w:r>
        <w:t>☐ JobKeeper exposure is directly addressed.</w:t>
      </w:r>
    </w:p>
    <w:p>
      <w:pPr>
        <w:pStyle w:val="ListBullet"/>
      </w:pPr>
      <w:r>
        <w:t>☐ Every concurrent JobSeeker policy component appears on the timeline.</w:t>
      </w:r>
    </w:p>
    <w:p>
      <w:pPr>
        <w:pStyle w:val="ListBullet"/>
      </w:pPr>
      <w:r>
        <w:t>☐ Balance table reports standardised differences and overlap.</w:t>
      </w:r>
    </w:p>
    <w:p>
      <w:pPr>
        <w:pStyle w:val="ListBullet"/>
      </w:pPr>
      <w:r>
        <w:t>☐ STP transition definitions are validated.</w:t>
      </w:r>
    </w:p>
    <w:p>
      <w:pPr>
        <w:pStyle w:val="ListBullet"/>
      </w:pPr>
      <w:r>
        <w:t>☐ Earnings claim is formally estimated or removed.</w:t>
      </w:r>
    </w:p>
    <w:p>
      <w:pPr>
        <w:pStyle w:val="ListBullet"/>
      </w:pPr>
      <w:r>
        <w:t>☐ Victoria result is a pooled triple difference.</w:t>
      </w:r>
    </w:p>
    <w:p>
      <w:pPr>
        <w:pStyle w:val="ListBullet"/>
      </w:pPr>
      <w:r>
        <w:t>☐ Heterogeneity uses actual predicted replacement rates.</w:t>
      </w:r>
    </w:p>
    <w:p>
      <w:pPr>
        <w:pStyle w:val="ListBullet"/>
      </w:pPr>
      <w:r>
        <w:t>☐ Model targets come from the revised empirical design.</w:t>
      </w:r>
    </w:p>
    <w:p>
      <w:pPr>
        <w:pStyle w:val="ListBullet"/>
      </w:pPr>
      <w:r>
        <w:t>☐ Model beta and horizon use consistent weekly units/dates.</w:t>
      </w:r>
    </w:p>
    <w:p>
      <w:pPr>
        <w:pStyle w:val="ListBullet"/>
      </w:pPr>
      <w:r>
        <w:t>☐ Firm continuation and employment exits are reconciled or model is simplified.</w:t>
      </w:r>
    </w:p>
    <w:p>
      <w:pPr>
        <w:pStyle w:val="ListBullet"/>
      </w:pPr>
      <w:r>
        <w:t>☐ Full factorial/Shapley decomposition shows interactions.</w:t>
      </w:r>
    </w:p>
    <w:p>
      <w:pPr>
        <w:pStyle w:val="ListBullet"/>
      </w:pPr>
      <w:r>
        <w:t>☐ Near-fitting parameter-set ranges appear in the main text.</w:t>
      </w:r>
    </w:p>
    <w:p>
      <w:pPr>
        <w:pStyle w:val="ListBullet"/>
      </w:pPr>
      <w:r>
        <w:t>☐ Empirical uncertainty is propagated through calibration.</w:t>
      </w:r>
    </w:p>
    <w:p>
      <w:pPr>
        <w:pStyle w:val="ListBullet"/>
      </w:pPr>
      <w:r>
        <w:t>☐ Placeholder replacement-rate validation is removed.</w:t>
      </w:r>
    </w:p>
    <w:p>
      <w:pPr>
        <w:pStyle w:val="ListBullet"/>
      </w:pPr>
      <w:r>
        <w:t>☐ Model is called partial equilibrium unless feedback is added.</w:t>
      </w:r>
    </w:p>
    <w:p>
      <w:pPr>
        <w:pStyle w:val="ListBullet"/>
      </w:pPr>
      <w:r>
        <w:t>☐ Welfare claims are removed unless welfare is modelled.</w:t>
      </w:r>
    </w:p>
    <w:p>
      <w:pPr>
        <w:pStyle w:val="ListBullet"/>
      </w:pPr>
      <w:r>
        <w:t>☐ Julia and empirical environments are locked and tested.</w:t>
      </w:r>
    </w:p>
    <w:p>
      <w:pPr>
        <w:pStyle w:val="ListBullet"/>
      </w:pPr>
      <w:r>
        <w:t>☐ All manuscript exhibits are machine-generated.</w:t>
      </w:r>
    </w:p>
    <w:p>
      <w:pPr>
        <w:pStyle w:val="ListBullet"/>
      </w:pPr>
      <w:r>
        <w:t>☐ Abstract, introduction, tables, model, and conclusion report the same numbers.</w:t>
      </w:r>
    </w:p>
    <w:p>
      <w:pPr>
        <w:pStyle w:val="ListBullet"/>
      </w:pPr>
      <w:r>
        <w:t>☐ AI use and other required declarations follow the current journal guide.</w:t>
      </w:r>
    </w:p>
    <w:p>
      <w:pPr>
        <w:pStyle w:val="Heading1"/>
      </w:pPr>
      <w:r>
        <w:t>References and useful links</w:t>
      </w:r>
    </w:p>
    <w:p>
      <w:pPr>
        <w:pStyle w:val="ListBullet"/>
      </w:pPr>
      <w:r>
        <w:t xml:space="preserve">Bertrand, M., Duflo, E., and Mullainathan, S. (2004), “How Much Should We Trust Differences-in-Differences Estimates?”, </w:t>
      </w:r>
      <w:r>
        <w:rPr>
          <w:i/>
        </w:rPr>
        <w:t>Quarterly Journal of Economics</w:t>
      </w:r>
      <w:r>
        <w:t xml:space="preserve">, 119(1), 249–275. </w:t>
      </w:r>
      <w:hyperlink r:id="rId23">
        <w:r>
          <w:rPr>
            <w:color w:val="2C6384"/>
            <w:u w:val="single"/>
          </w:rPr>
          <w:t>DOI</w:t>
        </w:r>
      </w:hyperlink>
      <w:r>
        <w:t>.</w:t>
      </w:r>
    </w:p>
    <w:p>
      <w:pPr>
        <w:pStyle w:val="ListBullet"/>
      </w:pPr>
      <w:r>
        <w:t xml:space="preserve">Bradshaw, N., Deutscher, N., and Vass, L. (2023), “The Employment Effects of JobKeeper Receipt,” Australian Treasury. </w:t>
      </w:r>
      <w:hyperlink r:id="rId18">
        <w:r>
          <w:rPr>
            <w:color w:val="2C6384"/>
            <w:u w:val="single"/>
          </w:rPr>
          <w:t>Study page</w:t>
        </w:r>
      </w:hyperlink>
      <w:r>
        <w:t>.</w:t>
      </w:r>
    </w:p>
    <w:p>
      <w:pPr>
        <w:pStyle w:val="ListBullet"/>
      </w:pPr>
      <w:r>
        <w:t xml:space="preserve">Conley, T. and Taber, C. (2011), “Inference with Difference in Differences with a Small Number of Policy Changes,” </w:t>
      </w:r>
      <w:r>
        <w:rPr>
          <w:i/>
        </w:rPr>
        <w:t>Review of Economics and Statistics</w:t>
      </w:r>
      <w:r>
        <w:t xml:space="preserve">, 93(1), 113–125. </w:t>
      </w:r>
      <w:hyperlink r:id="rId24">
        <w:r>
          <w:rPr>
            <w:color w:val="2C6384"/>
            <w:u w:val="single"/>
          </w:rPr>
          <w:t>DOI</w:t>
        </w:r>
      </w:hyperlink>
      <w:r>
        <w:t>.</w:t>
      </w:r>
    </w:p>
    <w:p>
      <w:pPr>
        <w:pStyle w:val="ListBullet"/>
      </w:pPr>
      <w:r>
        <w:t xml:space="preserve">Ganong, P., Greig, F., Noel, P., Sullivan, D. M., and Vavra, J. (2024), “Spending and Job-Finding Impacts of Expanded Unemployment Benefits: Evidence from Administrative Micro Data,” </w:t>
      </w:r>
      <w:r>
        <w:rPr>
          <w:i/>
        </w:rPr>
        <w:t>American Economic Review</w:t>
      </w:r>
      <w:r>
        <w:t xml:space="preserve">, 114(9), 2898–2939. </w:t>
      </w:r>
      <w:hyperlink r:id="rId21">
        <w:r>
          <w:rPr>
            <w:color w:val="2C6384"/>
            <w:u w:val="single"/>
          </w:rPr>
          <w:t>AEA page</w:t>
        </w:r>
      </w:hyperlink>
      <w:r>
        <w:t>.</w:t>
      </w:r>
    </w:p>
    <w:p>
      <w:pPr>
        <w:pStyle w:val="ListBullet"/>
      </w:pPr>
      <w:r>
        <w:t xml:space="preserve">Klapdor, M. (2020), “Changes to the COVID-19 Social Security Measures: A Brief Assessment,” Parliamentary Library. </w:t>
      </w:r>
      <w:hyperlink r:id="rId17">
        <w:r>
          <w:rPr>
            <w:color w:val="2C6384"/>
            <w:u w:val="single"/>
          </w:rPr>
          <w:t>Parliament of Australia</w:t>
        </w:r>
      </w:hyperlink>
      <w:r>
        <w:t>.</w:t>
      </w:r>
    </w:p>
    <w:p>
      <w:pPr>
        <w:pStyle w:val="ListBullet"/>
      </w:pPr>
      <w:r>
        <w:t xml:space="preserve">Marinescu, I., Skandalis, D., and Zhao, D. (2021), “The Impact of the Federal Pandemic Unemployment Compensation on Job Search and Vacancy Creation,” </w:t>
      </w:r>
      <w:r>
        <w:rPr>
          <w:i/>
        </w:rPr>
        <w:t>Journal of Public Economics</w:t>
      </w:r>
      <w:r>
        <w:t xml:space="preserve">, 200, 104471. </w:t>
      </w:r>
      <w:hyperlink r:id="rId20">
        <w:r>
          <w:rPr>
            <w:color w:val="2C6384"/>
            <w:u w:val="single"/>
          </w:rPr>
          <w:t>Article</w:t>
        </w:r>
      </w:hyperlink>
      <w:r>
        <w:t>.</w:t>
      </w:r>
    </w:p>
    <w:p>
      <w:pPr>
        <w:pStyle w:val="ListBullet"/>
      </w:pPr>
      <w:r>
        <w:t xml:space="preserve">Rambachan, A. and Roth, J. (2023), “A More Credible Approach to Parallel Trends,” </w:t>
      </w:r>
      <w:r>
        <w:rPr>
          <w:i/>
        </w:rPr>
        <w:t>Review of Economic Studies</w:t>
      </w:r>
      <w:r>
        <w:t xml:space="preserve">, 90(5), 2555–2591. </w:t>
      </w:r>
      <w:hyperlink r:id="rId16">
        <w:r>
          <w:rPr>
            <w:color w:val="2C6384"/>
            <w:u w:val="single"/>
          </w:rPr>
          <w:t>DOI</w:t>
        </w:r>
      </w:hyperlink>
      <w:r>
        <w:t>.</w:t>
      </w:r>
    </w:p>
    <w:p>
      <w:pPr>
        <w:pStyle w:val="ListBullet"/>
      </w:pPr>
      <w:r>
        <w:t xml:space="preserve">Reserve Bank of Australia (2020), “Domestic Economic Conditions,” </w:t>
      </w:r>
      <w:r>
        <w:rPr>
          <w:i/>
        </w:rPr>
        <w:t>Statement on Monetary Policy</w:t>
      </w:r>
      <w:r>
        <w:t xml:space="preserve">, August. </w:t>
      </w:r>
      <w:hyperlink r:id="rId19">
        <w:r>
          <w:rPr>
            <w:color w:val="2C6384"/>
            <w:u w:val="single"/>
          </w:rPr>
          <w:t>RBA page</w:t>
        </w:r>
      </w:hyperlink>
      <w:r>
        <w:t>.</w:t>
      </w:r>
    </w:p>
    <w:p>
      <w:pPr>
        <w:pStyle w:val="ListBullet"/>
      </w:pPr>
      <w:r>
        <w:t xml:space="preserve">Roth, J. (2022), “Pretest with Caution: Event-Study Estimates after Testing for Parallel Trends,” </w:t>
      </w:r>
      <w:r>
        <w:rPr>
          <w:i/>
        </w:rPr>
        <w:t>American Economic Review: Insights</w:t>
      </w:r>
      <w:r>
        <w:t xml:space="preserve">, 4(3), 305–322. </w:t>
      </w:r>
      <w:hyperlink r:id="rId15">
        <w:r>
          <w:rPr>
            <w:color w:val="2C6384"/>
            <w:u w:val="single"/>
          </w:rPr>
          <w:t>AEA page</w:t>
        </w:r>
      </w:hyperlink>
      <w:r>
        <w:t>.</w:t>
      </w:r>
    </w:p>
    <w:p>
      <w:pPr>
        <w:pStyle w:val="ListBullet"/>
      </w:pPr>
      <w:r>
        <w:rPr>
          <w:i/>
        </w:rPr>
        <w:t>Journal of Public Economics</w:t>
      </w:r>
      <w:r>
        <w:t xml:space="preserve">, </w:t>
      </w:r>
      <w:hyperlink r:id="rId11">
        <w:r>
          <w:rPr>
            <w:color w:val="2C6384"/>
            <w:u w:val="single"/>
          </w:rPr>
          <w:t>journal homepage</w:t>
        </w:r>
      </w:hyperlink>
      <w:r>
        <w:t xml:space="preserve">, </w:t>
      </w:r>
      <w:hyperlink r:id="rId22">
        <w:r>
          <w:rPr>
            <w:color w:val="2C6384"/>
            <w:u w:val="single"/>
          </w:rPr>
          <w:t>Guide for Authors</w:t>
        </w:r>
      </w:hyperlink>
      <w:r>
        <w:t xml:space="preserve">, and </w:t>
      </w:r>
      <w:hyperlink r:id="rId12">
        <w:r>
          <w:rPr>
            <w:color w:val="2C6384"/>
            <w:u w:val="single"/>
          </w:rPr>
          <w:t>short-paper policy</w:t>
        </w:r>
      </w:hyperlink>
      <w:r>
        <w:t>.</w:t>
      </w:r>
    </w:p>
    <w:p>
      <w:pPr>
        <w:pStyle w:val="Callout"/>
        <w:shd w:fill="EAF2F7"/>
        <w:pBdr>
          <w:left w:val="single" w:sz="18" w:space="5" w:color="2C6384"/>
        </w:pBdr>
      </w:pPr>
      <w:r>
        <w:rPr>
          <w:b/>
        </w:rPr>
        <w:t>Final recommendation.</w:t>
      </w:r>
      <w:r>
        <w:t xml:space="preserve"> Do not spend the next revision cycle polishing the present draft’s sentences. First rebuild the empirical sample and inference, then freeze a new target table, then recalibrate model 15 and report its identified range. Once those results are stable, rewrite the paper from a new outline. That sequence gives this project its best chance of becoming a credible and durable JPubE contribution.</w:t>
      </w:r>
    </w:p>
    <w:sectPr w:rsidR="00FC693F" w:rsidRPr="0006063C" w:rsidSect="00034616">
      <w:headerReference w:type="default" r:id="rId9"/>
      <w:footerReference w:type="default" r:id="rId10"/>
      <w:pgSz w:w="11906" w:h="16838"/>
      <w:pgMar w:top="1077"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37A"/>
        <w:sz w:val="16"/>
      </w:rPr>
      <w:t xml:space="preserve">Confidential working document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737A"/>
        <w:sz w:val="16"/>
      </w:rPr>
      <w:t>JPubE submission roadmap — model 15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5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8364E"/>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2C6384"/>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836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1836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2C638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60"/>
      <w:ind w:left="255" w:right="142"/>
    </w:pPr>
    <w:rPr>
      <w:rFonts w:ascii="Aptos" w:hAnsi="Aptos"/>
      <w:color w:val="18364E"/>
      <w:sz w:val="21"/>
    </w:rPr>
  </w:style>
  <w:style w:type="paragraph" w:customStyle="1" w:styleId="Equation">
    <w:name w:val="Equation"/>
    <w:pPr>
      <w:spacing w:before="60" w:after="100"/>
      <w:ind w:left="340"/>
    </w:pPr>
    <w:rPr>
      <w:rFonts w:ascii="Consolas" w:hAnsi="Consolas"/>
      <w:color w:val="18364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ciencedirect.com/journal/journal-of-public-economics" TargetMode="External"/><Relationship Id="rId12" Type="http://schemas.openxmlformats.org/officeDocument/2006/relationships/hyperlink" Target="https://www.sciencedirect.com/journal/journal-of-public-economics/about/news/journal-of-public-economics-to-create-a-new-short-paper-subm" TargetMode="External"/><Relationship Id="rId13" Type="http://schemas.openxmlformats.org/officeDocument/2006/relationships/hyperlink" Target="https://academic.oup.com/qje/article-abstract/119/1/249/1876068" TargetMode="External"/><Relationship Id="rId14" Type="http://schemas.openxmlformats.org/officeDocument/2006/relationships/hyperlink" Target="https://direct.mit.edu/rest/article/93/1/113/57888/Inference-with-Difference-in-Differences-with-a" TargetMode="External"/><Relationship Id="rId15" Type="http://schemas.openxmlformats.org/officeDocument/2006/relationships/hyperlink" Target="https://pubs.aeaweb.org/doi/10.1257/aeri.20210236" TargetMode="External"/><Relationship Id="rId16" Type="http://schemas.openxmlformats.org/officeDocument/2006/relationships/hyperlink" Target="https://doi.org/10.1093/restud/rdad018" TargetMode="External"/><Relationship Id="rId17" Type="http://schemas.openxmlformats.org/officeDocument/2006/relationships/hyperlink" Target="https://www.aph.gov.au/About_Parliament/Parliamentary_departments/Parliamentary_Library/Research/Research_Papers/2020-21/ChangesCOVID-19SocialSecurity" TargetMode="External"/><Relationship Id="rId18" Type="http://schemas.openxmlformats.org/officeDocument/2006/relationships/hyperlink" Target="https://treasury.gov.au/publication/p2023-450106" TargetMode="External"/><Relationship Id="rId19" Type="http://schemas.openxmlformats.org/officeDocument/2006/relationships/hyperlink" Target="https://www.rba.gov.au/publications/smp/2020/aug/domestic-economic-conditions.html" TargetMode="External"/><Relationship Id="rId20" Type="http://schemas.openxmlformats.org/officeDocument/2006/relationships/hyperlink" Target="https://www.sciencedirect.com/science/article/pii/S0047272721001079" TargetMode="External"/><Relationship Id="rId21" Type="http://schemas.openxmlformats.org/officeDocument/2006/relationships/hyperlink" Target="https://www.aeaweb.org/articles?id=10.1257%2Faer.20220973" TargetMode="External"/><Relationship Id="rId22" Type="http://schemas.openxmlformats.org/officeDocument/2006/relationships/hyperlink" Target="https://www.sciencedirect.com/journal/journal-of-public-economics/publish/guide-for-authors" TargetMode="External"/><Relationship Id="rId23" Type="http://schemas.openxmlformats.org/officeDocument/2006/relationships/hyperlink" Target="https://doi.org/10.1162/003355304772839588" TargetMode="External"/><Relationship Id="rId24" Type="http://schemas.openxmlformats.org/officeDocument/2006/relationships/hyperlink" Target="https://doi.org/10.1162/REST_a_00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Roadmap to a Journal of Public Economics Submission</dc:title>
  <dc:subject>Technical review of empirical work, model 15, and manuscript framing</dc:subject>
  <dc:creator>Technical review prepared for the authors</dc:creator>
  <cp:keywords>Journal of Public Economics, JobSeeker, COVID-19, model 15</cp:keywords>
  <dc:description>generated by python-docx</dc:description>
  <cp:lastModifiedBy/>
  <cp:revision>1</cp:revision>
  <dcterms:created xsi:type="dcterms:W3CDTF">2013-12-23T23:15:00Z</dcterms:created>
  <dcterms:modified xsi:type="dcterms:W3CDTF">2013-12-23T23:15:00Z</dcterms:modified>
  <cp:category/>
</cp:coreProperties>
</file>