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B309C" w14:textId="71F9F334" w:rsidR="008575D7" w:rsidRDefault="008575D7">
      <w:pPr>
        <w:rPr>
          <w:b/>
          <w:bCs/>
          <w:lang w:val="en-US"/>
        </w:rPr>
      </w:pPr>
      <w:r>
        <w:rPr>
          <w:b/>
          <w:bCs/>
          <w:lang w:val="en-US"/>
        </w:rPr>
        <w:t>The case for a New Zealand PBO</w:t>
      </w:r>
    </w:p>
    <w:p w14:paraId="14A09BEA" w14:textId="0A31BDF7" w:rsidR="008575D7" w:rsidRDefault="008575D7">
      <w:pPr>
        <w:rPr>
          <w:lang w:val="en-US"/>
        </w:rPr>
      </w:pPr>
      <w:r>
        <w:rPr>
          <w:lang w:val="en-US"/>
        </w:rPr>
        <w:t>In a recent book for the Helen Clark foundation I had the chance to write something about macroeconomics and fiscal sustainability. I used that opportunity to do two things: i) point out that New Zealand’s long-term economic performance has been better than people often care to admit ii) highlight that the growing challenges from an ageing population, slow productivity growth, rising volatility in demand management, and rising polarisation require good independent information.</w:t>
      </w:r>
    </w:p>
    <w:p w14:paraId="46226717" w14:textId="1FD169EB" w:rsidR="008575D7" w:rsidRDefault="008575D7">
      <w:pPr>
        <w:rPr>
          <w:lang w:val="en-US"/>
        </w:rPr>
      </w:pPr>
      <w:r>
        <w:rPr>
          <w:lang w:val="en-US"/>
        </w:rPr>
        <w:t>And so my view is that a New Zealand Parliamentary Budget Office – like its counterpart in Australia – would be beneficial.</w:t>
      </w:r>
      <w:r w:rsidR="00444551">
        <w:rPr>
          <w:lang w:val="en-US"/>
        </w:rPr>
        <w:t xml:space="preserve"> Hardly </w:t>
      </w:r>
      <w:hyperlink r:id="rId5" w:history="1">
        <w:r w:rsidR="00444551" w:rsidRPr="00444551">
          <w:rPr>
            <w:rStyle w:val="Hyperlink"/>
            <w:lang w:val="en-US"/>
          </w:rPr>
          <w:t>a new idea</w:t>
        </w:r>
      </w:hyperlink>
      <w:r w:rsidR="00444551">
        <w:rPr>
          <w:lang w:val="en-US"/>
        </w:rPr>
        <w:t>, but worth doing.</w:t>
      </w:r>
    </w:p>
    <w:p w14:paraId="1610CF14" w14:textId="77777777" w:rsidR="0076611E" w:rsidRDefault="0076611E" w:rsidP="0076611E">
      <w:pPr>
        <w:rPr>
          <w:b/>
          <w:bCs/>
          <w:lang w:val="en-US"/>
        </w:rPr>
      </w:pPr>
      <w:r>
        <w:rPr>
          <w:b/>
          <w:bCs/>
          <w:lang w:val="en-US"/>
        </w:rPr>
        <w:t>The types of independent fiscal institutions</w:t>
      </w:r>
    </w:p>
    <w:p w14:paraId="1DE4F75A" w14:textId="1CE5BCD1" w:rsidR="0076611E" w:rsidRDefault="0076611E" w:rsidP="0076611E">
      <w:pPr>
        <w:rPr>
          <w:lang w:val="en-US"/>
        </w:rPr>
      </w:pPr>
      <w:r>
        <w:rPr>
          <w:lang w:val="en-US"/>
        </w:rPr>
        <w:t>A PBO/costing unit in New Zealand is one form of a more general type of beast – independent fiscal institutions.</w:t>
      </w:r>
      <w:r>
        <w:rPr>
          <w:lang w:val="en-US"/>
        </w:rPr>
        <w:t xml:space="preserve"> There are many potential functions of such an institution, and I’m going to take a bit of a unique take on their makeup – for reasons that will become clear later. Lets outline some:</w:t>
      </w:r>
    </w:p>
    <w:p w14:paraId="63963F8C" w14:textId="2CED84AA" w:rsidR="0076611E" w:rsidRPr="00145A75" w:rsidRDefault="0076611E" w:rsidP="0076611E">
      <w:pPr>
        <w:pStyle w:val="ListParagraph"/>
        <w:numPr>
          <w:ilvl w:val="0"/>
          <w:numId w:val="1"/>
        </w:numPr>
        <w:rPr>
          <w:b/>
          <w:bCs/>
          <w:lang w:val="en-US"/>
        </w:rPr>
      </w:pPr>
      <w:r w:rsidRPr="00145A75">
        <w:rPr>
          <w:b/>
          <w:bCs/>
          <w:lang w:val="en-US"/>
        </w:rPr>
        <w:t>Costing of opposition policies</w:t>
      </w:r>
      <w:r w:rsidRPr="00145A75">
        <w:rPr>
          <w:lang w:val="en-US"/>
        </w:rPr>
        <w:t xml:space="preserve">: </w:t>
      </w:r>
    </w:p>
    <w:p w14:paraId="4E84B0DD" w14:textId="71ED96BF" w:rsidR="0076611E" w:rsidRDefault="0076611E" w:rsidP="0076611E">
      <w:pPr>
        <w:pStyle w:val="ListParagraph"/>
        <w:numPr>
          <w:ilvl w:val="0"/>
          <w:numId w:val="1"/>
        </w:numPr>
        <w:rPr>
          <w:lang w:val="en-US"/>
        </w:rPr>
      </w:pPr>
      <w:r w:rsidRPr="00145A75">
        <w:rPr>
          <w:b/>
          <w:bCs/>
          <w:lang w:val="en-US"/>
        </w:rPr>
        <w:t>Assessment of government policies</w:t>
      </w:r>
      <w:r>
        <w:rPr>
          <w:lang w:val="en-US"/>
        </w:rPr>
        <w:t>:</w:t>
      </w:r>
    </w:p>
    <w:p w14:paraId="410DDACF" w14:textId="7E284E01" w:rsidR="0076611E" w:rsidRDefault="0076611E" w:rsidP="0076611E">
      <w:pPr>
        <w:pStyle w:val="ListParagraph"/>
        <w:numPr>
          <w:ilvl w:val="0"/>
          <w:numId w:val="1"/>
        </w:numPr>
        <w:rPr>
          <w:lang w:val="en-US"/>
        </w:rPr>
      </w:pPr>
      <w:r w:rsidRPr="00145A75">
        <w:rPr>
          <w:b/>
          <w:bCs/>
          <w:lang w:val="en-US"/>
        </w:rPr>
        <w:t>Assessment (or provision) of public service forecasts and projections</w:t>
      </w:r>
      <w:r>
        <w:rPr>
          <w:lang w:val="en-US"/>
        </w:rPr>
        <w:t>:</w:t>
      </w:r>
    </w:p>
    <w:p w14:paraId="65D3C0E2" w14:textId="69EE2E17" w:rsidR="0076611E" w:rsidRDefault="0076611E" w:rsidP="0076611E">
      <w:pPr>
        <w:pStyle w:val="ListParagraph"/>
        <w:numPr>
          <w:ilvl w:val="0"/>
          <w:numId w:val="1"/>
        </w:numPr>
        <w:rPr>
          <w:lang w:val="en-US"/>
        </w:rPr>
      </w:pPr>
      <w:r w:rsidRPr="00145A75">
        <w:rPr>
          <w:b/>
          <w:bCs/>
          <w:lang w:val="en-US"/>
        </w:rPr>
        <w:t>“Rule” based administration of a policy</w:t>
      </w:r>
      <w:r>
        <w:rPr>
          <w:lang w:val="en-US"/>
        </w:rPr>
        <w:t>:</w:t>
      </w:r>
      <w:r w:rsidR="007A7871">
        <w:rPr>
          <w:lang w:val="en-US"/>
        </w:rPr>
        <w:t xml:space="preserve"> When governments are unable to “commit” to the right policy, they may tie their hands by giving authority to someone else. Monetary policy (RBNZ) is the key example, but you do </w:t>
      </w:r>
      <w:hyperlink r:id="rId6" w:history="1">
        <w:r w:rsidR="007A7871" w:rsidRPr="007A7871">
          <w:rPr>
            <w:rStyle w:val="Hyperlink"/>
            <w:lang w:val="en-US"/>
          </w:rPr>
          <w:t>get crazy people that suggest things like independent tax rates</w:t>
        </w:r>
      </w:hyperlink>
      <w:r w:rsidR="007A7871">
        <w:rPr>
          <w:lang w:val="en-US"/>
        </w:rPr>
        <w:t>.</w:t>
      </w:r>
    </w:p>
    <w:p w14:paraId="11E7604E" w14:textId="5E5DD034" w:rsidR="0076611E" w:rsidRDefault="0076611E" w:rsidP="0076611E">
      <w:pPr>
        <w:rPr>
          <w:lang w:val="en-US"/>
        </w:rPr>
      </w:pPr>
      <w:r>
        <w:rPr>
          <w:lang w:val="en-US"/>
        </w:rPr>
        <w:t>All independent fiscal institutions will involve elements of these attributes, which will depend on the intention of the institution. To my mind there are two main intentions:</w:t>
      </w:r>
    </w:p>
    <w:p w14:paraId="0C135D4A" w14:textId="78ED0F16" w:rsidR="0076611E" w:rsidRDefault="0076611E" w:rsidP="0076611E">
      <w:pPr>
        <w:pStyle w:val="ListParagraph"/>
        <w:numPr>
          <w:ilvl w:val="0"/>
          <w:numId w:val="2"/>
        </w:numPr>
        <w:rPr>
          <w:lang w:val="en-US"/>
        </w:rPr>
      </w:pPr>
      <w:r>
        <w:rPr>
          <w:lang w:val="en-US"/>
        </w:rPr>
        <w:t>To improve the administration of a policy.</w:t>
      </w:r>
    </w:p>
    <w:p w14:paraId="7FF7CFE0" w14:textId="40BD270B" w:rsidR="0076611E" w:rsidRDefault="0076611E" w:rsidP="0076611E">
      <w:pPr>
        <w:pStyle w:val="ListParagraph"/>
        <w:numPr>
          <w:ilvl w:val="0"/>
          <w:numId w:val="2"/>
        </w:numPr>
        <w:rPr>
          <w:lang w:val="en-US"/>
        </w:rPr>
      </w:pPr>
      <w:r>
        <w:rPr>
          <w:lang w:val="en-US"/>
        </w:rPr>
        <w:t>To provide impartial information to the public.</w:t>
      </w:r>
    </w:p>
    <w:p w14:paraId="0F497E3D" w14:textId="2581757F" w:rsidR="00BE6E55" w:rsidRPr="00BE6E55" w:rsidRDefault="00BE6E55" w:rsidP="00BE6E55">
      <w:pPr>
        <w:rPr>
          <w:lang w:val="en-US"/>
        </w:rPr>
      </w:pPr>
      <w:r>
        <w:rPr>
          <w:lang w:val="en-US"/>
        </w:rPr>
        <w:t>The discussions are entirely focused on the later.</w:t>
      </w:r>
    </w:p>
    <w:p w14:paraId="3F1E4BFC" w14:textId="1ACE20B8" w:rsidR="0076611E" w:rsidRPr="0076611E" w:rsidRDefault="0076611E">
      <w:pPr>
        <w:rPr>
          <w:b/>
          <w:bCs/>
          <w:lang w:val="en-US"/>
        </w:rPr>
      </w:pPr>
      <w:r>
        <w:rPr>
          <w:b/>
          <w:bCs/>
          <w:lang w:val="en-US"/>
        </w:rPr>
        <w:t>Some New Zealand background</w:t>
      </w:r>
    </w:p>
    <w:p w14:paraId="49280879" w14:textId="4F01D48D" w:rsidR="00BD0FB1" w:rsidRDefault="00BD0FB1">
      <w:pPr>
        <w:rPr>
          <w:lang w:val="en-US"/>
        </w:rPr>
      </w:pPr>
      <w:r>
        <w:rPr>
          <w:lang w:val="en-US"/>
        </w:rPr>
        <w:t xml:space="preserve">Arguably, New Zealand is one of the great innovators in such institutions. The Reserve Bank Act (1989), the Fiscal Responsibility Act (1994), and the relative independence of the public sector through the Public Service Acts ensure that the </w:t>
      </w:r>
      <w:r>
        <w:rPr>
          <w:b/>
          <w:bCs/>
          <w:lang w:val="en-US"/>
        </w:rPr>
        <w:t>advice</w:t>
      </w:r>
      <w:r>
        <w:rPr>
          <w:lang w:val="en-US"/>
        </w:rPr>
        <w:t xml:space="preserve"> provided by public servants is relatively impartial and objective.</w:t>
      </w:r>
      <w:r w:rsidR="00BE6E55">
        <w:rPr>
          <w:lang w:val="en-US"/>
        </w:rPr>
        <w:t xml:space="preserve"> Furthermore, in situations where the public has determined it is in their best interest to pass on administration – such as for monetary policy – this has led to better policy outcomes.</w:t>
      </w:r>
    </w:p>
    <w:p w14:paraId="71AE1E3D" w14:textId="1F03BD32" w:rsidR="00BD0FB1" w:rsidRDefault="00BD0FB1">
      <w:pPr>
        <w:rPr>
          <w:lang w:val="en-US"/>
        </w:rPr>
      </w:pPr>
      <w:r>
        <w:rPr>
          <w:lang w:val="en-US"/>
        </w:rPr>
        <w:t xml:space="preserve">On top of this, regulatory impact statements and the proactive release of advice – especially the proactive release of Cabinet material a month after a decision is made – </w:t>
      </w:r>
      <w:r>
        <w:rPr>
          <w:lang w:val="en-US"/>
        </w:rPr>
        <w:lastRenderedPageBreak/>
        <w:t xml:space="preserve">reflect a type of </w:t>
      </w:r>
      <w:r>
        <w:rPr>
          <w:i/>
          <w:iCs/>
          <w:lang w:val="en-US"/>
        </w:rPr>
        <w:t>radical transparency</w:t>
      </w:r>
      <w:r>
        <w:rPr>
          <w:lang w:val="en-US"/>
        </w:rPr>
        <w:t xml:space="preserve"> about advice that is absent across many other countries.</w:t>
      </w:r>
    </w:p>
    <w:p w14:paraId="1324F5A1" w14:textId="3822CC54" w:rsidR="00BD0FB1" w:rsidRDefault="00BD0FB1">
      <w:pPr>
        <w:rPr>
          <w:lang w:val="en-US"/>
        </w:rPr>
      </w:pPr>
      <w:r>
        <w:rPr>
          <w:lang w:val="en-US"/>
        </w:rPr>
        <w:t xml:space="preserve">However, there is a tension between the provision of </w:t>
      </w:r>
      <w:r>
        <w:rPr>
          <w:i/>
          <w:iCs/>
          <w:lang w:val="en-US"/>
        </w:rPr>
        <w:t>advice</w:t>
      </w:r>
      <w:r>
        <w:rPr>
          <w:lang w:val="en-US"/>
        </w:rPr>
        <w:t xml:space="preserve"> and the </w:t>
      </w:r>
      <w:r>
        <w:rPr>
          <w:i/>
          <w:iCs/>
          <w:lang w:val="en-US"/>
        </w:rPr>
        <w:t>administration of policy</w:t>
      </w:r>
      <w:r>
        <w:rPr>
          <w:lang w:val="en-US"/>
        </w:rPr>
        <w:t xml:space="preserve"> – where government agencies are often expected to provide impartial advice, but then when that is ignored they have to administer government policy. </w:t>
      </w:r>
    </w:p>
    <w:p w14:paraId="2EC174F1" w14:textId="317275C3" w:rsidR="00BD0FB1" w:rsidRDefault="00BD0FB1">
      <w:pPr>
        <w:rPr>
          <w:lang w:val="en-US"/>
        </w:rPr>
      </w:pPr>
      <w:r>
        <w:rPr>
          <w:lang w:val="en-US"/>
        </w:rPr>
        <w:t>This separation is sensible. The advice is one function, and the administration is another function – the public service is expected to provide objective advice, but then to follow the democratic process and administer whatever policy parliament (as a representative for the public) demands.</w:t>
      </w:r>
    </w:p>
    <w:p w14:paraId="188E1AA6" w14:textId="39EE5BE6" w:rsidR="0076611E" w:rsidRDefault="00BE6E55">
      <w:pPr>
        <w:rPr>
          <w:lang w:val="en-US"/>
        </w:rPr>
      </w:pPr>
      <w:r>
        <w:rPr>
          <w:lang w:val="en-US"/>
        </w:rPr>
        <w:t>But if we have the same departments, and sometimes the same public servants, doing both how easy is it to keep these functions separate? Even when it is, how easy is it to communicate this? How credible is this separation?</w:t>
      </w:r>
    </w:p>
    <w:p w14:paraId="58373BF0" w14:textId="62A59AD6" w:rsidR="00BE6E55" w:rsidRDefault="00BE6E55">
      <w:pPr>
        <w:rPr>
          <w:lang w:val="en-US"/>
        </w:rPr>
      </w:pPr>
      <w:r>
        <w:rPr>
          <w:lang w:val="en-US"/>
        </w:rPr>
        <w:t xml:space="preserve">When a government department assesses a policy can they really do so objectively? Even when they do, will the public view the assessment as </w:t>
      </w:r>
      <w:r w:rsidR="002472CD">
        <w:rPr>
          <w:lang w:val="en-US"/>
        </w:rPr>
        <w:t>credible?</w:t>
      </w:r>
    </w:p>
    <w:p w14:paraId="42F74453" w14:textId="0718EBE3" w:rsidR="002472CD" w:rsidRDefault="002472CD">
      <w:pPr>
        <w:rPr>
          <w:lang w:val="en-US"/>
        </w:rPr>
      </w:pPr>
      <w:r>
        <w:rPr>
          <w:lang w:val="en-US"/>
        </w:rPr>
        <w:t>Independent fiscal institutions attempt to deal with this issue by creating a clear and independent fiscal authority that doesn’t have skin in the game – and whose reputation is judged in its ability to objectively assess policies and provide good information to the public.</w:t>
      </w:r>
    </w:p>
    <w:p w14:paraId="37B92958" w14:textId="39C83D25" w:rsidR="002472CD" w:rsidRDefault="002472CD">
      <w:pPr>
        <w:rPr>
          <w:b/>
          <w:bCs/>
          <w:lang w:val="en-US"/>
        </w:rPr>
      </w:pPr>
      <w:r>
        <w:rPr>
          <w:b/>
          <w:bCs/>
          <w:lang w:val="en-US"/>
        </w:rPr>
        <w:t>What is a parliamentary budget office</w:t>
      </w:r>
    </w:p>
    <w:p w14:paraId="62F6A6F7" w14:textId="3F93F8B7" w:rsidR="002472CD" w:rsidRDefault="002472CD">
      <w:pPr>
        <w:rPr>
          <w:lang w:val="en-US"/>
        </w:rPr>
      </w:pPr>
      <w:r>
        <w:rPr>
          <w:lang w:val="en-US"/>
        </w:rPr>
        <w:t>The recommendation of a parliamentary budget office (PBO) in New Zealand is a bit more general than the current public recommendation for an “independent costing office”.</w:t>
      </w:r>
    </w:p>
    <w:p w14:paraId="254FF6DC" w14:textId="7A9EBC28" w:rsidR="002472CD" w:rsidRDefault="002472CD">
      <w:pPr>
        <w:rPr>
          <w:lang w:val="en-US"/>
        </w:rPr>
      </w:pPr>
      <w:r>
        <w:rPr>
          <w:lang w:val="en-US"/>
        </w:rPr>
        <w:t>What both share is the ability for an opposition party or MP to request a costing of a policy proposal. The Australian PBO showed the importance of this when XXX</w:t>
      </w:r>
    </w:p>
    <w:p w14:paraId="7E89FC1B" w14:textId="346C95CC" w:rsidR="002472CD" w:rsidRDefault="002472CD">
      <w:pPr>
        <w:rPr>
          <w:lang w:val="en-US"/>
        </w:rPr>
      </w:pPr>
      <w:r>
        <w:rPr>
          <w:lang w:val="en-US"/>
        </w:rPr>
        <w:t>However, a PBO would also provide additional Budget coverage outside of that provided by Treasury. This is arguably more necessary in Australia than in New Zealand given the greater independence of the New Zealand Treasury from the Minister of Finance.</w:t>
      </w:r>
    </w:p>
    <w:p w14:paraId="66A5BFC8" w14:textId="7966F58B" w:rsidR="002472CD" w:rsidRDefault="002472CD">
      <w:pPr>
        <w:rPr>
          <w:lang w:val="en-US"/>
        </w:rPr>
      </w:pPr>
      <w:r>
        <w:rPr>
          <w:lang w:val="en-US"/>
        </w:rPr>
        <w:t xml:space="preserve">Yet, I say arguably as </w:t>
      </w:r>
      <w:r w:rsidR="00420032">
        <w:rPr>
          <w:lang w:val="en-US"/>
        </w:rPr>
        <w:t xml:space="preserve">this is more by convention than by law. A motivated government could certainly influence the operation of government departments in New Zealand under the guise of trying to improve administrative efficiency. </w:t>
      </w:r>
    </w:p>
    <w:p w14:paraId="1898FF9F" w14:textId="06CB3D59" w:rsidR="00420032" w:rsidRDefault="00420032">
      <w:pPr>
        <w:rPr>
          <w:lang w:val="en-US"/>
        </w:rPr>
      </w:pPr>
      <w:r>
        <w:rPr>
          <w:lang w:val="en-US"/>
        </w:rPr>
        <w:t>XXX</w:t>
      </w:r>
    </w:p>
    <w:p w14:paraId="585CF738" w14:textId="6E32183C" w:rsidR="002472CD" w:rsidRDefault="00420032">
      <w:pPr>
        <w:rPr>
          <w:lang w:val="en-US"/>
        </w:rPr>
      </w:pPr>
      <w:r>
        <w:rPr>
          <w:lang w:val="en-US"/>
        </w:rPr>
        <w:t>A PBO</w:t>
      </w:r>
      <w:r w:rsidR="002472CD">
        <w:rPr>
          <w:lang w:val="en-US"/>
        </w:rPr>
        <w:t xml:space="preserve"> is not the only approach. The UK OBR is a “fiscal council” whose role is specifically to evaluate the tax and expenditure choices of the government – and importantly to provide independent assessment of forecasts and projections.</w:t>
      </w:r>
    </w:p>
    <w:p w14:paraId="2D999080" w14:textId="468B3D53" w:rsidR="00786EE0" w:rsidRDefault="00786EE0">
      <w:pPr>
        <w:rPr>
          <w:lang w:val="en-US"/>
        </w:rPr>
      </w:pPr>
      <w:r>
        <w:rPr>
          <w:lang w:val="en-US"/>
        </w:rPr>
        <w:lastRenderedPageBreak/>
        <w:t>A broader fiscal council is a much larger undertaking – which makes it a lot more expensive, and a lot more contentious.  Reasonable people can disagree on forecasts given uncertainty – so would this actually improve information, or make it more difficult for government agencies to do their job? If the fiscal council and a government department disagree on a detailed policy assessment, then who do we trust?</w:t>
      </w:r>
    </w:p>
    <w:p w14:paraId="66944BF1" w14:textId="62F3591D" w:rsidR="00786EE0" w:rsidRDefault="00786EE0">
      <w:pPr>
        <w:rPr>
          <w:lang w:val="en-US"/>
        </w:rPr>
      </w:pPr>
      <w:r>
        <w:rPr>
          <w:lang w:val="en-US"/>
        </w:rPr>
        <w:t>Well I think these concerns are overstated, and to be frank having a central bank forecast its own success and say this means that they’ve met their mandate is pretty ridiculous. But I’ll allow people to have these concerns.</w:t>
      </w:r>
    </w:p>
    <w:p w14:paraId="13F10BC6" w14:textId="5A237C0D" w:rsidR="00EB087C" w:rsidRDefault="00EB087C">
      <w:pPr>
        <w:rPr>
          <w:lang w:val="en-US"/>
        </w:rPr>
      </w:pPr>
      <w:r>
        <w:rPr>
          <w:lang w:val="en-US"/>
        </w:rPr>
        <w:t>However, things don’t all have to evolve in one direction. Chile is a good example of this, where their small Autonomous Fiscal Council does not do detailed costings, nor does it argue about the forecast track. Instead it provides a stewardship function that assesses the methodologies applied, and then assesses medium-long term fiscal sustainability – as a result, it provides no information, but is focused on “operational independence” in the methods used.</w:t>
      </w:r>
    </w:p>
    <w:p w14:paraId="09235A18" w14:textId="008C5A01" w:rsidR="00FB64F2" w:rsidRDefault="00FB64F2">
      <w:pPr>
        <w:rPr>
          <w:lang w:val="en-US"/>
        </w:rPr>
      </w:pPr>
      <w:r>
        <w:rPr>
          <w:lang w:val="en-US"/>
        </w:rPr>
        <w:t>This feels like a regulatory impact statement for the Budget as a whole, undertaken by an independent body.</w:t>
      </w:r>
    </w:p>
    <w:p w14:paraId="3F163957" w14:textId="316DA1DF" w:rsidR="00786EE0" w:rsidRDefault="00786EE0">
      <w:pPr>
        <w:rPr>
          <w:lang w:val="en-US"/>
        </w:rPr>
      </w:pPr>
      <w:r>
        <w:rPr>
          <w:lang w:val="en-US"/>
        </w:rPr>
        <w:t>So we can see a PBO as a taster. A New Zealand PBO would help to improve education about the New Zealand Budget, and fiscal pressures that New Zealand faces. It can also help to normalise the way policies are costed prior to an election – and make sure that voters go to the ballot box well informed.</w:t>
      </w:r>
    </w:p>
    <w:p w14:paraId="35A029E8" w14:textId="0F1E7B48" w:rsidR="00786EE0" w:rsidRDefault="00786EE0">
      <w:pPr>
        <w:rPr>
          <w:lang w:val="en-US"/>
        </w:rPr>
      </w:pPr>
      <w:r>
        <w:rPr>
          <w:lang w:val="en-US"/>
        </w:rPr>
        <w:t>Once it has built up trust, it can provide an independent voice that improves public faith in government processes – and prevents any creeping politicisation from taking place among public servants when it comes to providing information.</w:t>
      </w:r>
    </w:p>
    <w:p w14:paraId="14C52B58" w14:textId="685F48D4" w:rsidR="00786EE0" w:rsidRDefault="00786EE0">
      <w:pPr>
        <w:rPr>
          <w:b/>
          <w:bCs/>
          <w:lang w:val="en-US"/>
        </w:rPr>
      </w:pPr>
      <w:r>
        <w:rPr>
          <w:b/>
          <w:bCs/>
          <w:lang w:val="en-US"/>
        </w:rPr>
        <w:t>It costs too much</w:t>
      </w:r>
    </w:p>
    <w:p w14:paraId="205AE85E" w14:textId="2A1E4BA3" w:rsidR="00786EE0" w:rsidRDefault="00786EE0">
      <w:pPr>
        <w:rPr>
          <w:lang w:val="en-US"/>
        </w:rPr>
      </w:pPr>
      <w:r>
        <w:rPr>
          <w:lang w:val="en-US"/>
        </w:rPr>
        <w:t>So far the main counter I keep hearing in New Zealand is that it costs too much.</w:t>
      </w:r>
      <w:r w:rsidR="00444551">
        <w:rPr>
          <w:lang w:val="en-US"/>
        </w:rPr>
        <w:t xml:space="preserve"> So the </w:t>
      </w:r>
      <w:hyperlink r:id="rId7" w:history="1">
        <w:r w:rsidR="00444551" w:rsidRPr="00444551">
          <w:rPr>
            <w:rStyle w:val="Hyperlink"/>
            <w:lang w:val="en-US"/>
          </w:rPr>
          <w:t>Australian PBO is around $10m per year</w:t>
        </w:r>
      </w:hyperlink>
      <w:r w:rsidR="00444551">
        <w:rPr>
          <w:lang w:val="en-US"/>
        </w:rPr>
        <w:t>. If New Zealand starts with a much narrower initial scope, the cost is likely to be a small fraction of that.</w:t>
      </w:r>
      <w:r w:rsidR="00EB087C">
        <w:rPr>
          <w:lang w:val="en-US"/>
        </w:rPr>
        <w:t xml:space="preserve"> A few million dollars to make sure there is credible and accurate assessments of policies, so the public can say what it wants, doesn’t seem too bad.</w:t>
      </w:r>
    </w:p>
    <w:p w14:paraId="67D99059" w14:textId="07F12CFC" w:rsidR="00444551" w:rsidRDefault="00444551">
      <w:pPr>
        <w:rPr>
          <w:lang w:val="en-US"/>
        </w:rPr>
      </w:pPr>
      <w:r>
        <w:rPr>
          <w:lang w:val="en-US"/>
        </w:rPr>
        <w:t xml:space="preserve">But one person who has been critical of these ideas in a thoughtful way has been </w:t>
      </w:r>
      <w:hyperlink r:id="rId8" w:history="1">
        <w:r w:rsidRPr="00444551">
          <w:rPr>
            <w:rStyle w:val="Hyperlink"/>
            <w:lang w:val="en-US"/>
          </w:rPr>
          <w:t>Michael Reddell</w:t>
        </w:r>
      </w:hyperlink>
      <w:r>
        <w:rPr>
          <w:lang w:val="en-US"/>
        </w:rPr>
        <w:t>.</w:t>
      </w:r>
    </w:p>
    <w:p w14:paraId="29CD5B68" w14:textId="186778E1" w:rsidR="00444551" w:rsidRDefault="00444551">
      <w:pPr>
        <w:rPr>
          <w:lang w:val="en-US"/>
        </w:rPr>
      </w:pPr>
      <w:r>
        <w:rPr>
          <w:lang w:val="en-US"/>
        </w:rPr>
        <w:t>His alternative appears to be greater transparency by government departments – putting out code and assumptions in public so they can be assessed. He is also concerned that a PBO functions as a “Treasury light”, simply replicating the Budgetary process of Treasury and imposing it on all costings.</w:t>
      </w:r>
    </w:p>
    <w:p w14:paraId="6AA29B95" w14:textId="77777777" w:rsidR="00670624" w:rsidRDefault="00444551">
      <w:pPr>
        <w:rPr>
          <w:lang w:val="en-US"/>
        </w:rPr>
      </w:pPr>
      <w:r>
        <w:rPr>
          <w:lang w:val="en-US"/>
        </w:rPr>
        <w:t xml:space="preserve">It is useful to think about this. </w:t>
      </w:r>
    </w:p>
    <w:p w14:paraId="778E99C6" w14:textId="33A15C56" w:rsidR="00444551" w:rsidRDefault="00444551">
      <w:pPr>
        <w:rPr>
          <w:lang w:val="en-US"/>
        </w:rPr>
      </w:pPr>
      <w:r>
        <w:rPr>
          <w:lang w:val="en-US"/>
        </w:rPr>
        <w:lastRenderedPageBreak/>
        <w:t xml:space="preserve">I can’t see government departments ever providing details of projections, and if they did </w:t>
      </w:r>
      <w:r w:rsidR="00670624">
        <w:rPr>
          <w:lang w:val="en-US"/>
        </w:rPr>
        <w:t>the public would need to ability to assess and judge these – in a private sector environment where everyone will add their own strange take. Having someone provide an impartial and transparent assessment is still useful here.</w:t>
      </w:r>
    </w:p>
    <w:p w14:paraId="10F00084" w14:textId="31D69A38" w:rsidR="00670624" w:rsidRDefault="00670624">
      <w:pPr>
        <w:rPr>
          <w:lang w:val="en-US"/>
        </w:rPr>
      </w:pPr>
      <w:r>
        <w:rPr>
          <w:lang w:val="en-US"/>
        </w:rPr>
        <w:t>I also don’t see the issue with being Treasury light. At its best, clear and transparent cost-benefit analysis is exactly what should be done – as we can see in Australia the conflict between the PBO and Treasury only occurred when the Treasurer was pushing for a costing on opposition policies in order to embarrass them. The PBO served a role in being objective, and in the absence of them XX</w:t>
      </w:r>
    </w:p>
    <w:p w14:paraId="2FED30FB" w14:textId="38CE26D1" w:rsidR="00DE66E5" w:rsidRDefault="00DE66E5">
      <w:pPr>
        <w:rPr>
          <w:lang w:val="en-US"/>
        </w:rPr>
      </w:pPr>
      <w:r>
        <w:rPr>
          <w:lang w:val="en-US"/>
        </w:rPr>
        <w:t>New Zealand should learn from the issues the Australian PBO is facing. Perhaps there needs to be a “cost” for asking for a costing – to reduce the sheer quantity of costings requested. The appearance of conflict between the PBO and Treasury – whether it is real or not – suggests that a New Zealand institution will need to find a way to balance relationships with government departments and independence. Finally, a New Zealand PBO has to be able to annoy the government – we can’t have another mistake like the decision to politicise and then shut down the Productivity Commission.</w:t>
      </w:r>
    </w:p>
    <w:p w14:paraId="071162EF" w14:textId="2BE1B639" w:rsidR="00FB64F2" w:rsidRDefault="00FB64F2">
      <w:pPr>
        <w:rPr>
          <w:lang w:val="en-US"/>
        </w:rPr>
      </w:pPr>
      <w:r>
        <w:rPr>
          <w:lang w:val="en-US"/>
        </w:rPr>
        <w:t xml:space="preserve">However, Michael does have a good point – if the concern is not the public credibility of the information, but instead the rigour of methods used, such a PBO just puts </w:t>
      </w:r>
      <w:r w:rsidR="00D01FE8">
        <w:rPr>
          <w:lang w:val="en-US"/>
        </w:rPr>
        <w:t>spray tan</w:t>
      </w:r>
      <w:r>
        <w:rPr>
          <w:lang w:val="en-US"/>
        </w:rPr>
        <w:t xml:space="preserve"> on a pig. In this case the Chilean approach would be more valuable. </w:t>
      </w:r>
    </w:p>
    <w:p w14:paraId="2BCA052C" w14:textId="2E590C1B" w:rsidR="00DE66E5" w:rsidRPr="00786EE0" w:rsidRDefault="00A67437">
      <w:pPr>
        <w:rPr>
          <w:lang w:val="en-US"/>
        </w:rPr>
      </w:pPr>
      <w:r>
        <w:rPr>
          <w:lang w:val="en-US"/>
        </w:rPr>
        <w:t>My own view is that NZ government costing methods are useful for understanding policy trade-offs. Hence a</w:t>
      </w:r>
      <w:r w:rsidR="00DE66E5">
        <w:rPr>
          <w:lang w:val="en-US"/>
        </w:rPr>
        <w:t xml:space="preserve"> 7-10 person NZ PBO setup for the 2029 election will be beneficial. I could name the people inside New Zealand who could pull this off right now. </w:t>
      </w:r>
      <w:r w:rsidR="004449B0">
        <w:rPr>
          <w:lang w:val="en-US"/>
        </w:rPr>
        <w:t>Just do it.</w:t>
      </w:r>
    </w:p>
    <w:p w14:paraId="57B233B5" w14:textId="5BE6F3C3" w:rsidR="008575D7" w:rsidRPr="008575D7" w:rsidRDefault="008575D7">
      <w:pPr>
        <w:rPr>
          <w:lang w:val="en-US"/>
        </w:rPr>
      </w:pPr>
      <w:r>
        <w:rPr>
          <w:lang w:val="en-US"/>
        </w:rPr>
        <w:t xml:space="preserve"> </w:t>
      </w:r>
    </w:p>
    <w:sectPr w:rsidR="008575D7" w:rsidRPr="008575D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A42AA"/>
    <w:multiLevelType w:val="hybridMultilevel"/>
    <w:tmpl w:val="8B3AB6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DF523CC"/>
    <w:multiLevelType w:val="hybridMultilevel"/>
    <w:tmpl w:val="003681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81399665">
    <w:abstractNumId w:val="1"/>
  </w:num>
  <w:num w:numId="2" w16cid:durableId="138860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5D7"/>
    <w:rsid w:val="000D6D9E"/>
    <w:rsid w:val="00145A75"/>
    <w:rsid w:val="002472CD"/>
    <w:rsid w:val="00420032"/>
    <w:rsid w:val="00444551"/>
    <w:rsid w:val="004449B0"/>
    <w:rsid w:val="00670624"/>
    <w:rsid w:val="006F2BE8"/>
    <w:rsid w:val="0076611E"/>
    <w:rsid w:val="00786EE0"/>
    <w:rsid w:val="007A7871"/>
    <w:rsid w:val="008575D7"/>
    <w:rsid w:val="008B1492"/>
    <w:rsid w:val="00A67437"/>
    <w:rsid w:val="00B97B20"/>
    <w:rsid w:val="00BD0FB1"/>
    <w:rsid w:val="00BE6E55"/>
    <w:rsid w:val="00D01FE8"/>
    <w:rsid w:val="00DE66E5"/>
    <w:rsid w:val="00EB087C"/>
    <w:rsid w:val="00FB64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D0074"/>
  <w15:chartTrackingRefBased/>
  <w15:docId w15:val="{09310BB3-B69A-44E7-A065-DD16FB842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5D7"/>
    <w:rPr>
      <w:rFonts w:eastAsiaTheme="majorEastAsia" w:cstheme="majorBidi"/>
      <w:color w:val="272727" w:themeColor="text1" w:themeTint="D8"/>
    </w:rPr>
  </w:style>
  <w:style w:type="paragraph" w:styleId="Title">
    <w:name w:val="Title"/>
    <w:basedOn w:val="Normal"/>
    <w:next w:val="Normal"/>
    <w:link w:val="TitleChar"/>
    <w:uiPriority w:val="10"/>
    <w:qFormat/>
    <w:rsid w:val="00857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5D7"/>
    <w:pPr>
      <w:spacing w:before="160"/>
      <w:jc w:val="center"/>
    </w:pPr>
    <w:rPr>
      <w:i/>
      <w:iCs/>
      <w:color w:val="404040" w:themeColor="text1" w:themeTint="BF"/>
    </w:rPr>
  </w:style>
  <w:style w:type="character" w:customStyle="1" w:styleId="QuoteChar">
    <w:name w:val="Quote Char"/>
    <w:basedOn w:val="DefaultParagraphFont"/>
    <w:link w:val="Quote"/>
    <w:uiPriority w:val="29"/>
    <w:rsid w:val="008575D7"/>
    <w:rPr>
      <w:i/>
      <w:iCs/>
      <w:color w:val="404040" w:themeColor="text1" w:themeTint="BF"/>
    </w:rPr>
  </w:style>
  <w:style w:type="paragraph" w:styleId="ListParagraph">
    <w:name w:val="List Paragraph"/>
    <w:basedOn w:val="Normal"/>
    <w:uiPriority w:val="34"/>
    <w:qFormat/>
    <w:rsid w:val="008575D7"/>
    <w:pPr>
      <w:ind w:left="720"/>
      <w:contextualSpacing/>
    </w:pPr>
  </w:style>
  <w:style w:type="character" w:styleId="IntenseEmphasis">
    <w:name w:val="Intense Emphasis"/>
    <w:basedOn w:val="DefaultParagraphFont"/>
    <w:uiPriority w:val="21"/>
    <w:qFormat/>
    <w:rsid w:val="008575D7"/>
    <w:rPr>
      <w:i/>
      <w:iCs/>
      <w:color w:val="0F4761" w:themeColor="accent1" w:themeShade="BF"/>
    </w:rPr>
  </w:style>
  <w:style w:type="paragraph" w:styleId="IntenseQuote">
    <w:name w:val="Intense Quote"/>
    <w:basedOn w:val="Normal"/>
    <w:next w:val="Normal"/>
    <w:link w:val="IntenseQuoteChar"/>
    <w:uiPriority w:val="30"/>
    <w:qFormat/>
    <w:rsid w:val="00857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5D7"/>
    <w:rPr>
      <w:i/>
      <w:iCs/>
      <w:color w:val="0F4761" w:themeColor="accent1" w:themeShade="BF"/>
    </w:rPr>
  </w:style>
  <w:style w:type="character" w:styleId="IntenseReference">
    <w:name w:val="Intense Reference"/>
    <w:basedOn w:val="DefaultParagraphFont"/>
    <w:uiPriority w:val="32"/>
    <w:qFormat/>
    <w:rsid w:val="008575D7"/>
    <w:rPr>
      <w:b/>
      <w:bCs/>
      <w:smallCaps/>
      <w:color w:val="0F4761" w:themeColor="accent1" w:themeShade="BF"/>
      <w:spacing w:val="5"/>
    </w:rPr>
  </w:style>
  <w:style w:type="character" w:styleId="Hyperlink">
    <w:name w:val="Hyperlink"/>
    <w:basedOn w:val="DefaultParagraphFont"/>
    <w:uiPriority w:val="99"/>
    <w:unhideWhenUsed/>
    <w:rsid w:val="00444551"/>
    <w:rPr>
      <w:color w:val="467886" w:themeColor="hyperlink"/>
      <w:u w:val="single"/>
    </w:rPr>
  </w:style>
  <w:style w:type="character" w:styleId="UnresolvedMention">
    <w:name w:val="Unresolved Mention"/>
    <w:basedOn w:val="DefaultParagraphFont"/>
    <w:uiPriority w:val="99"/>
    <w:semiHidden/>
    <w:unhideWhenUsed/>
    <w:rsid w:val="00444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akingcassandra.com/2019/09/24/policy-costings-office-a-perspective-from-australia/" TargetMode="External"/><Relationship Id="rId3" Type="http://schemas.openxmlformats.org/officeDocument/2006/relationships/settings" Target="settings.xml"/><Relationship Id="rId7" Type="http://schemas.openxmlformats.org/officeDocument/2006/relationships/hyperlink" Target="https://www.transparency.gov.au/publications/parliamentary-departments-not-a-portfolio/parliamentary-budget-office/parliamentary-budget-office-annual-report-2023-24/part-4%3A-financial-statements/financial-state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onomics.infometrics.co.nz/article/2009-02-the-technocrats-tax" TargetMode="External"/><Relationship Id="rId5" Type="http://schemas.openxmlformats.org/officeDocument/2006/relationships/hyperlink" Target="https://www.stuff.co.nz/national/politics/115141390/government-to-set-up-parliamentary-budget-office-an-independent-watchdog-to-cost-election-polic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1464</Words>
  <Characters>8346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Nolan</dc:creator>
  <cp:keywords/>
  <dc:description/>
  <cp:lastModifiedBy>Matt Nolan</cp:lastModifiedBy>
  <cp:revision>10</cp:revision>
  <dcterms:created xsi:type="dcterms:W3CDTF">2026-08-24T00:05:00Z</dcterms:created>
  <dcterms:modified xsi:type="dcterms:W3CDTF">2026-08-24T02:50:00Z</dcterms:modified>
</cp:coreProperties>
</file>