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FCA6E" w14:textId="66BC6F4B" w:rsidR="008A597D" w:rsidRDefault="008A597D">
      <w:pPr>
        <w:rPr>
          <w:b/>
          <w:bCs/>
          <w:lang w:val="en-US"/>
        </w:rPr>
      </w:pPr>
      <w:r>
        <w:rPr>
          <w:b/>
          <w:bCs/>
          <w:lang w:val="en-US"/>
        </w:rPr>
        <w:t>Paper summary and comments</w:t>
      </w:r>
    </w:p>
    <w:p w14:paraId="14E0FCF7" w14:textId="68038846" w:rsidR="004A5284" w:rsidRDefault="004A5284">
      <w:pPr>
        <w:rPr>
          <w:b/>
          <w:bCs/>
          <w:lang w:val="en-US"/>
        </w:rPr>
      </w:pPr>
      <w:r>
        <w:rPr>
          <w:b/>
          <w:bCs/>
          <w:lang w:val="en-US"/>
        </w:rPr>
        <w:t>Goal is to understand the wage and employment effects of a wage subsidy</w:t>
      </w:r>
    </w:p>
    <w:p w14:paraId="212DB722" w14:textId="3573BECF" w:rsidR="004A5284" w:rsidRDefault="004A5284" w:rsidP="004A52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subsidy is of the nature of an EITC or in-work tax credit – so a </w:t>
      </w:r>
      <w:r>
        <w:rPr>
          <w:i/>
          <w:iCs/>
          <w:lang w:val="en-US"/>
        </w:rPr>
        <w:t>permanent</w:t>
      </w:r>
      <w:r>
        <w:rPr>
          <w:lang w:val="en-US"/>
        </w:rPr>
        <w:t xml:space="preserve"> reduction in the tax rate over some range of income for eligible individuals.</w:t>
      </w:r>
    </w:p>
    <w:p w14:paraId="269B2C35" w14:textId="575AD363" w:rsidR="004A5284" w:rsidRDefault="004A5284" w:rsidP="004A52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Eligibility itself is a function of household characteristics including earnings.</w:t>
      </w:r>
    </w:p>
    <w:p w14:paraId="20F4B264" w14:textId="33232521" w:rsidR="004A5284" w:rsidRDefault="004A5284" w:rsidP="004A52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way the wage subsidy discussed here mirrors discussion about adjusting the tax scale</w:t>
      </w:r>
      <w:r w:rsidR="00FD2744">
        <w:rPr>
          <w:lang w:val="en-US"/>
        </w:rPr>
        <w:t xml:space="preserve"> (including potentially negative taxes)</w:t>
      </w:r>
      <w:r>
        <w:rPr>
          <w:lang w:val="en-US"/>
        </w:rPr>
        <w:t xml:space="preserve"> to represent household – rather than individual – needs.</w:t>
      </w:r>
    </w:p>
    <w:p w14:paraId="138E92CD" w14:textId="50A7C164" w:rsidR="004A5284" w:rsidRDefault="004A5284" w:rsidP="004A52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2015 program replaced two other tax credits – one with near universal take-up where the payment was a year late but automatic and one with low take-up. The take-up of the new credit was moderately high (73%).</w:t>
      </w:r>
    </w:p>
    <w:p w14:paraId="2BF7AAC6" w14:textId="08664EB5" w:rsidR="004A5284" w:rsidRDefault="004A5284" w:rsidP="004A52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reform was unanticipated.</w:t>
      </w:r>
    </w:p>
    <w:p w14:paraId="33C5AE3C" w14:textId="29CCF0D1" w:rsidR="004A5284" w:rsidRDefault="00FD2744" w:rsidP="004A52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Page 9: Description of the policy.</w:t>
      </w:r>
    </w:p>
    <w:p w14:paraId="3499C371" w14:textId="432996C5" w:rsidR="00FD2744" w:rsidRDefault="00FD2744" w:rsidP="00FD2744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increases METR across most of the earnings distribution – but lowers the participation tax rate across that length.</w:t>
      </w:r>
    </w:p>
    <w:p w14:paraId="1F2D575E" w14:textId="2A2C4DC0" w:rsidR="00FD2744" w:rsidRDefault="00FD2744" w:rsidP="00FD27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Labour force participation in France already relatively high.</w:t>
      </w:r>
    </w:p>
    <w:p w14:paraId="67533A81" w14:textId="2BCEADEC" w:rsidR="00FD2744" w:rsidRDefault="00FD2744" w:rsidP="00FD2744">
      <w:pPr>
        <w:rPr>
          <w:b/>
          <w:bCs/>
          <w:lang w:val="en-US"/>
        </w:rPr>
      </w:pPr>
      <w:r>
        <w:rPr>
          <w:b/>
          <w:bCs/>
          <w:lang w:val="en-US"/>
        </w:rPr>
        <w:t>Model</w:t>
      </w:r>
    </w:p>
    <w:p w14:paraId="2F1DC81D" w14:textId="64CBA31F" w:rsidR="00FD2744" w:rsidRDefault="00FD2744" w:rsidP="00FD27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Perfectly competitive labour market – this assumption implies that we would expect a wage subsidy to shift us down the labour demand curve.</w:t>
      </w:r>
    </w:p>
    <w:p w14:paraId="2111672D" w14:textId="19A93E7E" w:rsidR="00FD2744" w:rsidRDefault="00FD2744" w:rsidP="00FD2744">
      <w:pPr>
        <w:pStyle w:val="ListParagraph"/>
        <w:numPr>
          <w:ilvl w:val="1"/>
          <w:numId w:val="2"/>
        </w:numPr>
        <w:rPr>
          <w:lang w:val="en-US"/>
        </w:rPr>
      </w:pPr>
      <w:r w:rsidRPr="00FD2744">
        <w:rPr>
          <w:lang w:val="en-US"/>
        </w:rPr>
        <w:t>CES production function, labour only input</w:t>
      </w:r>
      <w:r>
        <w:rPr>
          <w:lang w:val="en-US"/>
        </w:rPr>
        <w:t xml:space="preserve"> but labour inputs aggregated across local labour markets – with the elasticity of substitution reflecting that.</w:t>
      </w:r>
    </w:p>
    <w:p w14:paraId="035D5502" w14:textId="1213798F" w:rsidR="00FD2744" w:rsidRDefault="00FD2744" w:rsidP="00FD27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Also discuss the idea of heterogeneous treatment effects and say it doesn’t matter if the instrument assignment is exogenous.</w:t>
      </w:r>
    </w:p>
    <w:p w14:paraId="73C7A2D8" w14:textId="15E735D1" w:rsidR="001177F1" w:rsidRDefault="001177F1" w:rsidP="00FD27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Also state that this is invariant to discrete occupation choice models of labour markets.</w:t>
      </w:r>
    </w:p>
    <w:p w14:paraId="750871FD" w14:textId="701D1FC3" w:rsidR="001177F1" w:rsidRDefault="001177F1" w:rsidP="00117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discussion of imperfect competition in labour markets. However, such imperfect competition would automatically change the incidence.</w:t>
      </w:r>
    </w:p>
    <w:p w14:paraId="6573458D" w14:textId="7411E41A" w:rsidR="001177F1" w:rsidRDefault="001177F1" w:rsidP="00117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Also ignored income effects, which is fair enough.</w:t>
      </w:r>
    </w:p>
    <w:p w14:paraId="6567A9E5" w14:textId="77777777" w:rsidR="001177F1" w:rsidRDefault="001177F1" w:rsidP="001177F1">
      <w:pPr>
        <w:rPr>
          <w:lang w:val="en-US"/>
        </w:rPr>
      </w:pPr>
    </w:p>
    <w:p w14:paraId="400D0D95" w14:textId="6C4657C1" w:rsidR="001177F1" w:rsidRDefault="001177F1" w:rsidP="001177F1">
      <w:pPr>
        <w:rPr>
          <w:b/>
          <w:bCs/>
          <w:lang w:val="en-US"/>
        </w:rPr>
      </w:pPr>
      <w:r>
        <w:rPr>
          <w:b/>
          <w:bCs/>
          <w:lang w:val="en-US"/>
        </w:rPr>
        <w:t>Identification</w:t>
      </w:r>
    </w:p>
    <w:p w14:paraId="086A32DF" w14:textId="152FFDE9" w:rsidR="001177F1" w:rsidRDefault="001177F1" w:rsidP="001177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Three conditions:</w:t>
      </w:r>
    </w:p>
    <w:p w14:paraId="6173747B" w14:textId="2E235378" w:rsidR="001177F1" w:rsidRDefault="001177F1" w:rsidP="001177F1">
      <w:pPr>
        <w:pStyle w:val="ListParagraph"/>
        <w:numPr>
          <w:ilvl w:val="1"/>
          <w:numId w:val="3"/>
        </w:numPr>
        <w:rPr>
          <w:lang w:val="en-US"/>
        </w:rPr>
      </w:pPr>
      <w:r w:rsidRPr="001177F1">
        <w:rPr>
          <w:b/>
          <w:bCs/>
          <w:lang w:val="en-US"/>
        </w:rPr>
        <w:t>Substitutability</w:t>
      </w:r>
      <w:r>
        <w:rPr>
          <w:lang w:val="en-US"/>
        </w:rPr>
        <w:t xml:space="preserve"> (i.e. there is an interaction between the wage rates paid for eligible and ineligible individuals</w:t>
      </w:r>
      <w:r w:rsidR="00881F7B">
        <w:rPr>
          <w:lang w:val="en-US"/>
        </w:rPr>
        <w:t xml:space="preserve"> that makes the labour types substitutable</w:t>
      </w:r>
      <w:r>
        <w:rPr>
          <w:lang w:val="en-US"/>
        </w:rPr>
        <w:t>):</w:t>
      </w:r>
    </w:p>
    <w:p w14:paraId="238E7FD4" w14:textId="5C0FB177" w:rsidR="001177F1" w:rsidRDefault="001177F1" w:rsidP="001177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bCs/>
          <w:lang w:val="en-US"/>
        </w:rPr>
        <w:t>Local labour markets are distinct</w:t>
      </w:r>
      <w:r>
        <w:rPr>
          <w:lang w:val="en-US"/>
        </w:rPr>
        <w:t xml:space="preserve"> (i.e. limited mobility between labour markets):</w:t>
      </w:r>
    </w:p>
    <w:p w14:paraId="73500C20" w14:textId="65A04F94" w:rsidR="001177F1" w:rsidRDefault="001177F1" w:rsidP="001177F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bCs/>
          <w:lang w:val="en-US"/>
        </w:rPr>
        <w:lastRenderedPageBreak/>
        <w:t>Quasi-random assignment of exposure to changes in tax rates</w:t>
      </w:r>
      <w:r>
        <w:rPr>
          <w:lang w:val="en-US"/>
        </w:rPr>
        <w:t>:</w:t>
      </w:r>
    </w:p>
    <w:p w14:paraId="40607ABF" w14:textId="06F5AA26" w:rsidR="001177F1" w:rsidRDefault="001177F1" w:rsidP="001177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Here it is a national level policy, with differences in exposure due to local labour market characteristics – so leverage variation in exposure to estimate the causal effect of the policy.</w:t>
      </w:r>
    </w:p>
    <w:p w14:paraId="562052BA" w14:textId="0266D085" w:rsidR="001177F1" w:rsidRDefault="001177F1" w:rsidP="001177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Due to incomplete take-up this is an ITT (due to take-up below 1 this is a lower bound for the LATE).</w:t>
      </w:r>
    </w:p>
    <w:p w14:paraId="67B27679" w14:textId="4D4062E2" w:rsidR="001177F1" w:rsidRDefault="0033292E" w:rsidP="001177F1">
      <w:pPr>
        <w:rPr>
          <w:b/>
          <w:bCs/>
          <w:lang w:val="en-US"/>
        </w:rPr>
      </w:pPr>
      <w:r>
        <w:rPr>
          <w:b/>
          <w:bCs/>
          <w:lang w:val="en-US"/>
        </w:rPr>
        <w:t>Data</w:t>
      </w:r>
    </w:p>
    <w:p w14:paraId="3959CF4A" w14:textId="124173DB" w:rsidR="0033292E" w:rsidRDefault="0033292E" w:rsidP="0033292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French PLIDA equivalent (full</w:t>
      </w:r>
      <w:r w:rsidR="005A22E2">
        <w:rPr>
          <w:lang w:val="en-US"/>
        </w:rPr>
        <w:t xml:space="preserve"> tax records and household information, but no firm identifier) – 4% random sample</w:t>
      </w:r>
      <w:r w:rsidR="00956BBD">
        <w:rPr>
          <w:lang w:val="en-US"/>
        </w:rPr>
        <w:t xml:space="preserve"> (is this a randomly sampled </w:t>
      </w:r>
      <w:proofErr w:type="gramStart"/>
      <w:r w:rsidR="00956BBD">
        <w:rPr>
          <w:lang w:val="en-US"/>
        </w:rPr>
        <w:t>panel, or</w:t>
      </w:r>
      <w:proofErr w:type="gramEnd"/>
      <w:r w:rsidR="00956BBD">
        <w:rPr>
          <w:lang w:val="en-US"/>
        </w:rPr>
        <w:t xml:space="preserve"> randomly sampled in the cross section – as th</w:t>
      </w:r>
      <w:r w:rsidR="00CF5D4A">
        <w:rPr>
          <w:lang w:val="en-US"/>
        </w:rPr>
        <w:t>e later</w:t>
      </w:r>
      <w:r w:rsidR="00956BBD">
        <w:rPr>
          <w:lang w:val="en-US"/>
        </w:rPr>
        <w:t xml:space="preserve"> would generate substantial </w:t>
      </w:r>
      <w:r w:rsidR="00CF5D4A">
        <w:rPr>
          <w:lang w:val="en-US"/>
        </w:rPr>
        <w:t>attrition</w:t>
      </w:r>
      <w:r w:rsidR="00956BBD">
        <w:rPr>
          <w:lang w:val="en-US"/>
        </w:rPr>
        <w:t>)</w:t>
      </w:r>
      <w:r w:rsidR="005A22E2">
        <w:rPr>
          <w:lang w:val="en-US"/>
        </w:rPr>
        <w:t>.</w:t>
      </w:r>
    </w:p>
    <w:p w14:paraId="52EACB34" w14:textId="6A4BCAE0" w:rsidR="005A22E2" w:rsidRDefault="00DC74F0" w:rsidP="0033292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Appears to be an unbalanced panel (</w:t>
      </w:r>
      <w:r w:rsidR="00B42AA3">
        <w:rPr>
          <w:lang w:val="en-US"/>
        </w:rPr>
        <w:t>individuals aged 25-55 between 2011 and 2018) – good to get clarity on this.</w:t>
      </w:r>
    </w:p>
    <w:p w14:paraId="0647F523" w14:textId="02465863" w:rsidR="00C73D78" w:rsidRDefault="00C73D78" w:rsidP="0033292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Higher income earners are excluded – one concern is spillovers on these groups.</w:t>
      </w:r>
    </w:p>
    <w:p w14:paraId="67306E92" w14:textId="6BA5EE57" w:rsidR="00C4113B" w:rsidRDefault="00C4113B" w:rsidP="0033292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Equivalisation</w:t>
      </w:r>
      <w:proofErr w:type="spellEnd"/>
      <w:r>
        <w:rPr>
          <w:lang w:val="en-US"/>
        </w:rPr>
        <w:t xml:space="preserve"> – appears to be full household income when single, and half when in a couple. Why </w:t>
      </w:r>
      <w:r w:rsidR="00CD085B">
        <w:rPr>
          <w:lang w:val="en-US"/>
        </w:rPr>
        <w:t>are we equivalizing, and given we are why not use a standard scale?</w:t>
      </w:r>
    </w:p>
    <w:p w14:paraId="71EE95AB" w14:textId="4C29E2D8" w:rsidR="00D80A4C" w:rsidRDefault="00342CE0" w:rsidP="0033292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Imputation of wage rates for those out of work to discuss PTRs (discussed in Section D.4)</w:t>
      </w:r>
    </w:p>
    <w:p w14:paraId="52BFE4F4" w14:textId="5AE5D374" w:rsidR="00504975" w:rsidRDefault="00504975" w:rsidP="00504975">
      <w:pPr>
        <w:rPr>
          <w:b/>
          <w:bCs/>
          <w:lang w:val="en-US"/>
        </w:rPr>
      </w:pPr>
      <w:r>
        <w:rPr>
          <w:b/>
          <w:bCs/>
          <w:lang w:val="en-US"/>
        </w:rPr>
        <w:t>Shock</w:t>
      </w:r>
      <w:r w:rsidR="00761C7B">
        <w:rPr>
          <w:b/>
          <w:bCs/>
          <w:lang w:val="en-US"/>
        </w:rPr>
        <w:t xml:space="preserve"> and exposure</w:t>
      </w:r>
    </w:p>
    <w:p w14:paraId="0043A631" w14:textId="136A92C5" w:rsidR="00504975" w:rsidRDefault="00761C7B" w:rsidP="0050497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Shock: </w:t>
      </w:r>
      <w:r w:rsidR="004E228E">
        <w:rPr>
          <w:lang w:val="en-US"/>
        </w:rPr>
        <w:t xml:space="preserve">Calculate how the policy changes </w:t>
      </w:r>
      <w:r w:rsidR="00316F63">
        <w:rPr>
          <w:lang w:val="en-US"/>
        </w:rPr>
        <w:t xml:space="preserve">marginal and average tax rates if their </w:t>
      </w:r>
      <w:proofErr w:type="spellStart"/>
      <w:r w:rsidR="00316F63">
        <w:rPr>
          <w:lang w:val="en-US"/>
        </w:rPr>
        <w:t>behaviour</w:t>
      </w:r>
      <w:proofErr w:type="spellEnd"/>
      <w:r w:rsidR="00316F63">
        <w:rPr>
          <w:lang w:val="en-US"/>
        </w:rPr>
        <w:t xml:space="preserve"> and characteristics were fixed at their period t level.</w:t>
      </w:r>
    </w:p>
    <w:p w14:paraId="5E16C7B0" w14:textId="6EC59067" w:rsidR="005A6A4E" w:rsidRDefault="005A6A4E" w:rsidP="005A6A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 sensitivity here is to estimate the shock as the application of the old tax system under the new parameters also.</w:t>
      </w:r>
    </w:p>
    <w:p w14:paraId="6F50204D" w14:textId="59DF02D2" w:rsidR="005A6A4E" w:rsidRDefault="00946B7B" w:rsidP="005A6A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Exposure: Shocks are aggregated up to the socio-demographic level</w:t>
      </w:r>
      <w:r w:rsidR="00A401B5">
        <w:rPr>
          <w:lang w:val="en-US"/>
        </w:rPr>
        <w:t xml:space="preserve"> (based on the individuals share of total hours in that group</w:t>
      </w:r>
      <w:proofErr w:type="gramStart"/>
      <w:r w:rsidR="00A401B5">
        <w:rPr>
          <w:lang w:val="en-US"/>
        </w:rPr>
        <w:t>)</w:t>
      </w:r>
      <w:r>
        <w:rPr>
          <w:lang w:val="en-US"/>
        </w:rPr>
        <w:t>, and</w:t>
      </w:r>
      <w:proofErr w:type="gramEnd"/>
      <w:r>
        <w:rPr>
          <w:lang w:val="en-US"/>
        </w:rPr>
        <w:t xml:space="preserve"> then aggregated up to a local labour market level based on </w:t>
      </w:r>
      <w:r w:rsidR="008C2EAE">
        <w:rPr>
          <w:lang w:val="en-US"/>
        </w:rPr>
        <w:t>the share of hours worked by each socio-demographic group in that labour market.</w:t>
      </w:r>
    </w:p>
    <w:p w14:paraId="74887DD6" w14:textId="2EE129C5" w:rsidR="00992870" w:rsidRDefault="00992870" w:rsidP="00992870">
      <w:pPr>
        <w:pStyle w:val="ListParagraph"/>
        <w:numPr>
          <w:ilvl w:val="1"/>
          <w:numId w:val="5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instrument is an hour weighted </w:t>
      </w:r>
      <w:r w:rsidR="00373ABD">
        <w:rPr>
          <w:lang w:val="en-US"/>
        </w:rPr>
        <w:t>change in ETRs</w:t>
      </w:r>
      <w:r w:rsidR="002A7DCB">
        <w:rPr>
          <w:lang w:val="en-US"/>
        </w:rPr>
        <w:t xml:space="preserve"> – I understand how this is exogenous, but I am not sure I understand the logic of the measure in terms of the intensity of the shock.</w:t>
      </w:r>
    </w:p>
    <w:p w14:paraId="781E3C4A" w14:textId="5DA75017" w:rsidR="00B458E7" w:rsidRDefault="00B458E7" w:rsidP="00B458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 are told that </w:t>
      </w:r>
      <w:r w:rsidR="0050602A">
        <w:rPr>
          <w:lang w:val="en-US"/>
        </w:rPr>
        <w:t>our exposure measure has 470 observations (it will be 90 something regions over 5 periods).</w:t>
      </w:r>
    </w:p>
    <w:p w14:paraId="1503C428" w14:textId="5230A2B9" w:rsidR="004322A6" w:rsidRDefault="00E612CB" w:rsidP="004322A6">
      <w:pPr>
        <w:rPr>
          <w:b/>
          <w:bCs/>
          <w:lang w:val="en-US"/>
        </w:rPr>
      </w:pPr>
      <w:r>
        <w:rPr>
          <w:b/>
          <w:bCs/>
          <w:lang w:val="en-US"/>
        </w:rPr>
        <w:t>Regression approach and controls</w:t>
      </w:r>
    </w:p>
    <w:p w14:paraId="4DBA67C5" w14:textId="46C1F97A" w:rsidR="00E612CB" w:rsidRDefault="00E612CB" w:rsidP="00E612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All seems reasonable. </w:t>
      </w:r>
      <w:r w:rsidR="00D7129D">
        <w:rPr>
          <w:lang w:val="en-US"/>
        </w:rPr>
        <w:t xml:space="preserve">Some tests to show the degree exogeneity would need to fail would be useful in theory – but the simulated instrument is clearly </w:t>
      </w:r>
      <w:proofErr w:type="gramStart"/>
      <w:r w:rsidR="00D7129D">
        <w:rPr>
          <w:lang w:val="en-US"/>
        </w:rPr>
        <w:t>exogenous</w:t>
      </w:r>
      <w:proofErr w:type="gramEnd"/>
      <w:r w:rsidR="00D7129D">
        <w:rPr>
          <w:lang w:val="en-US"/>
        </w:rPr>
        <w:t xml:space="preserve"> so it is unnecessary. </w:t>
      </w:r>
      <w:proofErr w:type="gramStart"/>
      <w:r w:rsidR="00D7129D">
        <w:rPr>
          <w:lang w:val="en-US"/>
        </w:rPr>
        <w:t>Instead</w:t>
      </w:r>
      <w:proofErr w:type="gramEnd"/>
      <w:r w:rsidR="00D7129D">
        <w:rPr>
          <w:lang w:val="en-US"/>
        </w:rPr>
        <w:t xml:space="preserve"> alternative weights for the instrument would be valuable.</w:t>
      </w:r>
    </w:p>
    <w:p w14:paraId="20367590" w14:textId="00AA86F4" w:rsidR="00D7129D" w:rsidRDefault="00D7129D" w:rsidP="00E612C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The controls try to deal with alternative growth trends between regions</w:t>
      </w:r>
      <w:r w:rsidR="00303CE7">
        <w:rPr>
          <w:lang w:val="en-US"/>
        </w:rPr>
        <w:t xml:space="preserve">, however is the time series long enough for these controls to make sense? Check the robustness </w:t>
      </w:r>
      <w:proofErr w:type="gramStart"/>
      <w:r w:rsidR="00303CE7">
        <w:rPr>
          <w:lang w:val="en-US"/>
        </w:rPr>
        <w:t>on</w:t>
      </w:r>
      <w:proofErr w:type="gramEnd"/>
      <w:r w:rsidR="00303CE7">
        <w:rPr>
          <w:lang w:val="en-US"/>
        </w:rPr>
        <w:t xml:space="preserve"> this in appendix.</w:t>
      </w:r>
    </w:p>
    <w:p w14:paraId="315EB4E2" w14:textId="40C64526" w:rsidR="00303CE7" w:rsidRDefault="00303CE7" w:rsidP="00303CE7">
      <w:pPr>
        <w:rPr>
          <w:b/>
          <w:bCs/>
          <w:lang w:val="en-US"/>
        </w:rPr>
      </w:pPr>
      <w:r>
        <w:rPr>
          <w:b/>
          <w:bCs/>
          <w:lang w:val="en-US"/>
        </w:rPr>
        <w:t>Identification</w:t>
      </w:r>
    </w:p>
    <w:p w14:paraId="68917E14" w14:textId="13E1083B" w:rsidR="00303CE7" w:rsidRDefault="00A14C24" w:rsidP="00303CE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Local labour markets are distinct – they show that </w:t>
      </w:r>
      <w:r w:rsidR="00424CED">
        <w:rPr>
          <w:lang w:val="en-US"/>
        </w:rPr>
        <w:t>there is limited mobility over three years. However, the key mobility of interest is among those that are treated</w:t>
      </w:r>
      <w:r w:rsidR="006A5852">
        <w:rPr>
          <w:lang w:val="en-US"/>
        </w:rPr>
        <w:t>.</w:t>
      </w:r>
    </w:p>
    <w:p w14:paraId="5E54E0F1" w14:textId="1BDBF3FA" w:rsidR="006A5852" w:rsidRDefault="006A5852" w:rsidP="00303CE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Socio-economic groups are substitutable</w:t>
      </w:r>
      <w:r w:rsidR="00483D9D">
        <w:rPr>
          <w:lang w:val="en-US"/>
        </w:rPr>
        <w:t xml:space="preserve"> in the labour market rather than complementary</w:t>
      </w:r>
      <w:r w:rsidR="00881F7B">
        <w:rPr>
          <w:lang w:val="en-US"/>
        </w:rPr>
        <w:t xml:space="preserve"> </w:t>
      </w:r>
      <w:r w:rsidR="00034AB1">
        <w:rPr>
          <w:lang w:val="en-US"/>
        </w:rPr>
        <w:t>–</w:t>
      </w:r>
      <w:r w:rsidR="00881F7B">
        <w:rPr>
          <w:lang w:val="en-US"/>
        </w:rPr>
        <w:t xml:space="preserve"> </w:t>
      </w:r>
      <w:r w:rsidR="00034AB1">
        <w:rPr>
          <w:lang w:val="en-US"/>
        </w:rPr>
        <w:t>highlights literature saying new hires and existing workers tend to be imperfect substitutes rather than complements in a firm.</w:t>
      </w:r>
      <w:r w:rsidR="00660ACF">
        <w:rPr>
          <w:lang w:val="en-US"/>
        </w:rPr>
        <w:t xml:space="preserve"> (largely an argument that there is significant variation between occupations in socio-economic groups</w:t>
      </w:r>
      <w:r w:rsidR="00391FE8">
        <w:rPr>
          <w:lang w:val="en-US"/>
        </w:rPr>
        <w:t>).</w:t>
      </w:r>
    </w:p>
    <w:p w14:paraId="7FB72A7B" w14:textId="5CFABDA6" w:rsidR="00391FE8" w:rsidRDefault="00391FE8" w:rsidP="00303CE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Conditional quasi-random assignment – wage subsidy choices we</w:t>
      </w:r>
      <w:r w:rsidR="00CF735D">
        <w:rPr>
          <w:lang w:val="en-US"/>
        </w:rPr>
        <w:t xml:space="preserve">re not set </w:t>
      </w:r>
      <w:proofErr w:type="gramStart"/>
      <w:r w:rsidR="00CF735D">
        <w:rPr>
          <w:lang w:val="en-US"/>
        </w:rPr>
        <w:t>on the basis of</w:t>
      </w:r>
      <w:proofErr w:type="gramEnd"/>
      <w:r w:rsidR="00CF735D">
        <w:rPr>
          <w:lang w:val="en-US"/>
        </w:rPr>
        <w:t xml:space="preserve"> a change in labour market trends. </w:t>
      </w:r>
      <w:r w:rsidR="00991BE4">
        <w:rPr>
          <w:lang w:val="en-US"/>
        </w:rPr>
        <w:t xml:space="preserve"> They say this is not plausible, but if the policy change was driven by political pressure from </w:t>
      </w:r>
      <w:proofErr w:type="gramStart"/>
      <w:r w:rsidR="00991BE4">
        <w:rPr>
          <w:lang w:val="en-US"/>
        </w:rPr>
        <w:t>jurisdictions</w:t>
      </w:r>
      <w:proofErr w:type="gramEnd"/>
      <w:r w:rsidR="00991BE4">
        <w:rPr>
          <w:lang w:val="en-US"/>
        </w:rPr>
        <w:t xml:space="preserve"> I am not sure.</w:t>
      </w:r>
    </w:p>
    <w:p w14:paraId="342BE435" w14:textId="14BDBE9D" w:rsidR="00991BE4" w:rsidRDefault="00585EF4" w:rsidP="00991BE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They also show that past outcome trends don’t explain treatment, which is compelling.</w:t>
      </w:r>
    </w:p>
    <w:p w14:paraId="7B44CF4E" w14:textId="7662928F" w:rsidR="00585EF4" w:rsidRDefault="003B4C24" w:rsidP="00585EF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Many uncorrelated shock clusters – </w:t>
      </w:r>
      <w:proofErr w:type="gramStart"/>
      <w:r w:rsidR="00AA6FB6">
        <w:rPr>
          <w:lang w:val="en-US"/>
        </w:rPr>
        <w:t>have to</w:t>
      </w:r>
      <w:proofErr w:type="gramEnd"/>
      <w:r w:rsidR="00AA6FB6">
        <w:rPr>
          <w:lang w:val="en-US"/>
        </w:rPr>
        <w:t xml:space="preserve"> read up on this one.</w:t>
      </w:r>
    </w:p>
    <w:p w14:paraId="396DA979" w14:textId="3CC67249" w:rsidR="00AA6FB6" w:rsidRDefault="00AA6FB6" w:rsidP="00585EF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Relevance – </w:t>
      </w:r>
      <w:r w:rsidR="00C30D66">
        <w:rPr>
          <w:lang w:val="en-US"/>
        </w:rPr>
        <w:t>first stage is relevant.</w:t>
      </w:r>
    </w:p>
    <w:p w14:paraId="512C357F" w14:textId="4EDEB760" w:rsidR="004220A0" w:rsidRDefault="004220A0" w:rsidP="004220A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relevance looks stronger for the net of PTR</w:t>
      </w:r>
      <w:r w:rsidR="001E71ED">
        <w:rPr>
          <w:lang w:val="en-US"/>
        </w:rPr>
        <w:t>, rather than the MTR measures – this is intuitive given the hours weighting, which makes me think differential weighting may make sense for the MTR stuff.</w:t>
      </w:r>
    </w:p>
    <w:p w14:paraId="42A61FBE" w14:textId="0BA85C51" w:rsidR="00C30D66" w:rsidRDefault="003B7CAC" w:rsidP="003B7CAC">
      <w:pPr>
        <w:rPr>
          <w:b/>
          <w:bCs/>
          <w:lang w:val="en-US"/>
        </w:rPr>
      </w:pPr>
      <w:r>
        <w:rPr>
          <w:b/>
          <w:bCs/>
          <w:lang w:val="en-US"/>
        </w:rPr>
        <w:t>Results</w:t>
      </w:r>
    </w:p>
    <w:p w14:paraId="3C686ED2" w14:textId="0276BD02" w:rsidR="003B7CAC" w:rsidRDefault="00D82300" w:rsidP="003B7CA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Only </w:t>
      </w:r>
      <w:r w:rsidR="00B63F7C">
        <w:rPr>
          <w:lang w:val="en-US"/>
        </w:rPr>
        <w:t>PTR is significant – a 10%</w:t>
      </w:r>
      <w:r w:rsidR="006B5070">
        <w:rPr>
          <w:lang w:val="en-US"/>
        </w:rPr>
        <w:t xml:space="preserve"> increase in 1-PTR leads to a 2.7% increase in hours worked, and a 3.1% decrease in wages.</w:t>
      </w:r>
      <w:r w:rsidR="000243DF">
        <w:rPr>
          <w:lang w:val="en-US"/>
        </w:rPr>
        <w:t xml:space="preserve"> </w:t>
      </w:r>
      <w:r w:rsidR="00B834A5">
        <w:rPr>
          <w:lang w:val="en-US"/>
        </w:rPr>
        <w:t>Implied pass-through to wages of 31% (</w:t>
      </w:r>
      <w:r w:rsidR="00E8575C">
        <w:rPr>
          <w:lang w:val="en-US"/>
        </w:rPr>
        <w:t xml:space="preserve">gross wage declines by 3.1%, but the change in net wage at the initial wage </w:t>
      </w:r>
      <w:r w:rsidR="003A4C55">
        <w:rPr>
          <w:lang w:val="en-US"/>
        </w:rPr>
        <w:t>was 10%)</w:t>
      </w:r>
      <w:r w:rsidR="00B834A5">
        <w:rPr>
          <w:lang w:val="en-US"/>
        </w:rPr>
        <w:t>.</w:t>
      </w:r>
    </w:p>
    <w:p w14:paraId="7A7F6B51" w14:textId="257B4103" w:rsidR="003A4C55" w:rsidRPr="003B7CAC" w:rsidRDefault="003A4C55" w:rsidP="003B7CA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At this stage I have no idea why the small model is at the top, as it doesn’t define anything here.</w:t>
      </w:r>
    </w:p>
    <w:sectPr w:rsidR="003A4C55" w:rsidRPr="003B7C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51214"/>
    <w:multiLevelType w:val="hybridMultilevel"/>
    <w:tmpl w:val="5A54A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365B8"/>
    <w:multiLevelType w:val="hybridMultilevel"/>
    <w:tmpl w:val="137AB6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006F1"/>
    <w:multiLevelType w:val="hybridMultilevel"/>
    <w:tmpl w:val="E0F242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A7594"/>
    <w:multiLevelType w:val="hybridMultilevel"/>
    <w:tmpl w:val="243C61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40B7E"/>
    <w:multiLevelType w:val="hybridMultilevel"/>
    <w:tmpl w:val="0DE207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E1B0D"/>
    <w:multiLevelType w:val="hybridMultilevel"/>
    <w:tmpl w:val="E8BC1A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510C2"/>
    <w:multiLevelType w:val="hybridMultilevel"/>
    <w:tmpl w:val="257A3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07FD0"/>
    <w:multiLevelType w:val="hybridMultilevel"/>
    <w:tmpl w:val="48E85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878346">
    <w:abstractNumId w:val="5"/>
  </w:num>
  <w:num w:numId="2" w16cid:durableId="1904557977">
    <w:abstractNumId w:val="7"/>
  </w:num>
  <w:num w:numId="3" w16cid:durableId="176579793">
    <w:abstractNumId w:val="6"/>
  </w:num>
  <w:num w:numId="4" w16cid:durableId="1079063689">
    <w:abstractNumId w:val="2"/>
  </w:num>
  <w:num w:numId="5" w16cid:durableId="1662545204">
    <w:abstractNumId w:val="3"/>
  </w:num>
  <w:num w:numId="6" w16cid:durableId="849635756">
    <w:abstractNumId w:val="1"/>
  </w:num>
  <w:num w:numId="7" w16cid:durableId="879242995">
    <w:abstractNumId w:val="4"/>
  </w:num>
  <w:num w:numId="8" w16cid:durableId="5192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84"/>
    <w:rsid w:val="000243DF"/>
    <w:rsid w:val="00034AB1"/>
    <w:rsid w:val="001177F1"/>
    <w:rsid w:val="001E71ED"/>
    <w:rsid w:val="002A7DCB"/>
    <w:rsid w:val="00303CE7"/>
    <w:rsid w:val="00316F63"/>
    <w:rsid w:val="0033292E"/>
    <w:rsid w:val="00342CE0"/>
    <w:rsid w:val="00373ABD"/>
    <w:rsid w:val="00391FE8"/>
    <w:rsid w:val="003A4C55"/>
    <w:rsid w:val="003A51BC"/>
    <w:rsid w:val="003B4C24"/>
    <w:rsid w:val="003B7CAC"/>
    <w:rsid w:val="004220A0"/>
    <w:rsid w:val="00424CED"/>
    <w:rsid w:val="004322A6"/>
    <w:rsid w:val="00483D9D"/>
    <w:rsid w:val="004A5284"/>
    <w:rsid w:val="004E228E"/>
    <w:rsid w:val="00504975"/>
    <w:rsid w:val="0050602A"/>
    <w:rsid w:val="00585EF4"/>
    <w:rsid w:val="005A22E2"/>
    <w:rsid w:val="005A6A4E"/>
    <w:rsid w:val="00660ACF"/>
    <w:rsid w:val="006A5852"/>
    <w:rsid w:val="006B5070"/>
    <w:rsid w:val="00761C7B"/>
    <w:rsid w:val="00881F7B"/>
    <w:rsid w:val="008A597D"/>
    <w:rsid w:val="008C2EAE"/>
    <w:rsid w:val="00946B7B"/>
    <w:rsid w:val="00956BBD"/>
    <w:rsid w:val="00991BE4"/>
    <w:rsid w:val="00992870"/>
    <w:rsid w:val="00A14C24"/>
    <w:rsid w:val="00A401B5"/>
    <w:rsid w:val="00AA6FB6"/>
    <w:rsid w:val="00B42AA3"/>
    <w:rsid w:val="00B458E7"/>
    <w:rsid w:val="00B63F7C"/>
    <w:rsid w:val="00B834A5"/>
    <w:rsid w:val="00C30D66"/>
    <w:rsid w:val="00C4113B"/>
    <w:rsid w:val="00C73D78"/>
    <w:rsid w:val="00C879C9"/>
    <w:rsid w:val="00CD085B"/>
    <w:rsid w:val="00CF5D4A"/>
    <w:rsid w:val="00CF735D"/>
    <w:rsid w:val="00D7129D"/>
    <w:rsid w:val="00D80A4C"/>
    <w:rsid w:val="00D82300"/>
    <w:rsid w:val="00DC74F0"/>
    <w:rsid w:val="00E612CB"/>
    <w:rsid w:val="00E8575C"/>
    <w:rsid w:val="00F668D7"/>
    <w:rsid w:val="00FD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A9FF"/>
  <w15:chartTrackingRefBased/>
  <w15:docId w15:val="{5515A744-E70E-40DF-B1FB-1CC7362A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DAB0909AB5174FAEBE19E461266472" ma:contentTypeVersion="15" ma:contentTypeDescription="Create a new document." ma:contentTypeScope="" ma:versionID="4f7cfe515863b779fcd670dc32d96ffb">
  <xsd:schema xmlns:xsd="http://www.w3.org/2001/XMLSchema" xmlns:xs="http://www.w3.org/2001/XMLSchema" xmlns:p="http://schemas.microsoft.com/office/2006/metadata/properties" xmlns:ns2="6537bf98-34db-49d5-ba4f-022f8266197a" xmlns:ns3="42240a79-70da-4621-b354-cd9fedb53484" targetNamespace="http://schemas.microsoft.com/office/2006/metadata/properties" ma:root="true" ma:fieldsID="8a7ee76ad9e988478e14bdd0b26e55b1" ns2:_="" ns3:_="">
    <xsd:import namespace="6537bf98-34db-49d5-ba4f-022f8266197a"/>
    <xsd:import namespace="42240a79-70da-4621-b354-cd9fedb534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7bf98-34db-49d5-ba4f-022f82661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bce0e04-9c7f-4626-8cb4-29f8b9ace2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40a79-70da-4621-b354-cd9fedb534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3234db0-396b-4763-9bff-88aa1877eec6}" ma:internalName="TaxCatchAll" ma:showField="CatchAllData" ma:web="42240a79-70da-4621-b354-cd9fedb534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240a79-70da-4621-b354-cd9fedb53484"/>
    <lcf76f155ced4ddcb4097134ff3c332f xmlns="6537bf98-34db-49d5-ba4f-022f826619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F5B0EB-E47E-47E7-BBF1-28BD8AA44C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7bf98-34db-49d5-ba4f-022f8266197a"/>
    <ds:schemaRef ds:uri="42240a79-70da-4621-b354-cd9fedb534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6537AD-14A8-4F25-A852-86A0A2A3F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3C3394-7DC6-49F4-9F63-A466DF7EE20E}">
  <ds:schemaRefs>
    <ds:schemaRef ds:uri="http://schemas.microsoft.com/office/2006/documentManagement/types"/>
    <ds:schemaRef ds:uri="http://purl.org/dc/terms/"/>
    <ds:schemaRef ds:uri="http://purl.org/dc/dcmitype/"/>
    <ds:schemaRef ds:uri="42240a79-70da-4621-b354-cd9fedb53484"/>
    <ds:schemaRef ds:uri="6537bf98-34db-49d5-ba4f-022f8266197a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Nolan</dc:creator>
  <cp:keywords/>
  <dc:description/>
  <cp:lastModifiedBy>Matt Nolan</cp:lastModifiedBy>
  <cp:revision>2</cp:revision>
  <dcterms:created xsi:type="dcterms:W3CDTF">2025-07-28T01:53:00Z</dcterms:created>
  <dcterms:modified xsi:type="dcterms:W3CDTF">2025-07-28T01:53:00Z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0x010100FCDAB0909AB5174FAEBE19E461266472</vt:lpwstr>
  </property>
  <property fmtid="{D5CDD505-2E9C-101B-9397-08002B2CF9AE}" pid="3" name="MediaServiceImageTags">
    <vt:lpwstr/>
  </property>
</Properties>
</file>