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Government spending projection model assessment</w:t>
      </w:r>
    </w:p>
    <w:p>
      <w:pPr>
        <w:pStyle w:val="centered"/>
      </w:pPr>
      <w:r>
        <w:t xml:space="preserve">Preferred top-down model and a development path for the bottom-up framework</w:t>
      </w:r>
    </w:p>
    <w:p>
      <w:pPr>
        <w:pStyle w:val="Normal"/>
      </w:pPr>
      <w:r>
        <w:t xml:space="preserve">Prepared 23 August 2026</w:t>
      </w:r>
    </w:p>
    <w:p>
      <w:pPr>
        <w:pStyle w:val="Normal"/>
      </w:pPr>
      <w:r>
        <w:t xml:space="preserve">Australian general-government spending; financial years are labelled by their June-ending year.</w:t>
      </w:r>
    </w:p>
    <w:p>
      <w:pPr>
        <w:pStyle w:val="Titre1"/>
      </w:pPr>
      <w:r>
        <w:t xml:space="preserve">Executive conclusion</w:t>
      </w:r>
    </w:p>
    <w:p>
      <w:pPr>
        <w:pStyle w:val="Normal"/>
      </w:pPr>
      <w:r>
        <w:t xml:space="preserve">- Use the published consolidated PBO forecast during the official forecast period.</w:t>
      </w:r>
    </w:p>
    <w:p>
      <w:pPr>
        <w:pStyle w:val="Normal"/>
      </w:pPr>
      <w:r>
        <w:t xml:space="preserve">- Use the bottom-up purpose model as the central long-run fiscal-sustainability framework, but treat its current calibrated category paths as scenarios rather than estimated forecasts.</w:t>
      </w:r>
    </w:p>
    <w:p>
      <w:pPr>
        <w:pStyle w:val="Normal"/>
      </w:pPr>
      <w:r>
        <w:t xml:space="preserve">- Use the dynamic-difference model as the preferred driver-based top-down cross-check. It has the best five-year rolling performance among models with economic or demographic drivers and the lowest tested endpoint sensitivity to the estimation window.</w:t>
      </w:r>
    </w:p>
    <w:p>
      <w:pPr>
        <w:pStyle w:val="Normal"/>
      </w:pPr>
      <w:r>
        <w:t xml:space="preserve">- Use the ARIMA with COVID controls as the near-term statistical benchmark only. Its forecast errors are smallest, but it cannot respond to ageing, relative prices, policy or service demand.</w:t>
      </w:r>
    </w:p>
    <w:p>
      <w:pPr>
        <w:pStyle w:val="Normal"/>
      </w:pPr>
      <w:r>
        <w:t xml:space="preserve">- Do not select the current ECM as the preferred top-down model. Its finite-sample bounds tests do not support the fitted long-run relationship.</w:t>
      </w:r>
    </w:p>
    <w:p>
      <w:pPr>
        <w:pStyle w:val="Normal"/>
      </w:pPr>
      <w:r>
        <w:t xml:space="preserve">- Defence should remain exogenous. Health, education and much of social spending should be rebuilt as service-specific exposure-volume-price models, with historical estimation of residual intensity where sufficient data exist.</w:t>
      </w:r>
    </w:p>
    <w:p>
      <w:pPr>
        <w:pStyle w:val="Titre1"/>
      </w:pPr>
      <w:r>
        <w:t xml:space="preserve">1. Preferred top-down model</w:t>
      </w:r>
    </w:p>
    <w:p>
      <w:pPr>
        <w:pStyle w:val="Normal"/>
      </w:pPr>
      <w:r>
        <w:t xml:space="preserve">No one equation is best for every use. The ARIMA with COVID controls has the lowest rolling RMSE, but it is deliberately driver-free outside the pandemic interventions. For long-horizon policy assessment, the preferred top-down equation is therefore the dynamic-difference specification: it retains demographic, relative-price, unemployment and terms-of-trade dynamics with separate FY2020-22 indicators, without imposing an unsupported long-run cointegrating relationship. It should be interpreted as a cross-check around the central bottom-up projection, not as a forty-year point forecast.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89"/>
        <w:gridCol w:w="1196"/>
        <w:gridCol w:w="1196"/>
        <w:gridCol w:w="1182"/>
        <w:gridCol w:w="1675"/>
        <w:gridCol w:w="1867"/>
      </w:tblGrid>
      <w:tr>
        <w:trPr>
          <w:trHeight w:val="32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1-year rolling RMSE (pp)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5-year rolling RMSE (pp)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Official-period MAE (pp)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Maximum endpoint window shift (pp)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8"/>
                <w:szCs w:val="8"/>
                <w:color w:val="000000"/>
              </w:rPr>
              <w:t xml:space="preserve">Role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Dynamic differences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Preferred driver-based top-down cross-check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ARIMA with COVID controls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Preferred near-term statistical benchmark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ARIMAX (differences)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Difference-model robustness check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ARIMAX (levels)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Levels/dynamics robustness check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Structural OLS (levels)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Transparent attribution benchmark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Hybrid structural/macro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Structural/macro robustness check</w:t>
            </w:r>
          </w:p>
        </w:tc>
      </w:tr>
      <w:tr>
        <w:trPr>
          <w:trHeight w:val="31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ARDL error-correction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2.16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7.36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11.65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8"/>
                <w:szCs w:val="8"/>
                <w:color w:val="000000"/>
              </w:rPr>
              <w:t xml:space="preserve">Experimental sensitivity only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852160" cy="3657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Rolling pseudo-out-of-sample RMSE by horizon.</w:t>
      </w:r>
    </w:p>
    <w:p>
      <w:pPr>
        <w:pStyle w:val="Normal"/>
      </w:pPr>
      <w:r>
        <w:t xml:space="preserve">The dynamic-difference model's rolling RMSE is 1.71 percentage points at one year and 5.00 percentage points at five years. Its maximum long-run endpoint shift across the tested estimation windows is 2.50 percentage points. Difference-model innovation uncertainty nevertheless accumulates over long horizons, so scenario and model spread remain essential.</w:t>
      </w:r>
    </w:p>
    <w:p>
      <w:pPr>
        <w:pStyle w:val="Titre1"/>
      </w:pPr>
      <w:r>
        <w:t xml:space="preserve">2. Why the ECM is not preferred</w:t>
      </w:r>
    </w:p>
    <w:p>
      <w:pPr>
        <w:pStyle w:val="Normal"/>
      </w:pPr>
      <w:r>
        <w:t xml:space="preserve">A negative error-correction coefficient is not by itself evidence of cointegration. The model must establish an admissible integration order and a statistically supported lagged-level relationship, while also passing residual, functional-form and stability checks.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01"/>
        <w:gridCol w:w="4216"/>
        <w:gridCol w:w="1921"/>
      </w:tblGrid>
      <w:tr>
        <w:trPr>
          <w:trHeight w:val="3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Criterion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Result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Assessment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 I(2) variables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 I(2) warning(s); 1 additional inconclusive first-difference assessment(s)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Concern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Projection ECM bounds F-test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 = 0.983; 5% bounds [3.193, 4.485]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 level relationship supported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Projection ECM bounds t-test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 = -1.706; 5% bounds [-2.884, -4.066]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 level relationship supported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Canonical ARDL bounds robustness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 level relationship supported; Inconclusive between I(0) and I(1) bounds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Inconclusive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Residual serial correlation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Breusch-Godfrey p = 0.4878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Pass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Functional form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RESET p = 0.4279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Pass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Parameter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Recursive CUSUM p = 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Pass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Dynamic 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Maximum root modulus = 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Pass</w:t>
            </w:r>
          </w:p>
        </w:tc>
      </w:tr>
      <w:tr>
        <w:trPr>
          <w:trHeight w:val="3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Long-run regressor collinearity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Maximum VIF = 19.7; condition number =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Concern</w:t>
            </w:r>
          </w:p>
        </w:tc>
      </w:tr>
      <w:tr>
        <w:trPr>
          <w:trHeight w:val="35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Overall ECM suitability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Current ECM is not supported as the preferred projection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Do not select as primary model</w:t>
            </w:r>
          </w:p>
        </w:tc>
      </w:tr>
    </w:tbl>
    <w:p>
      <w:pPr>
        <w:pStyle w:val="Normal"/>
      </w:pPr>
      <w:r>
        <w:t xml:space="preserve">The fitted ECM is dynamically stable and does not fail the recursive CUSUM test. However, both fitted-equation bounds statistics fall in the region that does not support a level relationship; the canonical ARDL robustness test is inconclusive; residual serial correlation and RESET tests reject at 5 per cent; and the long-run age-share regressors are highly collinear. The ECM should remain in the output set as an experimental sensitivity, not as the principal projection model.</w:t>
      </w:r>
    </w:p>
    <w:p>
      <w:pPr/>
      <w:r>
        <w:br w:type="page"/>
      </w:r>
    </w:p>
    <w:p>
      <w:pPr>
        <w:pStyle w:val="Titre1"/>
      </w:pPr>
      <w:r>
        <w:t xml:space="preserve">3. What the bottom-up model currently does</w:t>
      </w:r>
    </w:p>
    <w:p>
      <w:pPr>
        <w:pStyle w:val="Normal"/>
      </w:pPr>
      <w:r>
        <w:t xml:space="preserve">The current bottom-up model begins with each COFOG-A purpose category's 2024-25 ABS GFS expense level. General public services is reduced by interest, because interest is projected separately. The stored GFS purpose panel covers 2015-16 to 2024-25 (10 annual observations), but those historical observations are not used to estimate category equations: only the latest level is used as the starting point.</w:t>
      </w:r>
    </w:p>
    <w:p>
      <w:pPr>
        <w:pStyle w:val="Normal"/>
      </w:pPr>
      <w:r>
        <w:t xml:space="preserve">For every category other than defence, nominal spending evolves mechanically as:</w:t>
      </w:r>
    </w:p>
    <w:p>
      <w:pPr>
        <w:pStyle w:val="Normal"/>
      </w:pPr>
      <w:r>
        <w:t xml:space="preserve">Spending[c,t] = Spending[c,t-1] * exposure growth[c,t] * unit-cost growth[c,t].</w:t>
      </w:r>
    </w:p>
    <w:p>
      <w:pPr>
        <w:pStyle w:val="Normal"/>
      </w:pPr>
      <w:r>
        <w:t xml:space="preserve">Exposure is either total population or a fixed weighted combination of age groups. Unit-cost growth equals inflation plus an economy-wide productivity proxy plus a calibrated category excess-cost assumption. Defence instead transitions to a scenario share of GDP. The category total is scaled to the official primary-expense forecast through 2029-30, after which the final common scale factor is held fixed and category growth determines the path.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3"/>
        <w:gridCol w:w="1734"/>
        <w:gridCol w:w="3586"/>
        <w:gridCol w:w="1318"/>
      </w:tblGrid>
      <w:tr>
        <w:trPr>
          <w:trHeight w:val="34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2024-25 calibrated share of 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Current projection treatment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Historically estimated?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Defence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1.8%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Exogenous linear transition to a scenario target share of GDP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Economic affairs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5.3%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Fixed age weights; economy-wide unit-cost growth; 0.25%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Environmental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NA%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General public services excl interest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2.3%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7.4%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Fixed age weights; economy-wide unit-cost growth; 0.75%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Housing and community amenities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0.5%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Public order and safety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0.25%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Recreation, culture and 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0.7%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NA%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Fixed age weights; economy-wide unit-cost growth; 0.25% central excess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  <w:tr>
        <w:trPr>
          <w:trHeight w:val="33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Transport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1.7%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Total population; economy-wide unit-cost growth; no central excess cost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No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85216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Contribution of purpose categories to the change in central bottom-up spending.</w:t>
      </w:r>
    </w:p>
    <w:p>
      <w:pPr>
        <w:pStyle w:val="Normal"/>
      </w:pPr>
      <w:r>
        <w:t xml:space="preserve">Under these assumptions, central primary spending reaches 39.4% of GDP in 2065-66. This is a conditional scenario result. It is not presently the output of category-level time-series estimation.</w:t>
      </w:r>
    </w:p>
    <w:p>
      <w:pPr>
        <w:pStyle w:val="Titre1"/>
      </w:pPr>
      <w:r>
        <w:t xml:space="preserve">4. What should be exogenous and what should be estimated</w:t>
      </w:r>
    </w:p>
    <w:p>
      <w:pPr>
        <w:pStyle w:val="Normal"/>
      </w:pPr>
      <w:r>
        <w:t xml:space="preserve">The appropriate split depends on whether spending is mainly governed by explicit policy, service demand, statutory eligibility, input costs or a lumpy capital program. A single time-series treatment across all purposes would be less defensible than a modular approach.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84"/>
        <w:gridCol w:w="3308"/>
        <w:gridCol w:w="3703"/>
      </w:tblGrid>
      <w:tr>
        <w:trPr>
          <w:trHeight w:val="34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recommended_treatment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EAF7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0"/>
                <w:szCs w:val="10"/>
                <w:color w:val="000000"/>
              </w:rPr>
              <w:t xml:space="preserve">principal_drivers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Defence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Exogenous policy scenario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Published policy commitments and target share of GDP; scenario timing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Estimated demographic-volume-price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Age/service utilisation, population, health input prices, non-demographic intensity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Enrolment-volume-price model with policy overlays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School-age population, enrolments/EFTSL, participation, education labour costs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Social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Program/rules-based model split by payment or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Eligibility, recipient counts, legislated indexation, unemployment and ageing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General public 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Parsimonious population/activity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Population, public-administration wages and government consumption prices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Public order and safety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Workload-volume-price model where data permit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Population, police/corrections/court workloads and public-sector wages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Transport and economic affairs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Exogenous project pipeline plus mean-reverting recurrent component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Committed capital plans, maintenance, population and construction/input prices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Housing and environmental protection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Scenario/program model; avoid forcing smooth demographic elasticities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Housing caseloads, environmental programs, grants and explicit policy scenarios</w:t>
            </w:r>
          </w:p>
        </w:tc>
      </w:tr>
      <w:tr>
        <w:trPr>
          <w:trHeight w:val="3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Recreation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Simple population-volume-price model or stable share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Population and relevant public-sector/service prices</w:t>
            </w:r>
          </w:p>
        </w:tc>
      </w:tr>
      <w:tr>
        <w:trPr>
          <w:trHeight w:val="33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Endogenous debt recursion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0"/>
                <w:szCs w:val="10"/>
                <w:color w:val="000000"/>
              </w:rPr>
              <w:t xml:space="preserve">Opening debt, nominal GDP growth and effective interest rate</w:t>
            </w:r>
          </w:p>
        </w:tc>
      </w:tr>
    </w:tbl>
    <w:p>
      <w:pPr>
        <w:pStyle w:val="Normal"/>
      </w:pPr>
      <w:r>
        <w:t xml:space="preserve">Defence is correctly handled as an exogenous policy path. Transport, housing, environmental and economic-affairs spending also contain large discretionary or project-based components, so published capital programs and explicit scenarios should dominate rather than a smooth demographic regression. Health, education and service components of social protection are the strongest candidates for empirical exposure-volume-price models. Cash transfers should instead follow recipient counts, eligibility rules and legislated indexation.</w:t>
      </w:r>
    </w:p>
    <w:p>
      <w:pPr>
        <w:pStyle w:val="Titre1"/>
      </w:pPr>
      <w:r>
        <w:t xml:space="preserve">5. Recommended category model architecture</w:t>
      </w:r>
    </w:p>
    <w:p>
      <w:pPr>
        <w:pStyle w:val="Normal"/>
      </w:pPr>
      <w:r>
        <w:t xml:space="preserve">For a service category c, decompose nominal spending into exposure, service intensity and input prices:</w:t>
      </w:r>
    </w:p>
    <w:p>
      <w:pPr>
        <w:pStyle w:val="Normal"/>
      </w:pPr>
      <w:r>
        <w:t xml:space="preserve">Spending[c,t] = Exposure[c,t] * Service intensity[c,t] * Input price[c,t].</w:t>
      </w:r>
    </w:p>
    <w:p>
      <w:pPr>
        <w:pStyle w:val="Normal"/>
      </w:pPr>
      <w:r>
        <w:t xml:space="preserve">Estimate historical non-demographic intensity only after removing observed exposure and price growth:</w:t>
      </w:r>
    </w:p>
    <w:p>
      <w:pPr>
        <w:pStyle w:val="Normal"/>
      </w:pPr>
      <w:r>
        <w:t xml:space="preserve">Residual intensity growth[c,t] = change in log(Spending[c,t] / Input price[c,t]) - change in log(Exposure[c,t]).</w:t>
      </w:r>
    </w:p>
    <w:p>
      <w:pPr>
        <w:pStyle w:val="Normal"/>
      </w:pPr>
      <w:r>
        <w:t xml:space="preserve">A parsimonious time-series equation can then model residual intensity growth using an intercept or damped trend, one autoregressive term, relevant policy or labour-market variables, and intervention dummies for COVID or classification breaks. Forecasts reconstruct spending from projected exposure, projected sector prices and the estimated residual-intensity path. This makes the role of demographics and prices explicit and prevents their effects from being hidden in an arbitrary excess-cost parameter.</w:t>
      </w:r>
    </w:p>
    <w:p>
      <w:pPr>
        <w:pStyle w:val="Titre1"/>
      </w:pPr>
      <w:r>
        <w:t xml:space="preserve">6. Health example</w:t>
      </w:r>
    </w:p>
    <w:p>
      <w:pPr>
        <w:pStyle w:val="Normal"/>
      </w:pPr>
      <w:r>
        <w:t xml:space="preserve">1. Split health where possible into hospitals, primary/community care, pharmaceuticals and other health. Their utilisation and price drivers differ.</w:t>
      </w:r>
    </w:p>
    <w:p>
      <w:pPr>
        <w:pStyle w:val="Normal"/>
      </w:pPr>
      <w:r>
        <w:t xml:space="preserve">2. Construct exposure from projected population by age multiplied by observed age-specific utilisation or expenditure weights. Replace the current fixed illustrative weights with weights estimated from AIHW, Medicare/PBS or Report on Government Services data.</w:t>
      </w:r>
    </w:p>
    <w:p>
      <w:pPr>
        <w:pStyle w:val="Normal"/>
      </w:pPr>
      <w:r>
        <w:t xml:space="preserve">3. Construct a health input-price index. Prefer the AIHW health price index and a transparent labour/non-labour blend using the Health Care and Social Assistance Wage Price Index. Use CPI health only as a sensitivity because it principally measures consumer-facing prices, not the full cost of government production.</w:t>
      </w:r>
    </w:p>
    <w:p>
      <w:pPr>
        <w:pStyle w:val="Normal"/>
      </w:pPr>
      <w:r>
        <w:t xml:space="preserve">4. Deflate nominal health spending, divide by the needs-weighted population, and estimate the residual non-demographic intensity trend. Use shrinkage or a simple damped trend because structural changes and a short sample make large ARDL systems unreliable.</w:t>
      </w:r>
    </w:p>
    <w:p>
      <w:pPr>
        <w:pStyle w:val="Normal"/>
      </w:pPr>
      <w:r>
        <w:t xml:space="preserve">5. Project exposure and input prices separately, then apply central, high and low residual-intensity assumptions informed by the estimation interval and policy judgement.</w:t>
      </w:r>
    </w:p>
    <w:p>
      <w:pPr>
        <w:pStyle w:val="Titre1"/>
      </w:pPr>
      <w:r>
        <w:t xml:space="preserve">7. Education and social protection</w:t>
      </w:r>
    </w:p>
    <w:p>
      <w:pPr>
        <w:pStyle w:val="Normal"/>
      </w:pPr>
      <w:r>
        <w:t xml:space="preserve">Education should use actual or projected enrolments rather than age shares alone. School enrolments, vocational students and higher-education equivalent full-time student load should be projected separately, with participation-rate scenarios. Labour costs can use Education and Training WPI, supplemented by the government-consumption deflator. Funding reforms, indexation rules and capped grants should enter as explicit policy overlays.</w:t>
      </w:r>
    </w:p>
    <w:p>
      <w:pPr>
        <w:pStyle w:val="Normal"/>
      </w:pPr>
      <w:r>
        <w:t xml:space="preserve">Social protection should be disaggregated before modelling. Age pension, unemployment payments, family payments, disability/NDIS, aged-care services and other transfers have different eligibility populations and indexation rules. Recipient counts and legislated CPI/wage indexation are generally more defensible than a single age-weighted time series. A residual take-up or cost-per-recipient equation can be estimated within each sufficiently long program series.</w:t>
      </w:r>
    </w:p>
    <w:p>
      <w:pPr>
        <w:pStyle w:val="Titre1"/>
      </w:pPr>
      <w:r>
        <w:t xml:space="preserve">8. Data limitation and estimation strategy</w:t>
      </w:r>
    </w:p>
    <w:p>
      <w:pPr>
        <w:pStyle w:val="Normal"/>
      </w:pPr>
      <w:r>
        <w:t xml:space="preserve">The immediate constraint is that the current consistent GFS purpose file contains only 10 annual observations. That is too short for separate multi-regressor time-series models across eleven categories. The ABS archive provides older releases, but classification and accounting changes must be reconciled before joining them. Service-specific sources often provide longer or richer panels and should be preferred for health, education, justice and community services.</w:t>
      </w:r>
    </w:p>
    <w:p>
      <w:pPr>
        <w:pStyle w:val="Normal"/>
      </w:pPr>
      <w:r>
        <w:t xml:space="preserve">- Start with identities and transparent policy rules; estimate only the residual component that is not already explained mechanically.</w:t>
      </w:r>
    </w:p>
    <w:p>
      <w:pPr>
        <w:pStyle w:val="Normal"/>
      </w:pPr>
      <w:r>
        <w:t xml:space="preserve">- Use one or two regressors and at most one autoregressive term per category unless a materially longer series is assembled.</w:t>
      </w:r>
    </w:p>
    <w:p>
      <w:pPr>
        <w:pStyle w:val="Normal"/>
      </w:pPr>
      <w:r>
        <w:t xml:space="preserve">- Where category histories remain short, use pooled or hierarchical estimation across related services, or calibrate the central residual trend and report wide scenarios rather than presenting unstable coefficients as evidence.</w:t>
      </w:r>
    </w:p>
    <w:p>
      <w:pPr>
        <w:pStyle w:val="Normal"/>
      </w:pPr>
      <w:r>
        <w:t xml:space="preserve">- Use rolling-origin tests, pre-COVID estimation, classification-break dummies and leave-one-period-out sensitivity for every estimated category.</w:t>
      </w:r>
    </w:p>
    <w:p>
      <w:pPr>
        <w:pStyle w:val="Normal"/>
      </w:pPr>
      <w:r>
        <w:t xml:space="preserve">- Keep the official forecast anchor, but preserve unscaled category-only paths so that model error is visible rather than absorbed by the common scale factor.</w:t>
      </w:r>
    </w:p>
    <w:p>
      <w:pPr>
        <w:pStyle w:val="Titre1"/>
      </w:pPr>
      <w:r>
        <w:t xml:space="preserve">9. Practical implementation sequence</w:t>
      </w:r>
    </w:p>
    <w:p>
      <w:pPr>
        <w:pStyle w:val="Normal"/>
      </w:pPr>
      <w:r>
        <w:t xml:space="preserve">1. Create a category-driver registry specifying whether each category is policy-driven, volume-driven, price-driven or mixed, together with its official data source and refresh date.</w:t>
      </w:r>
    </w:p>
    <w:p>
      <w:pPr>
        <w:pStyle w:val="Normal"/>
      </w:pPr>
      <w:r>
        <w:t xml:space="preserve">2. Extend and reconcile historical purpose spending using archived GFS releases; record every classification bridge and retain break flags.</w:t>
      </w:r>
    </w:p>
    <w:p>
      <w:pPr>
        <w:pStyle w:val="Normal"/>
      </w:pPr>
      <w:r>
        <w:t xml:space="preserve">3. Build annual public input-price series: government consumption deflator, public-sector WPI, health/education industry WPI and the AIHW health price index. Do not substitute household CPI subgroups without documenting the conceptual mismatch.</w:t>
      </w:r>
    </w:p>
    <w:p>
      <w:pPr>
        <w:pStyle w:val="Normal"/>
      </w:pPr>
      <w:r>
        <w:t xml:space="preserve">4. Build observed service-volume series: health utilisation, enrolments/EFTSL, aged-care places, NDIS participants, payment recipients and justice workloads.</w:t>
      </w:r>
    </w:p>
    <w:p>
      <w:pPr>
        <w:pStyle w:val="Normal"/>
      </w:pPr>
      <w:r>
        <w:t xml:space="preserve">5. Estimate parsimonious residual-intensity equations and compare them with a no-residual-growth benchmark, damped historical trend and explicit high/low scenarios.</w:t>
      </w:r>
    </w:p>
    <w:p>
      <w:pPr>
        <w:pStyle w:val="Normal"/>
      </w:pPr>
      <w:r>
        <w:t xml:space="preserve">6. Replace the current fixed excess-cost parameter only where an estimated and validated residual-intensity model is credible. Retain calibrated scenarios elsewhere.</w:t>
      </w:r>
    </w:p>
    <w:p>
      <w:pPr>
        <w:pStyle w:val="Normal"/>
      </w:pPr>
      <w:r>
        <w:t xml:space="preserve">7. Aggregate categories, anchor to the official forecast, rerun debt arithmetic and publish contribution, sensitivity and rolling-validation tables.</w:t>
      </w:r>
    </w:p>
    <w:p>
      <w:pPr>
        <w:pStyle w:val="Titre1"/>
      </w:pPr>
      <w:r>
        <w:t xml:space="preserve">10. Public data sources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1. </w:t>
      </w:r>
      <w:hyperlink r:id="rId7">
        <w:r>
          <w:t xml:space="preserve">ABS Government Finance Statistics, Annual</w:t>
        </w:r>
      </w:hyperlink>
      <w:r>
        <w:t xml:space="preserve"> - COFOG-A spending levels, economic-type expenses and historical vintages.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2. </w:t>
      </w:r>
      <w:hyperlink r:id="rId8">
        <w:r>
          <w:t xml:space="preserve">ABS Government Finance Statistics archive</w:t>
        </w:r>
      </w:hyperlink>
      <w:r>
        <w:t xml:space="preserve"> - Earlier releases back to the 1990s, subject to classification-break reconciliation.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3. </w:t>
      </w:r>
      <w:hyperlink r:id="rId9">
        <w:r>
          <w:t xml:space="preserve">ABS Wage Price Index</w:t>
        </w:r>
      </w:hyperlink>
      <w:r>
        <w:t xml:space="preserve"> - Public-sector and industry wage-price series for labour-intensive services.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4. </w:t>
      </w:r>
      <w:hyperlink r:id="rId10">
        <w:r>
          <w:t xml:space="preserve">ABS Australian System of National Accounts</w:t>
        </w:r>
      </w:hyperlink>
      <w:r>
        <w:t xml:space="preserve"> - Government consumption prices, GDP deflators and government consumption by purpose.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5. </w:t>
      </w:r>
      <w:hyperlink r:id="rId11">
        <w:r>
          <w:t xml:space="preserve">AIHW Health Expenditure Database</w:t>
        </w:r>
      </w:hyperlink>
      <w:r>
        <w:t xml:space="preserve"> - Long-run health expenditure by funder and area, with health price measures.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6. </w:t>
      </w:r>
      <w:hyperlink r:id="rId12">
        <w:r>
          <w:t xml:space="preserve">Productivity Commission Report on Government Services</w:t>
        </w:r>
      </w:hyperlink>
      <w:r>
        <w:t xml:space="preserve"> - Service expenditure, activity, utilisation and workload data for health, education, justice, aged care and other services.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7. </w:t>
      </w:r>
      <w:hyperlink r:id="rId13">
        <w:r>
          <w:t xml:space="preserve">Department of Education student data</w:t>
        </w:r>
      </w:hyperlink>
      <w:r>
        <w:t xml:space="preserve"> - Annual enrolments, equivalent full-time student load and completions.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8. </w:t>
      </w:r>
      <w:hyperlink r:id="rId14">
        <w:r>
          <w:t xml:space="preserve">Treasury 2023 Intergenerational Report</w:t>
        </w:r>
      </w:hyperlink>
      <w:r>
        <w:t xml:space="preserve"> - Established Australian long-run projection methods and policy assumptions.</w:t>
      </w:r>
    </w:p>
    <w:p>
      <w:pPr>
        <w:pStyle w:val="Titre1"/>
      </w:pPr>
      <w:r>
        <w:t xml:space="preserve">11. Recommended decision</w:t>
      </w:r>
    </w:p>
    <w:p>
      <w:pPr>
        <w:pStyle w:val="Normal"/>
      </w:pPr>
      <w:r>
        <w:t xml:space="preserve">For the current model vintage, retain the bottom-up purpose framework as the central long-run assessment because its assumptions and fiscal mechanisms are auditable. Label the category projections as calibrated scenarios. Use dynamic differences as the preferred top-down structural cross-check and the ARIMA with COVID controls as the near-term statistical benchmark. Do not promote the current ECM to preferred status.</w:t>
      </w:r>
    </w:p>
    <w:p>
      <w:pPr>
        <w:pStyle w:val="Normal"/>
      </w:pPr>
      <w:r>
        <w:t xml:space="preserve">The highest-value next development is a health module that combines needs-weighted population, AIHW/RoGS service data and a health input-price index, followed by enrolment-based education and program-based social-protection modules. This improves the largest and most demographically exposed categories before investing effort in small or inherently discretionary purposes.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hyperlink" Target="https://www.abs.gov.au/statistics/economy/government/government-finance-statistics-annual/latest-release" TargetMode="External"/>
<Relationship Id="rId8" Type="http://schemas.openxmlformats.org/officeDocument/2006/relationships/hyperlink" Target="https://www.abs.gov.au/statistics/economy/government/government-finance-statistics-annual" TargetMode="External"/>
<Relationship Id="rId9" Type="http://schemas.openxmlformats.org/officeDocument/2006/relationships/hyperlink" Target="https://www.abs.gov.au/statistics/economy/price-indexes-and-inflation/wage-price-index-australia/latest-release" TargetMode="External"/>
<Relationship Id="rId10" Type="http://schemas.openxmlformats.org/officeDocument/2006/relationships/hyperlink" Target="https://www.abs.gov.au/statistics/economy/national-accounts/australian-system-national-accounts/latest-release" TargetMode="External"/>
<Relationship Id="rId11" Type="http://schemas.openxmlformats.org/officeDocument/2006/relationships/hyperlink" Target="https://www.aihw.gov.au/about-our-data/our-data-collections/health-expenditure-database" TargetMode="External"/>
<Relationship Id="rId12" Type="http://schemas.openxmlformats.org/officeDocument/2006/relationships/hyperlink" Target="https://www.pc.gov.au/ongoing/report-on-government-services/" TargetMode="External"/>
<Relationship Id="rId13" Type="http://schemas.openxmlformats.org/officeDocument/2006/relationships/hyperlink" Target="https://www.education.gov.au/higher-education-statistics/student-data" TargetMode="External"/>
<Relationship Id="rId14" Type="http://schemas.openxmlformats.org/officeDocument/2006/relationships/hyperlink" Target="https://treasury.gov.au/sites/default/files/2023-08/p2023-435150.pdf" TargetMode="External"/>
<Relationship Id="rId15" Type="http://schemas.openxmlformats.org/officeDocument/2006/relationships/image" Target="media/354504ed76143213834326ca1a2361742622b0d7.png"/>
<Relationship Id="rId16" Type="http://schemas.openxmlformats.org/officeDocument/2006/relationships/image" Target="media/7b16c2f6786225daebf03682ec1517ff2eb6b21a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2026-08-23T10:33:39Z</dcterms:modified>
  <cp:category/>
</cp:coreProperties>
</file>