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90D72" w14:textId="4F15C1DA" w:rsidR="00A61155" w:rsidRDefault="00A61155">
      <w:pPr>
        <w:rPr>
          <w:b/>
          <w:bCs/>
        </w:rPr>
      </w:pPr>
      <w:r>
        <w:rPr>
          <w:b/>
          <w:bCs/>
        </w:rPr>
        <w:t>Speaking points</w:t>
      </w:r>
    </w:p>
    <w:p w14:paraId="356B2D73" w14:textId="705E4890" w:rsidR="00FD1645" w:rsidRPr="00FD1645" w:rsidRDefault="00FD1645">
      <w:pPr>
        <w:rPr>
          <w:i/>
          <w:iCs/>
        </w:rPr>
      </w:pPr>
      <w:r>
        <w:rPr>
          <w:i/>
          <w:iCs/>
        </w:rPr>
        <w:t>Slide 1</w:t>
      </w:r>
    </w:p>
    <w:p w14:paraId="630C6342" w14:textId="0DBD8DEF" w:rsidR="00A61155" w:rsidRDefault="00A61155" w:rsidP="00A61155">
      <w:pPr>
        <w:pStyle w:val="ListParagraph"/>
        <w:numPr>
          <w:ilvl w:val="0"/>
          <w:numId w:val="1"/>
        </w:numPr>
      </w:pPr>
      <w:r>
        <w:t xml:space="preserve">Goal of today is to understand the economic framework around capital gains taxation and the reforms in the Budget. </w:t>
      </w:r>
    </w:p>
    <w:p w14:paraId="18E0DDC4" w14:textId="0ABD792C" w:rsidR="00FD1645" w:rsidRDefault="00FD1645" w:rsidP="00A61155">
      <w:pPr>
        <w:pStyle w:val="ListParagraph"/>
        <w:numPr>
          <w:ilvl w:val="0"/>
          <w:numId w:val="1"/>
        </w:numPr>
      </w:pPr>
      <w:r>
        <w:t xml:space="preserve">As a result, we will say nothing about these three topics that motivated the policy change – i.e. we can only understand a policy relative to an idea, but ideas about intergenerational equity will be very different for different people. </w:t>
      </w:r>
      <w:proofErr w:type="gramStart"/>
      <w:r>
        <w:t>So</w:t>
      </w:r>
      <w:proofErr w:type="gramEnd"/>
      <w:r>
        <w:t xml:space="preserve"> to provide a base to discuss this, we can compare this to a “neutral” tax system that treats all income the same way.</w:t>
      </w:r>
    </w:p>
    <w:p w14:paraId="69278056" w14:textId="292CCB1F" w:rsidR="00FD1645" w:rsidRDefault="00FD1645" w:rsidP="00A61155">
      <w:pPr>
        <w:pStyle w:val="ListParagraph"/>
        <w:numPr>
          <w:ilvl w:val="0"/>
          <w:numId w:val="1"/>
        </w:numPr>
      </w:pPr>
      <w:r>
        <w:t xml:space="preserve">Importantly, this tax reform was </w:t>
      </w:r>
      <w:proofErr w:type="gramStart"/>
      <w:r>
        <w:t>actually only</w:t>
      </w:r>
      <w:proofErr w:type="gramEnd"/>
      <w:r>
        <w:t xml:space="preserve"> a small part of the Budget. The expected revenue raised from the tax is around a quarter of the budgeted savings from NDIS reforms.</w:t>
      </w:r>
    </w:p>
    <w:p w14:paraId="6093082E" w14:textId="18FD9A37" w:rsidR="00FD1645" w:rsidRDefault="00FD1645" w:rsidP="00A61155">
      <w:pPr>
        <w:pStyle w:val="ListParagraph"/>
        <w:numPr>
          <w:ilvl w:val="0"/>
          <w:numId w:val="1"/>
        </w:numPr>
      </w:pPr>
      <w:r>
        <w:t xml:space="preserve">However, the capital gains tax changes have </w:t>
      </w:r>
      <w:proofErr w:type="gramStart"/>
      <w:r>
        <w:t>lead</w:t>
      </w:r>
      <w:proofErr w:type="gramEnd"/>
      <w:r>
        <w:t xml:space="preserve"> to passionate debates – without much reference to a framework or a “limiting principle” with regards to what is being said. Our goal is to contextualise this, so we can read articles in the AFR with a bit more context.</w:t>
      </w:r>
    </w:p>
    <w:p w14:paraId="4D4FD12D" w14:textId="77777777" w:rsidR="00FD1645" w:rsidRDefault="00FD1645" w:rsidP="00FD1645"/>
    <w:p w14:paraId="1F2709AD" w14:textId="6A027745" w:rsidR="00FD1645" w:rsidRDefault="00FD1645" w:rsidP="00FD1645">
      <w:pPr>
        <w:rPr>
          <w:i/>
          <w:iCs/>
        </w:rPr>
      </w:pPr>
      <w:r>
        <w:rPr>
          <w:i/>
          <w:iCs/>
        </w:rPr>
        <w:t>Slide 2</w:t>
      </w:r>
    </w:p>
    <w:p w14:paraId="18D969AF" w14:textId="77777777" w:rsidR="00FD1645" w:rsidRDefault="00FD1645" w:rsidP="00FD1645">
      <w:pPr>
        <w:pStyle w:val="ListParagraph"/>
        <w:numPr>
          <w:ilvl w:val="0"/>
          <w:numId w:val="2"/>
        </w:numPr>
      </w:pPr>
      <w:r>
        <w:t xml:space="preserve">Taxation of capital gains </w:t>
      </w:r>
      <w:proofErr w:type="gramStart"/>
      <w:r>
        <w:t>has to</w:t>
      </w:r>
      <w:proofErr w:type="gramEnd"/>
      <w:r>
        <w:t xml:space="preserve"> be considered as part of how we think about taxing “income”. </w:t>
      </w:r>
    </w:p>
    <w:p w14:paraId="3CCB1AD4" w14:textId="289A82C5" w:rsidR="00FD1645" w:rsidRDefault="00FD1645" w:rsidP="00FD1645">
      <w:pPr>
        <w:pStyle w:val="ListParagraph"/>
        <w:numPr>
          <w:ilvl w:val="0"/>
          <w:numId w:val="2"/>
        </w:numPr>
      </w:pPr>
      <w:r>
        <w:t xml:space="preserve">Income is a distortionary base to tax – when we tax </w:t>
      </w:r>
      <w:proofErr w:type="gramStart"/>
      <w:r>
        <w:t>income</w:t>
      </w:r>
      <w:proofErr w:type="gramEnd"/>
      <w:r>
        <w:t xml:space="preserve"> we encourage people to substitute towards an untaxed or more lightly taxed alternative. When it comes to work this is leisure time, when it comes to capital income this is the decision to instead spend the money now instead of saving it. This is </w:t>
      </w:r>
      <w:r>
        <w:rPr>
          <w:b/>
          <w:bCs/>
        </w:rPr>
        <w:t>efficiency</w:t>
      </w:r>
      <w:r>
        <w:t>.</w:t>
      </w:r>
    </w:p>
    <w:p w14:paraId="300B3453" w14:textId="4BC62943" w:rsidR="00FD1645" w:rsidRDefault="00FD1645" w:rsidP="00FD1645">
      <w:pPr>
        <w:pStyle w:val="ListParagraph"/>
        <w:numPr>
          <w:ilvl w:val="0"/>
          <w:numId w:val="2"/>
        </w:numPr>
      </w:pPr>
      <w:r>
        <w:t xml:space="preserve">However, we may also have ethical principles about who </w:t>
      </w:r>
      <w:r>
        <w:rPr>
          <w:i/>
          <w:iCs/>
        </w:rPr>
        <w:t>should</w:t>
      </w:r>
      <w:r>
        <w:t xml:space="preserve"> bear the burden of paying for public services.</w:t>
      </w:r>
      <w:r w:rsidR="00F354DC">
        <w:t xml:space="preserve"> The reason why we don’t have very high taxes on land, even though the tax looks very efficient, is because this seems unfair.  This is an </w:t>
      </w:r>
      <w:r w:rsidR="00F354DC">
        <w:rPr>
          <w:b/>
          <w:bCs/>
        </w:rPr>
        <w:t xml:space="preserve">equity </w:t>
      </w:r>
      <w:r w:rsidR="00F354DC">
        <w:t>lens – and we typically think about this in terms of horizontal equity, those with the same ability to pay should pay the same amount, and vertical equity, those with a greater ability to pay should pay more.</w:t>
      </w:r>
    </w:p>
    <w:p w14:paraId="3BD26778" w14:textId="73E4964F" w:rsidR="00F354DC" w:rsidRDefault="00F354DC" w:rsidP="00FD1645">
      <w:pPr>
        <w:pStyle w:val="ListParagraph"/>
        <w:numPr>
          <w:ilvl w:val="0"/>
          <w:numId w:val="2"/>
        </w:numPr>
      </w:pPr>
      <w:r>
        <w:t>This framing captures why people have talked about taxing labour and capital the “same way” and other have said we should not – there is a legitimate debate about what the efficiency-equity trade-offs are, both in terms of what matters and how much they matter.</w:t>
      </w:r>
    </w:p>
    <w:p w14:paraId="4D2B5F5C" w14:textId="77E02AC1" w:rsidR="00F354DC" w:rsidRDefault="00F354DC" w:rsidP="00FD1645">
      <w:pPr>
        <w:pStyle w:val="ListParagraph"/>
        <w:numPr>
          <w:ilvl w:val="0"/>
          <w:numId w:val="2"/>
        </w:numPr>
      </w:pPr>
      <w:r>
        <w:t>To have this discuss, we’ve got to be even more pedantic – what is ability to pay, and then what is income? A typical economist will say this reflects “capacity to consume”, which is not the same at the dollars we see flying around on our tax return.</w:t>
      </w:r>
    </w:p>
    <w:p w14:paraId="245662A8" w14:textId="46399B8C" w:rsidR="00F354DC" w:rsidRDefault="00F354DC" w:rsidP="00FD1645">
      <w:pPr>
        <w:pStyle w:val="ListParagraph"/>
        <w:numPr>
          <w:ilvl w:val="0"/>
          <w:numId w:val="2"/>
        </w:numPr>
      </w:pPr>
      <w:proofErr w:type="gramStart"/>
      <w:r>
        <w:lastRenderedPageBreak/>
        <w:t>Lets</w:t>
      </w:r>
      <w:proofErr w:type="gramEnd"/>
      <w:r>
        <w:t xml:space="preserve"> do a couple of examples</w:t>
      </w:r>
      <w:r w:rsidR="005621E1">
        <w:t xml:space="preserve"> look at the “pre-reform” situation</w:t>
      </w:r>
      <w:r>
        <w:t>.</w:t>
      </w:r>
    </w:p>
    <w:p w14:paraId="3C25622F" w14:textId="099BC29A" w:rsidR="00F354DC" w:rsidRDefault="00F354DC" w:rsidP="00FD1645">
      <w:pPr>
        <w:pStyle w:val="ListParagraph"/>
        <w:numPr>
          <w:ilvl w:val="0"/>
          <w:numId w:val="2"/>
        </w:numPr>
      </w:pPr>
      <w:r>
        <w:t>Fixer upper</w:t>
      </w:r>
    </w:p>
    <w:p w14:paraId="69BDB098" w14:textId="77777777" w:rsidR="00F354DC" w:rsidRDefault="00F354DC" w:rsidP="00F354DC">
      <w:pPr>
        <w:pStyle w:val="ListParagraph"/>
        <w:numPr>
          <w:ilvl w:val="1"/>
          <w:numId w:val="2"/>
        </w:numPr>
      </w:pPr>
      <w:r w:rsidRPr="00F354DC">
        <w:t xml:space="preserve">Alex, 47, earns $100,000 a year in wages. He decides to buy an investment property to do up himself and then on sell. He spends $500,000 in total – $300,000 purchasing the property and $200,000 (in purchase-date prices) on materials. </w:t>
      </w:r>
    </w:p>
    <w:p w14:paraId="24C25BB9" w14:textId="77777777" w:rsidR="00F354DC" w:rsidRDefault="00F354DC" w:rsidP="00F354DC">
      <w:pPr>
        <w:pStyle w:val="ListParagraph"/>
        <w:numPr>
          <w:ilvl w:val="1"/>
          <w:numId w:val="2"/>
        </w:numPr>
      </w:pPr>
      <w:r w:rsidRPr="00F354DC">
        <w:t xml:space="preserve">He sells the property two years later for $750,000, a nominal gain of $250,000 or an annual return of 22.5%. Under the 50% CGT discount, only $125,000 is included in his taxable income in the year of realisation. </w:t>
      </w:r>
    </w:p>
    <w:p w14:paraId="3A081ED4" w14:textId="77777777" w:rsidR="00F354DC" w:rsidRDefault="00F354DC" w:rsidP="00F354DC">
      <w:pPr>
        <w:pStyle w:val="ListParagraph"/>
        <w:numPr>
          <w:ilvl w:val="1"/>
          <w:numId w:val="2"/>
        </w:numPr>
      </w:pPr>
      <w:r w:rsidRPr="00F354DC">
        <w:t xml:space="preserve">Assuming inflation averaged 2.5% over these two years, </w:t>
      </w:r>
      <w:proofErr w:type="gramStart"/>
      <w:r w:rsidRPr="00F354DC">
        <w:t>the majority of</w:t>
      </w:r>
      <w:proofErr w:type="gramEnd"/>
      <w:r w:rsidRPr="00F354DC">
        <w:t xml:space="preserve"> this gain is real – the property has appreciated well above inflation. </w:t>
      </w:r>
    </w:p>
    <w:p w14:paraId="09302F40" w14:textId="4F458B91" w:rsidR="00F354DC" w:rsidRDefault="00F354DC" w:rsidP="00F354DC">
      <w:pPr>
        <w:pStyle w:val="ListParagraph"/>
        <w:numPr>
          <w:ilvl w:val="1"/>
          <w:numId w:val="2"/>
        </w:numPr>
      </w:pPr>
      <w:r w:rsidRPr="00F354DC">
        <w:t xml:space="preserve">Given this information, the before-tax real income from his job and developing the property are roughly the same. But the real tax rate on the capital gain is substantially lower – at </w:t>
      </w:r>
      <w:r w:rsidRPr="00F354DC">
        <w:rPr>
          <w:b/>
          <w:bCs/>
        </w:rPr>
        <w:t>13.6%</w:t>
      </w:r>
      <w:r w:rsidRPr="00F354DC">
        <w:t xml:space="preserve"> instead of the </w:t>
      </w:r>
      <w:r w:rsidRPr="00F354DC">
        <w:rPr>
          <w:b/>
          <w:bCs/>
        </w:rPr>
        <w:t>22.8%</w:t>
      </w:r>
      <w:r w:rsidRPr="00F354DC">
        <w:t xml:space="preserve"> tax rate on labour earnings.</w:t>
      </w:r>
    </w:p>
    <w:p w14:paraId="0B98C902" w14:textId="5F65A93A" w:rsidR="00F354DC" w:rsidRDefault="00F354DC" w:rsidP="00F354DC">
      <w:pPr>
        <w:pStyle w:val="ListParagraph"/>
        <w:numPr>
          <w:ilvl w:val="0"/>
          <w:numId w:val="2"/>
        </w:numPr>
      </w:pPr>
      <w:r>
        <w:t>Property investor</w:t>
      </w:r>
    </w:p>
    <w:p w14:paraId="30F5C53B" w14:textId="28D0C471" w:rsidR="00F354DC" w:rsidRDefault="005621E1" w:rsidP="00F354DC">
      <w:pPr>
        <w:pStyle w:val="ListParagraph"/>
        <w:numPr>
          <w:ilvl w:val="1"/>
          <w:numId w:val="2"/>
        </w:numPr>
      </w:pPr>
      <w:r>
        <w:t xml:space="preserve">Here we consider an individual who earned a 20% nominal capital gain over three years, but in a high inflation environment – running at 6%pa. As they are a property </w:t>
      </w:r>
      <w:proofErr w:type="gramStart"/>
      <w:r>
        <w:t>investor</w:t>
      </w:r>
      <w:proofErr w:type="gramEnd"/>
      <w:r>
        <w:t xml:space="preserve"> they also rent out the property for a gross yield of about 5% and work in a </w:t>
      </w:r>
      <w:proofErr w:type="gramStart"/>
      <w:r>
        <w:t>part time</w:t>
      </w:r>
      <w:proofErr w:type="gramEnd"/>
      <w:r>
        <w:t xml:space="preserve"> job.</w:t>
      </w:r>
    </w:p>
    <w:p w14:paraId="441024E5" w14:textId="753DBD58" w:rsidR="005621E1" w:rsidRDefault="005621E1" w:rsidP="00F354DC">
      <w:pPr>
        <w:pStyle w:val="ListParagraph"/>
        <w:numPr>
          <w:ilvl w:val="1"/>
          <w:numId w:val="2"/>
        </w:numPr>
      </w:pPr>
      <w:r>
        <w:t>These rates compare the tax rate she paid, compared to if you had gone full time and earned the same before tax income as wages.</w:t>
      </w:r>
    </w:p>
    <w:p w14:paraId="77948E86" w14:textId="1ED07DC5" w:rsidR="005621E1" w:rsidRDefault="005621E1" w:rsidP="00F354DC">
      <w:pPr>
        <w:pStyle w:val="ListParagraph"/>
        <w:numPr>
          <w:ilvl w:val="1"/>
          <w:numId w:val="2"/>
        </w:numPr>
      </w:pPr>
      <w:r>
        <w:t>In this circumstance the investors real tax rate was 25.9% compared to 19.1%.</w:t>
      </w:r>
    </w:p>
    <w:p w14:paraId="4BD85898" w14:textId="4C522C11" w:rsidR="005621E1" w:rsidRDefault="005621E1" w:rsidP="005621E1">
      <w:pPr>
        <w:pStyle w:val="ListParagraph"/>
        <w:numPr>
          <w:ilvl w:val="0"/>
          <w:numId w:val="2"/>
        </w:numPr>
      </w:pPr>
      <w:r>
        <w:t>What was important in these examples? Some of the capital gain being received is just maintaining the value of the asset – so compensating for inflation. This can’t be consumed so isn’t income.</w:t>
      </w:r>
    </w:p>
    <w:p w14:paraId="25B2AF24" w14:textId="704EEE80" w:rsidR="005621E1" w:rsidRDefault="005621E1" w:rsidP="005621E1">
      <w:pPr>
        <w:pStyle w:val="ListParagraph"/>
        <w:numPr>
          <w:ilvl w:val="0"/>
          <w:numId w:val="2"/>
        </w:numPr>
      </w:pPr>
      <w:r>
        <w:t>A subtler point is that time preference also needs to be compensated for, such that the present value of the asset is not eroded. This would suggest a higher normal rate of return allowance. The UK 2011 tax review recommended this approach – this looks like indexation, but just with a slightly higher indexation rate.</w:t>
      </w:r>
    </w:p>
    <w:p w14:paraId="42D9D972" w14:textId="2639FFDA" w:rsidR="005621E1" w:rsidRDefault="005621E1" w:rsidP="005621E1">
      <w:pPr>
        <w:pStyle w:val="ListParagraph"/>
        <w:numPr>
          <w:ilvl w:val="0"/>
          <w:numId w:val="2"/>
        </w:numPr>
      </w:pPr>
      <w:r>
        <w:t>Putting this together, taxing “all income the same way” requires we ask what constitutes an increase in the capacity to consume – to then ask people to contribute in this way we can either tax consumption, or tax labour and capital income with a normal rate of return allowance for capital income.</w:t>
      </w:r>
    </w:p>
    <w:p w14:paraId="4CCC505F" w14:textId="111F5915" w:rsidR="005621E1" w:rsidRDefault="005621E1" w:rsidP="005621E1">
      <w:pPr>
        <w:pStyle w:val="ListParagraph"/>
        <w:numPr>
          <w:ilvl w:val="0"/>
          <w:numId w:val="2"/>
        </w:numPr>
      </w:pPr>
      <w:r>
        <w:t>Why not just tax consumption then? The key reason is vertical equity – we want some redistribution, and this is hard to do with a consumption tax. This provides a role for an income tax, that is intended to ask those with high consumption opportunities to contribute proportionally more.</w:t>
      </w:r>
    </w:p>
    <w:p w14:paraId="4AE9CA7C" w14:textId="77777777" w:rsidR="005621E1" w:rsidRDefault="005621E1" w:rsidP="005621E1"/>
    <w:p w14:paraId="665CEEC1" w14:textId="08195C9F" w:rsidR="005621E1" w:rsidRDefault="005621E1" w:rsidP="005621E1">
      <w:pPr>
        <w:rPr>
          <w:i/>
          <w:iCs/>
        </w:rPr>
      </w:pPr>
      <w:r>
        <w:rPr>
          <w:i/>
          <w:iCs/>
        </w:rPr>
        <w:t>Slide 3</w:t>
      </w:r>
      <w:r w:rsidR="000603E3">
        <w:rPr>
          <w:i/>
          <w:iCs/>
        </w:rPr>
        <w:t>/4</w:t>
      </w:r>
    </w:p>
    <w:p w14:paraId="0777F63C" w14:textId="77777777" w:rsidR="005621E1" w:rsidRDefault="005621E1" w:rsidP="005621E1">
      <w:pPr>
        <w:rPr>
          <w:i/>
          <w:iCs/>
        </w:rPr>
      </w:pPr>
    </w:p>
    <w:p w14:paraId="2471068F" w14:textId="5AB02D1A" w:rsidR="005621E1" w:rsidRDefault="005621E1" w:rsidP="005621E1">
      <w:pPr>
        <w:pStyle w:val="ListParagraph"/>
        <w:numPr>
          <w:ilvl w:val="0"/>
          <w:numId w:val="3"/>
        </w:numPr>
      </w:pPr>
      <w:proofErr w:type="gramStart"/>
      <w:r>
        <w:t>So</w:t>
      </w:r>
      <w:proofErr w:type="gramEnd"/>
      <w:r>
        <w:t xml:space="preserve"> when we think about capital gains, they are a subset of capital income.  The “concept” of a capital gain in economics is debated – but the current mainstream view is that we should focus on “trading gains”, as they reflect a current decision to change consumption.</w:t>
      </w:r>
    </w:p>
    <w:p w14:paraId="0663C921" w14:textId="0CDB708C" w:rsidR="00924AE8" w:rsidRDefault="00924AE8" w:rsidP="005621E1">
      <w:pPr>
        <w:pStyle w:val="ListParagraph"/>
        <w:numPr>
          <w:ilvl w:val="0"/>
          <w:numId w:val="3"/>
        </w:numPr>
      </w:pPr>
      <w:r>
        <w:t xml:space="preserve">We will leave this to the </w:t>
      </w:r>
      <w:proofErr w:type="gramStart"/>
      <w:r>
        <w:t>side, and</w:t>
      </w:r>
      <w:proofErr w:type="gramEnd"/>
      <w:r>
        <w:t xml:space="preserve"> focus on the concept used in tax policy – realised gains.</w:t>
      </w:r>
    </w:p>
    <w:p w14:paraId="1EBD8B15" w14:textId="1E48F687" w:rsidR="00924AE8" w:rsidRDefault="00924AE8" w:rsidP="005621E1">
      <w:pPr>
        <w:pStyle w:val="ListParagraph"/>
        <w:numPr>
          <w:ilvl w:val="0"/>
          <w:numId w:val="3"/>
        </w:numPr>
      </w:pPr>
      <w:r>
        <w:t>A realised gain appears to have a “deferral” benefit relative to other capital income – Treasury discuss this widely after the reform.</w:t>
      </w:r>
    </w:p>
    <w:p w14:paraId="0CB9294C" w14:textId="4B697451" w:rsidR="00924AE8" w:rsidRDefault="00924AE8" w:rsidP="005621E1">
      <w:pPr>
        <w:pStyle w:val="ListParagraph"/>
        <w:numPr>
          <w:ilvl w:val="0"/>
          <w:numId w:val="3"/>
        </w:numPr>
      </w:pPr>
      <w:r>
        <w:t>The deferral works as follows. If you saved $1 in the bank and earned 10c of interest, that 10c would be taxed. You could save the post-tax amount, say 7c, and then earn interest on $1.07.  If you purchased an appreciating asset with the same rate of return, that return would not be taxed as you go. As a result, in the second period you would have $1.10 instead to earn a return from.  This compounding delay in the tax liability is the deferral benefit.</w:t>
      </w:r>
    </w:p>
    <w:p w14:paraId="473FA752" w14:textId="1973C74C" w:rsidR="00924AE8" w:rsidRDefault="00924AE8" w:rsidP="005621E1">
      <w:pPr>
        <w:pStyle w:val="ListParagraph"/>
        <w:numPr>
          <w:ilvl w:val="0"/>
          <w:numId w:val="3"/>
        </w:numPr>
      </w:pPr>
      <w:r>
        <w:t>However, there is a penalty. As all the realised income occurs in one year, and as tax rates rise with income, the tax rate on the final realised capital gain will be higher than if it had been spread out over time.</w:t>
      </w:r>
    </w:p>
    <w:p w14:paraId="7579F2BF" w14:textId="329AD7D0" w:rsidR="00924AE8" w:rsidRDefault="00924AE8" w:rsidP="005621E1">
      <w:pPr>
        <w:pStyle w:val="ListParagraph"/>
        <w:numPr>
          <w:ilvl w:val="0"/>
          <w:numId w:val="3"/>
        </w:numPr>
      </w:pPr>
      <w:r>
        <w:t>These two plots allow us to visualise the role of the capital gains discount in this. If we are imagining a system where we want regular wags and capital gains income to be taxed on the same income schedule, taxing capital gains at full rates would be too high – the discount got things closer “on average</w:t>
      </w:r>
      <w:proofErr w:type="gramStart"/>
      <w:r>
        <w:t>”, but</w:t>
      </w:r>
      <w:proofErr w:type="gramEnd"/>
      <w:r>
        <w:t xml:space="preserve"> generated a large spread in outcomes where people were over or under taxed compared to this target.</w:t>
      </w:r>
    </w:p>
    <w:p w14:paraId="73DBD27D" w14:textId="77777777" w:rsidR="00924AE8" w:rsidRDefault="00924AE8" w:rsidP="00924AE8"/>
    <w:p w14:paraId="5747852C" w14:textId="1B236961" w:rsidR="00924AE8" w:rsidRDefault="00924AE8" w:rsidP="00924AE8">
      <w:pPr>
        <w:rPr>
          <w:i/>
          <w:iCs/>
        </w:rPr>
      </w:pPr>
      <w:r>
        <w:rPr>
          <w:i/>
          <w:iCs/>
        </w:rPr>
        <w:t xml:space="preserve">Slide </w:t>
      </w:r>
      <w:r w:rsidR="000603E3">
        <w:rPr>
          <w:i/>
          <w:iCs/>
        </w:rPr>
        <w:t>5</w:t>
      </w:r>
    </w:p>
    <w:p w14:paraId="4BBA023C" w14:textId="77777777" w:rsidR="00924AE8" w:rsidRDefault="00924AE8" w:rsidP="00924AE8">
      <w:pPr>
        <w:rPr>
          <w:i/>
          <w:iCs/>
        </w:rPr>
      </w:pPr>
    </w:p>
    <w:p w14:paraId="75BAB4F0" w14:textId="50AC1D14" w:rsidR="00924AE8" w:rsidRDefault="000603E3" w:rsidP="000603E3">
      <w:pPr>
        <w:pStyle w:val="ListParagraph"/>
        <w:numPr>
          <w:ilvl w:val="0"/>
          <w:numId w:val="4"/>
        </w:numPr>
      </w:pPr>
      <w:r>
        <w:t>“Negative gearing” gets a lot of public hate – but the idea of receiving a deduction for expenses used to produce something is normal. Without such deductions we would tax transactions and not income.</w:t>
      </w:r>
    </w:p>
    <w:p w14:paraId="570A26AB" w14:textId="22A9025B" w:rsidR="000603E3" w:rsidRDefault="000603E3" w:rsidP="000603E3">
      <w:pPr>
        <w:pStyle w:val="ListParagraph"/>
        <w:numPr>
          <w:ilvl w:val="0"/>
          <w:numId w:val="4"/>
        </w:numPr>
      </w:pPr>
      <w:r>
        <w:t>However, the key trigger is that the cost of “financing” the purchase of the asset is being captured – through the interest expenses paid when borrowing to purchase. As we will discuss later, if you are allowing these financing decisions to be fully expenses while only taxing part of the income this will encourage people to borrow more than they would otherwise to buy the asset.</w:t>
      </w:r>
    </w:p>
    <w:p w14:paraId="5C2F5510" w14:textId="09BB9667" w:rsidR="000603E3" w:rsidRDefault="000603E3" w:rsidP="000603E3">
      <w:pPr>
        <w:pStyle w:val="ListParagraph"/>
        <w:numPr>
          <w:ilvl w:val="0"/>
          <w:numId w:val="4"/>
        </w:numPr>
      </w:pPr>
      <w:r>
        <w:lastRenderedPageBreak/>
        <w:t>In other words, we are allowing someone to expense a cost that isn’t associated with income that is being taxed – and it is that asymmetry that is a concern.</w:t>
      </w:r>
    </w:p>
    <w:p w14:paraId="397EFC52" w14:textId="4C38F067" w:rsidR="00343AB5" w:rsidRDefault="00343AB5" w:rsidP="000603E3">
      <w:pPr>
        <w:pStyle w:val="ListParagraph"/>
        <w:numPr>
          <w:ilvl w:val="0"/>
          <w:numId w:val="4"/>
        </w:numPr>
      </w:pPr>
      <w:r>
        <w:t>A related concern is timing – you can expense now and only get taxed in the future on the income that generates. If you can influence “timing” of when you receive this income, you can strategically use negative gearing and sales to reduce taxation.</w:t>
      </w:r>
    </w:p>
    <w:p w14:paraId="303A832E" w14:textId="54FC384E" w:rsidR="000603E3" w:rsidRDefault="000603E3" w:rsidP="000603E3">
      <w:pPr>
        <w:pStyle w:val="ListParagraph"/>
        <w:numPr>
          <w:ilvl w:val="0"/>
          <w:numId w:val="4"/>
        </w:numPr>
      </w:pPr>
      <w:r>
        <w:t xml:space="preserve">Quarantining, or ringfencing, property losses is an indirect way of mitigating </w:t>
      </w:r>
      <w:proofErr w:type="gramStart"/>
      <w:r w:rsidR="00343AB5">
        <w:t>both of these</w:t>
      </w:r>
      <w:proofErr w:type="gramEnd"/>
      <w:r w:rsidR="00343AB5">
        <w:t xml:space="preserve"> concerns – but they are </w:t>
      </w:r>
      <w:proofErr w:type="gramStart"/>
      <w:r w:rsidR="00343AB5">
        <w:t>reflect</w:t>
      </w:r>
      <w:proofErr w:type="gramEnd"/>
      <w:r w:rsidR="00343AB5">
        <w:t xml:space="preserve"> a common approach to how this is treated.</w:t>
      </w:r>
    </w:p>
    <w:p w14:paraId="505AD8B0" w14:textId="2B98BE2F" w:rsidR="00343AB5" w:rsidRDefault="00343AB5" w:rsidP="000603E3">
      <w:pPr>
        <w:pStyle w:val="ListParagraph"/>
        <w:numPr>
          <w:ilvl w:val="0"/>
          <w:numId w:val="4"/>
        </w:numPr>
      </w:pPr>
      <w:r>
        <w:t>To illustrate how this plays out we have two plots – one is an example, and the second is data.</w:t>
      </w:r>
    </w:p>
    <w:p w14:paraId="2577F010" w14:textId="601A6C6E" w:rsidR="00343AB5" w:rsidRDefault="00343AB5" w:rsidP="000603E3">
      <w:pPr>
        <w:pStyle w:val="ListParagraph"/>
        <w:numPr>
          <w:ilvl w:val="0"/>
          <w:numId w:val="4"/>
        </w:numPr>
      </w:pPr>
      <w:r>
        <w:t>In the first, an asset is fully debt funded and the real capital gain is equal to the interest payment – this means the investor has made zero real income. However, they receive a tax loss that can be claimed against other tax.</w:t>
      </w:r>
    </w:p>
    <w:p w14:paraId="5A8A5008" w14:textId="71CE9FF8" w:rsidR="00343AB5" w:rsidRDefault="00343AB5" w:rsidP="00343AB5">
      <w:pPr>
        <w:pStyle w:val="ListParagraph"/>
        <w:numPr>
          <w:ilvl w:val="1"/>
          <w:numId w:val="4"/>
        </w:numPr>
      </w:pPr>
      <w:r>
        <w:t>Negative gearing prevents extreme versions of this, while penalising people making genuine losses.</w:t>
      </w:r>
    </w:p>
    <w:p w14:paraId="72C175AB" w14:textId="7003B535" w:rsidR="00343AB5" w:rsidRDefault="00343AB5" w:rsidP="00343AB5">
      <w:pPr>
        <w:pStyle w:val="ListParagraph"/>
        <w:numPr>
          <w:ilvl w:val="1"/>
          <w:numId w:val="4"/>
        </w:numPr>
      </w:pPr>
      <w:r>
        <w:t>Adjusting the tax treatment of interest deductions directly would be more direct – but also potentially too complicated.</w:t>
      </w:r>
    </w:p>
    <w:p w14:paraId="482F627F" w14:textId="5C63E7EF" w:rsidR="00343AB5" w:rsidRDefault="00343AB5" w:rsidP="00343AB5">
      <w:pPr>
        <w:pStyle w:val="ListParagraph"/>
        <w:numPr>
          <w:ilvl w:val="0"/>
          <w:numId w:val="4"/>
        </w:numPr>
      </w:pPr>
      <w:r>
        <w:t>In the second we describe how the return on equity changes for the average historic housing investment as you increase leverage.</w:t>
      </w:r>
      <w:r w:rsidR="00E14CCE">
        <w:t xml:space="preserve"> Specifically, it shows that – even though the return on equity increases with leverage – the tax rate </w:t>
      </w:r>
      <w:proofErr w:type="gramStart"/>
      <w:r w:rsidR="00E14CCE">
        <w:t>actually declines</w:t>
      </w:r>
      <w:proofErr w:type="gramEnd"/>
      <w:r w:rsidR="00E14CCE">
        <w:t xml:space="preserve"> due to the capital gains tax discount. </w:t>
      </w:r>
    </w:p>
    <w:p w14:paraId="5AA0E5B4" w14:textId="77777777" w:rsidR="00E14CCE" w:rsidRDefault="00E14CCE" w:rsidP="00E14CCE"/>
    <w:p w14:paraId="4322E2E0" w14:textId="371E0074" w:rsidR="00E14CCE" w:rsidRDefault="00E14CCE" w:rsidP="00E14CCE">
      <w:pPr>
        <w:rPr>
          <w:i/>
          <w:iCs/>
        </w:rPr>
      </w:pPr>
      <w:r>
        <w:rPr>
          <w:i/>
          <w:iCs/>
        </w:rPr>
        <w:t>Slide 6</w:t>
      </w:r>
    </w:p>
    <w:p w14:paraId="6001EC65" w14:textId="5DB1A8B4" w:rsidR="00E14CCE" w:rsidRDefault="00E14CCE" w:rsidP="00E14CCE">
      <w:pPr>
        <w:pStyle w:val="ListParagraph"/>
        <w:numPr>
          <w:ilvl w:val="0"/>
          <w:numId w:val="5"/>
        </w:numPr>
      </w:pPr>
      <w:r>
        <w:t>We have discussed negative gearing, but to understand the broader reforms that took place we need to understand how capital gains taxation may generate differential treatment of people in similar circumstances. This horizontal inequity has two concerns:</w:t>
      </w:r>
    </w:p>
    <w:p w14:paraId="564438EA" w14:textId="51DF942C" w:rsidR="00E14CCE" w:rsidRDefault="00E14CCE" w:rsidP="00E14CCE">
      <w:pPr>
        <w:pStyle w:val="ListParagraph"/>
        <w:numPr>
          <w:ilvl w:val="1"/>
          <w:numId w:val="5"/>
        </w:numPr>
      </w:pPr>
      <w:r>
        <w:t>It may be seen as unfair to ask people in the same circumstance to contribute different amounts.</w:t>
      </w:r>
    </w:p>
    <w:p w14:paraId="1AD43A2D" w14:textId="7B4AB445" w:rsidR="00E14CCE" w:rsidRDefault="00E14CCE" w:rsidP="00E14CCE">
      <w:pPr>
        <w:pStyle w:val="ListParagraph"/>
        <w:numPr>
          <w:ilvl w:val="1"/>
          <w:numId w:val="5"/>
        </w:numPr>
      </w:pPr>
      <w:r>
        <w:t>Differences in tax rates are distortive – as they influence where individuals invest and generally have a larger dead-weight loss than equal taxation.</w:t>
      </w:r>
    </w:p>
    <w:p w14:paraId="267220FF" w14:textId="1E4A5238" w:rsidR="00E14CCE" w:rsidRDefault="00E14CCE" w:rsidP="00E14CCE">
      <w:pPr>
        <w:pStyle w:val="ListParagraph"/>
        <w:numPr>
          <w:ilvl w:val="0"/>
          <w:numId w:val="5"/>
        </w:numPr>
      </w:pPr>
      <w:r>
        <w:t>The plot on the left shows the median tax rate by gross cash income percentile in Australia, for 10 years of income. The shaded area is the spread of tax rates paid.</w:t>
      </w:r>
    </w:p>
    <w:p w14:paraId="696038BC" w14:textId="2A91522A" w:rsidR="00E14CCE" w:rsidRDefault="00E14CCE" w:rsidP="00E14CCE">
      <w:pPr>
        <w:pStyle w:val="ListParagraph"/>
        <w:numPr>
          <w:ilvl w:val="0"/>
          <w:numId w:val="5"/>
        </w:numPr>
      </w:pPr>
      <w:r>
        <w:t>The plot on the right shows the reason why the heterogeneity occurs. Among those in the top half of the income distribution, capital gains are a significant driver of variability in tax rates.</w:t>
      </w:r>
    </w:p>
    <w:p w14:paraId="2AB39470" w14:textId="75F715CA" w:rsidR="00E14CCE" w:rsidRDefault="00E14CCE" w:rsidP="00E14CCE">
      <w:pPr>
        <w:pStyle w:val="ListParagraph"/>
        <w:numPr>
          <w:ilvl w:val="0"/>
          <w:numId w:val="5"/>
        </w:numPr>
      </w:pPr>
      <w:r>
        <w:lastRenderedPageBreak/>
        <w:t>Now these are nominal tax rates, and so some of this heterogeneity may be “good” – however, as shown earlier even when looking at real returns on housing there was a large spread in the effective tax rates paid under the prior discount.</w:t>
      </w:r>
    </w:p>
    <w:p w14:paraId="1A3DDE61" w14:textId="77777777" w:rsidR="00E14CCE" w:rsidRDefault="00E14CCE" w:rsidP="00E14CCE"/>
    <w:p w14:paraId="6B921365" w14:textId="2931BA16" w:rsidR="00E14CCE" w:rsidRDefault="00E14CCE" w:rsidP="00E14CCE">
      <w:pPr>
        <w:rPr>
          <w:i/>
          <w:iCs/>
        </w:rPr>
      </w:pPr>
      <w:r>
        <w:rPr>
          <w:i/>
          <w:iCs/>
        </w:rPr>
        <w:t>Slide 7</w:t>
      </w:r>
    </w:p>
    <w:p w14:paraId="254AAD14" w14:textId="355E695D" w:rsidR="00E14CCE" w:rsidRDefault="00E14CCE" w:rsidP="00E14CCE">
      <w:pPr>
        <w:pStyle w:val="ListParagraph"/>
        <w:numPr>
          <w:ilvl w:val="0"/>
          <w:numId w:val="6"/>
        </w:numPr>
      </w:pPr>
      <w:r>
        <w:t>Another reason why the capital gains tax discount may be perceived as unfair is vertical equity – since high income earners, even over a decade-long horizon, tend to receive a much larger share of their income in capital gains.</w:t>
      </w:r>
    </w:p>
    <w:p w14:paraId="5CFF9CF4" w14:textId="58A79B68" w:rsidR="00E14CCE" w:rsidRDefault="00E14CCE" w:rsidP="00E14CCE">
      <w:pPr>
        <w:pStyle w:val="ListParagraph"/>
        <w:numPr>
          <w:ilvl w:val="0"/>
          <w:numId w:val="6"/>
        </w:numPr>
      </w:pPr>
      <w:r>
        <w:t>This may imply that a system that does not tax part of capital gains will be less progressive than it is at face value.</w:t>
      </w:r>
    </w:p>
    <w:p w14:paraId="2BBB42C5" w14:textId="1F9A95A8" w:rsidR="00E14CCE" w:rsidRDefault="00E14CCE" w:rsidP="00E14CCE">
      <w:pPr>
        <w:pStyle w:val="ListParagraph"/>
        <w:numPr>
          <w:ilvl w:val="0"/>
          <w:numId w:val="6"/>
        </w:numPr>
      </w:pPr>
      <w:r>
        <w:t xml:space="preserve">Although this is a compelling argument, we do need to still account for inflation not being income – as inflation is included in </w:t>
      </w:r>
      <w:proofErr w:type="gramStart"/>
      <w:r>
        <w:t>all of</w:t>
      </w:r>
      <w:proofErr w:type="gramEnd"/>
      <w:r>
        <w:t xml:space="preserve"> these figures. Although the vertical equity concerns are valid, it relies on high income earners being able to generate higher rates of return on their assets – which in turn suggests an indexation system would be more vertically equitable without taxing gains that are not income.</w:t>
      </w:r>
    </w:p>
    <w:p w14:paraId="34ECAE18" w14:textId="71762F82" w:rsidR="00E14CCE" w:rsidRDefault="00E14CCE" w:rsidP="00E14CCE">
      <w:pPr>
        <w:pStyle w:val="ListParagraph"/>
        <w:numPr>
          <w:ilvl w:val="0"/>
          <w:numId w:val="6"/>
        </w:numPr>
      </w:pPr>
      <w:r>
        <w:t>The next big concern is leverage – as discussed when talking about negative gearing – is the incentive to over-leverage. In the plot here we show that there are circumstances where the discount generates a positive post-tax rate of return even when the pre-tax rate of return is negative.</w:t>
      </w:r>
    </w:p>
    <w:p w14:paraId="2DCCB92D" w14:textId="3D371642" w:rsidR="00E14CCE" w:rsidRDefault="00E14CCE" w:rsidP="00E14CCE">
      <w:pPr>
        <w:pStyle w:val="ListParagraph"/>
        <w:numPr>
          <w:ilvl w:val="0"/>
          <w:numId w:val="6"/>
        </w:numPr>
      </w:pPr>
      <w:r>
        <w:t xml:space="preserve">We have not mentioned </w:t>
      </w:r>
      <w:r>
        <w:rPr>
          <w:b/>
          <w:bCs/>
        </w:rPr>
        <w:t xml:space="preserve">timing and </w:t>
      </w:r>
      <w:proofErr w:type="gramStart"/>
      <w:r>
        <w:rPr>
          <w:b/>
          <w:bCs/>
        </w:rPr>
        <w:t>lumpiness</w:t>
      </w:r>
      <w:r>
        <w:t>,</w:t>
      </w:r>
      <w:proofErr w:type="gramEnd"/>
      <w:r>
        <w:t xml:space="preserve"> this is because the discount in the prior system was set at a rate that generally accounted for that. The lack of income averaging is more of a concern under the new system</w:t>
      </w:r>
    </w:p>
    <w:p w14:paraId="7717FCD0" w14:textId="77777777" w:rsidR="00E14CCE" w:rsidRDefault="00E14CCE" w:rsidP="00E14CCE"/>
    <w:p w14:paraId="184F3A9D" w14:textId="3E7CDB35" w:rsidR="00E14CCE" w:rsidRDefault="00E14CCE" w:rsidP="00E14CCE">
      <w:pPr>
        <w:rPr>
          <w:i/>
          <w:iCs/>
        </w:rPr>
      </w:pPr>
      <w:r>
        <w:rPr>
          <w:i/>
          <w:iCs/>
        </w:rPr>
        <w:t>Slide 8</w:t>
      </w:r>
    </w:p>
    <w:p w14:paraId="27ED799F" w14:textId="06C75428" w:rsidR="00E14CCE" w:rsidRDefault="00494649" w:rsidP="00E14CCE">
      <w:pPr>
        <w:pStyle w:val="ListParagraph"/>
        <w:numPr>
          <w:ilvl w:val="0"/>
          <w:numId w:val="7"/>
        </w:numPr>
      </w:pPr>
      <w:r>
        <w:t>At face value the CGT reform wouldn’t necessarily lead to more revenue – however it is expected to under reasonable assumptions by Treasury.</w:t>
      </w:r>
    </w:p>
    <w:p w14:paraId="6038ABD8" w14:textId="6F3555EF" w:rsidR="00494649" w:rsidRDefault="00494649" w:rsidP="00E14CCE">
      <w:pPr>
        <w:pStyle w:val="ListParagraph"/>
        <w:numPr>
          <w:ilvl w:val="0"/>
          <w:numId w:val="7"/>
        </w:numPr>
      </w:pPr>
      <w:r>
        <w:t>The first reason is something we show in the appendix – as the new system taxes those with high rates of return at higher rates, the same median tax rate can translate into more total tax revenue.</w:t>
      </w:r>
    </w:p>
    <w:p w14:paraId="5231F92D" w14:textId="378778FA" w:rsidR="00494649" w:rsidRDefault="00494649" w:rsidP="00E14CCE">
      <w:pPr>
        <w:pStyle w:val="ListParagraph"/>
        <w:numPr>
          <w:ilvl w:val="0"/>
          <w:numId w:val="7"/>
        </w:numPr>
      </w:pPr>
      <w:r>
        <w:t>However, there are other drivers of the positive revenue effect:</w:t>
      </w:r>
    </w:p>
    <w:p w14:paraId="16570EB2" w14:textId="4E39F6D2" w:rsidR="00494649" w:rsidRDefault="00494649" w:rsidP="00494649">
      <w:pPr>
        <w:pStyle w:val="ListParagraph"/>
        <w:numPr>
          <w:ilvl w:val="1"/>
          <w:numId w:val="7"/>
        </w:numPr>
      </w:pPr>
      <w:r>
        <w:t xml:space="preserve">Indexation is not applied to capital losses, thereby overtaxing risky/volatile choices and </w:t>
      </w:r>
      <w:proofErr w:type="gramStart"/>
      <w:r>
        <w:t>loss making</w:t>
      </w:r>
      <w:proofErr w:type="gramEnd"/>
      <w:r>
        <w:t xml:space="preserve"> enterprises.</w:t>
      </w:r>
    </w:p>
    <w:p w14:paraId="4E43F5FD" w14:textId="651C1E6B" w:rsidR="00494649" w:rsidRDefault="00494649" w:rsidP="00494649">
      <w:pPr>
        <w:pStyle w:val="ListParagraph"/>
        <w:numPr>
          <w:ilvl w:val="1"/>
          <w:numId w:val="7"/>
        </w:numPr>
      </w:pPr>
      <w:r>
        <w:t xml:space="preserve">The liability is not assessed as if it is earned over time, what is called income averaging. This was not introduced as it was deemed to be complex and there were concerns that people would “strategically time” when they sell an asset – however, income averaging would limit the </w:t>
      </w:r>
      <w:r>
        <w:lastRenderedPageBreak/>
        <w:t>incentive to strategically time, by making the tax payment depend on prior earnings.</w:t>
      </w:r>
    </w:p>
    <w:p w14:paraId="48D59879" w14:textId="7C26283F" w:rsidR="00494649" w:rsidRDefault="00494649" w:rsidP="00494649">
      <w:pPr>
        <w:pStyle w:val="ListParagraph"/>
        <w:numPr>
          <w:ilvl w:val="1"/>
          <w:numId w:val="7"/>
        </w:numPr>
      </w:pPr>
      <w:r>
        <w:t>Minimum tax rates have also been introduced – although these appear more relevant for trusts than for capital gains. In the case of capital gains this is mainly a tax on retirees and those who make small semi-regular gains.</w:t>
      </w:r>
    </w:p>
    <w:p w14:paraId="466EE299" w14:textId="6DF86FDC" w:rsidR="00494649" w:rsidRDefault="00494649" w:rsidP="00494649">
      <w:pPr>
        <w:pStyle w:val="ListParagraph"/>
        <w:numPr>
          <w:ilvl w:val="1"/>
          <w:numId w:val="7"/>
        </w:numPr>
      </w:pPr>
      <w:r>
        <w:t>Finally, the discount may not be generous enough</w:t>
      </w:r>
      <w:r w:rsidR="00832072">
        <w:t xml:space="preserve">. If the purpose of the discount is to provide an allowance for the normal rate of </w:t>
      </w:r>
      <w:proofErr w:type="gramStart"/>
      <w:r w:rsidR="00832072">
        <w:t>return</w:t>
      </w:r>
      <w:proofErr w:type="gramEnd"/>
      <w:r w:rsidR="00832072">
        <w:t xml:space="preserve"> then it would be larger, and expected revenue would be smaller.</w:t>
      </w:r>
    </w:p>
    <w:p w14:paraId="60D61986" w14:textId="23F8D23F" w:rsidR="00832072" w:rsidRDefault="00832072" w:rsidP="00832072">
      <w:pPr>
        <w:pStyle w:val="ListParagraph"/>
        <w:numPr>
          <w:ilvl w:val="0"/>
          <w:numId w:val="7"/>
        </w:numPr>
      </w:pPr>
      <w:r>
        <w:t>Importantly, a fully consistent reform would provide this treatment to other capital income – as highlighted in the Henry review and the UK 2011 review.</w:t>
      </w:r>
    </w:p>
    <w:p w14:paraId="5BC22480" w14:textId="77777777" w:rsidR="00832072" w:rsidRDefault="00832072" w:rsidP="00832072"/>
    <w:p w14:paraId="7B39BD51" w14:textId="0D2E53FD" w:rsidR="00832072" w:rsidRDefault="00832072" w:rsidP="00832072">
      <w:r>
        <w:rPr>
          <w:i/>
          <w:iCs/>
        </w:rPr>
        <w:t>Slide 9</w:t>
      </w:r>
    </w:p>
    <w:p w14:paraId="7BC0211F" w14:textId="0590175A" w:rsidR="00832072" w:rsidRDefault="00832072" w:rsidP="00832072">
      <w:pPr>
        <w:pStyle w:val="ListParagraph"/>
        <w:numPr>
          <w:ilvl w:val="0"/>
          <w:numId w:val="8"/>
        </w:numPr>
      </w:pPr>
      <w:r>
        <w:t>If we take this equivalent treatment of labour and capital income seriously, what are some areas where we might have concerns. The first of these, which has received a lot of attention, is capital mobility.</w:t>
      </w:r>
    </w:p>
    <w:p w14:paraId="3E892C05" w14:textId="5BC0D9C3" w:rsidR="00832072" w:rsidRDefault="00832072" w:rsidP="00832072">
      <w:pPr>
        <w:pStyle w:val="ListParagraph"/>
        <w:numPr>
          <w:ilvl w:val="0"/>
          <w:numId w:val="8"/>
        </w:numPr>
      </w:pPr>
      <w:r>
        <w:t>If someone anticipates a capital gain will be taxed at a higher rate, they may wish to move.</w:t>
      </w:r>
    </w:p>
    <w:p w14:paraId="0925569D" w14:textId="007C1960" w:rsidR="00832072" w:rsidRDefault="00832072" w:rsidP="00832072">
      <w:pPr>
        <w:pStyle w:val="ListParagraph"/>
        <w:numPr>
          <w:ilvl w:val="1"/>
          <w:numId w:val="8"/>
        </w:numPr>
      </w:pPr>
      <w:r>
        <w:t xml:space="preserve">If this is a passive or portfolio </w:t>
      </w:r>
      <w:proofErr w:type="gramStart"/>
      <w:r>
        <w:t>gain</w:t>
      </w:r>
      <w:proofErr w:type="gramEnd"/>
      <w:r>
        <w:t xml:space="preserve"> they can change tax residence, and the gain goes with them. In this case they can avoid Australian tax and pay foreign tax – which may be at a lower rate.</w:t>
      </w:r>
    </w:p>
    <w:p w14:paraId="1E59818C" w14:textId="0CF40E13" w:rsidR="00832072" w:rsidRDefault="00832072" w:rsidP="00832072">
      <w:pPr>
        <w:pStyle w:val="ListParagraph"/>
        <w:numPr>
          <w:ilvl w:val="1"/>
          <w:numId w:val="8"/>
        </w:numPr>
      </w:pPr>
      <w:r>
        <w:t xml:space="preserve">Furthermore, there may be an idea that can be done as easily </w:t>
      </w:r>
      <w:proofErr w:type="gramStart"/>
      <w:r>
        <w:t>off-shore</w:t>
      </w:r>
      <w:proofErr w:type="gramEnd"/>
      <w:r>
        <w:t xml:space="preserve"> as here. Then someone can shift the </w:t>
      </w:r>
      <w:r>
        <w:rPr>
          <w:b/>
          <w:bCs/>
        </w:rPr>
        <w:t>location</w:t>
      </w:r>
      <w:r>
        <w:t xml:space="preserve"> of their enterprise, or where they establish.</w:t>
      </w:r>
    </w:p>
    <w:p w14:paraId="0BE584BF" w14:textId="1960CE45" w:rsidR="00832072" w:rsidRDefault="00832072" w:rsidP="00832072">
      <w:pPr>
        <w:pStyle w:val="ListParagraph"/>
        <w:numPr>
          <w:ilvl w:val="1"/>
          <w:numId w:val="8"/>
        </w:numPr>
      </w:pPr>
      <w:r>
        <w:t xml:space="preserve">Finally, the financing available to firms </w:t>
      </w:r>
      <w:r>
        <w:rPr>
          <w:b/>
          <w:bCs/>
        </w:rPr>
        <w:t>competes on international markets</w:t>
      </w:r>
      <w:r>
        <w:t xml:space="preserve"> – because of this a lender may demand a fixed post-tax rate of return, and hence the incidence of the tax falls on domestic consumers and firms.</w:t>
      </w:r>
    </w:p>
    <w:p w14:paraId="76C8F282" w14:textId="71EFC349" w:rsidR="00832072" w:rsidRDefault="00832072" w:rsidP="00832072">
      <w:pPr>
        <w:pStyle w:val="ListParagraph"/>
        <w:numPr>
          <w:ilvl w:val="1"/>
          <w:numId w:val="8"/>
        </w:numPr>
      </w:pPr>
      <w:r>
        <w:t xml:space="preserve">However, many capital gains </w:t>
      </w:r>
      <w:proofErr w:type="gramStart"/>
      <w:r>
        <w:t>involves</w:t>
      </w:r>
      <w:proofErr w:type="gramEnd"/>
      <w:r>
        <w:t xml:space="preserve"> the use of a </w:t>
      </w:r>
      <w:r>
        <w:rPr>
          <w:b/>
          <w:bCs/>
        </w:rPr>
        <w:t>domestic source of production</w:t>
      </w:r>
      <w:r>
        <w:t>. I.e. Australian networks, Australian markets, and Australian labour. In that case it is less likely that individuals will move.</w:t>
      </w:r>
    </w:p>
    <w:p w14:paraId="74618528" w14:textId="158B5B6E" w:rsidR="00832072" w:rsidRDefault="00832072" w:rsidP="00832072">
      <w:pPr>
        <w:pStyle w:val="ListParagraph"/>
        <w:numPr>
          <w:ilvl w:val="1"/>
          <w:numId w:val="8"/>
        </w:numPr>
      </w:pPr>
      <w:r>
        <w:t xml:space="preserve">When we think about the later, it also highlights that such international competition is not just about capital gains – but also highly skilled workers. If there is a concern, it is with the </w:t>
      </w:r>
      <w:r>
        <w:rPr>
          <w:b/>
          <w:bCs/>
        </w:rPr>
        <w:t>top tax rate</w:t>
      </w:r>
      <w:r>
        <w:t xml:space="preserve"> itself.</w:t>
      </w:r>
    </w:p>
    <w:p w14:paraId="3E4A20F1" w14:textId="3B56EBE9" w:rsidR="00911976" w:rsidRDefault="00911976" w:rsidP="00911976">
      <w:pPr>
        <w:pStyle w:val="ListParagraph"/>
        <w:numPr>
          <w:ilvl w:val="0"/>
          <w:numId w:val="8"/>
        </w:numPr>
      </w:pPr>
      <w:r>
        <w:t xml:space="preserve">All of this assumes that the tax treatment in Australia will be harsher than overseas. However, that does </w:t>
      </w:r>
      <w:proofErr w:type="gramStart"/>
      <w:r>
        <w:t>depends</w:t>
      </w:r>
      <w:proofErr w:type="gramEnd"/>
      <w:r>
        <w:t xml:space="preserve"> on the size of the capital gain – as the 47% is on </w:t>
      </w:r>
      <w:r>
        <w:rPr>
          <w:b/>
          <w:bCs/>
        </w:rPr>
        <w:t>real income</w:t>
      </w:r>
      <w:r>
        <w:t xml:space="preserve"> comparisons to tax rates on nominal income overseas don’t’ fully make sense.</w:t>
      </w:r>
    </w:p>
    <w:p w14:paraId="29AB4518" w14:textId="77777777" w:rsidR="00911976" w:rsidRDefault="00911976" w:rsidP="00911976"/>
    <w:p w14:paraId="5A8845ED" w14:textId="4E680053" w:rsidR="00911976" w:rsidRDefault="00911976" w:rsidP="00911976">
      <w:pPr>
        <w:rPr>
          <w:i/>
          <w:iCs/>
        </w:rPr>
      </w:pPr>
      <w:r>
        <w:rPr>
          <w:i/>
          <w:iCs/>
        </w:rPr>
        <w:lastRenderedPageBreak/>
        <w:t>Slide 10</w:t>
      </w:r>
    </w:p>
    <w:p w14:paraId="0E9AE786" w14:textId="38C43AD3" w:rsidR="00911976" w:rsidRDefault="00911976" w:rsidP="00911976">
      <w:pPr>
        <w:pStyle w:val="ListParagraph"/>
        <w:numPr>
          <w:ilvl w:val="0"/>
          <w:numId w:val="9"/>
        </w:numPr>
      </w:pPr>
      <w:r>
        <w:t>Another area of concern is compliance costs. To list these quickly we have:</w:t>
      </w:r>
    </w:p>
    <w:p w14:paraId="4B3CF278" w14:textId="6A4AA08D" w:rsidR="00911976" w:rsidRDefault="00911976" w:rsidP="00911976">
      <w:pPr>
        <w:pStyle w:val="ListParagraph"/>
        <w:numPr>
          <w:ilvl w:val="1"/>
          <w:numId w:val="9"/>
        </w:numPr>
      </w:pPr>
      <w:r>
        <w:t>Differential rules for types of assets, which will require record keeping and interaction with the tax authority to determine eligibility.</w:t>
      </w:r>
    </w:p>
    <w:p w14:paraId="73043112" w14:textId="7F9C9ADD" w:rsidR="00911976" w:rsidRDefault="00911976" w:rsidP="00911976">
      <w:pPr>
        <w:pStyle w:val="ListParagraph"/>
        <w:numPr>
          <w:ilvl w:val="1"/>
          <w:numId w:val="9"/>
        </w:numPr>
      </w:pPr>
      <w:r>
        <w:t xml:space="preserve">Interactions between trusts and minimum tax rates that can get </w:t>
      </w:r>
      <w:proofErr w:type="gramStart"/>
      <w:r>
        <w:t>fairly complex</w:t>
      </w:r>
      <w:proofErr w:type="gramEnd"/>
      <w:r>
        <w:t>.</w:t>
      </w:r>
    </w:p>
    <w:p w14:paraId="067A59ED" w14:textId="37653A59" w:rsidR="00911976" w:rsidRDefault="00911976" w:rsidP="00911976">
      <w:pPr>
        <w:pStyle w:val="ListParagraph"/>
        <w:numPr>
          <w:ilvl w:val="1"/>
          <w:numId w:val="9"/>
        </w:numPr>
      </w:pPr>
      <w:r>
        <w:t>Costs and difficulty for transitional valuations.</w:t>
      </w:r>
    </w:p>
    <w:p w14:paraId="57931D30" w14:textId="6148369D" w:rsidR="00911976" w:rsidRDefault="00911976" w:rsidP="00911976">
      <w:pPr>
        <w:pStyle w:val="ListParagraph"/>
        <w:numPr>
          <w:ilvl w:val="0"/>
          <w:numId w:val="9"/>
        </w:numPr>
      </w:pPr>
      <w:r>
        <w:t>A final area raised is the taxation of risk.</w:t>
      </w:r>
    </w:p>
    <w:p w14:paraId="5D549995" w14:textId="1FAFD41C" w:rsidR="00911976" w:rsidRDefault="00911976" w:rsidP="00911976">
      <w:pPr>
        <w:pStyle w:val="ListParagraph"/>
        <w:numPr>
          <w:ilvl w:val="1"/>
          <w:numId w:val="9"/>
        </w:numPr>
      </w:pPr>
      <w:r>
        <w:t>It is true that the reform will tax risk that shows up in capital gains more than it was previously – but this is largely about the asymmetric features of the tax, rather than the switch to inflation indexation.</w:t>
      </w:r>
    </w:p>
    <w:p w14:paraId="52844CB0" w14:textId="0A298898" w:rsidR="00911976" w:rsidRDefault="00911976" w:rsidP="00911976">
      <w:pPr>
        <w:pStyle w:val="ListParagraph"/>
        <w:numPr>
          <w:ilvl w:val="1"/>
          <w:numId w:val="9"/>
        </w:numPr>
      </w:pPr>
      <w:r>
        <w:t>If there was a flat tax system with cash payouts for losses, then an income tax does not influence the incentive to take on risk – and with risk averse individual it may encourage risk-taking.</w:t>
      </w:r>
    </w:p>
    <w:p w14:paraId="5727B877" w14:textId="49512BC3" w:rsidR="00911976" w:rsidRDefault="00911976" w:rsidP="00911976">
      <w:pPr>
        <w:pStyle w:val="ListParagraph"/>
        <w:numPr>
          <w:ilvl w:val="1"/>
          <w:numId w:val="9"/>
        </w:numPr>
      </w:pPr>
      <w:r>
        <w:t>The “discount” taxed harshly when things went wrong and “lightly” when things went well – ex-ante it is unclear that this would have been as supportive of risk as the current system.</w:t>
      </w:r>
    </w:p>
    <w:p w14:paraId="48142EB9" w14:textId="364C87CC" w:rsidR="00911976" w:rsidRPr="00911976" w:rsidRDefault="00911976" w:rsidP="00911976">
      <w:pPr>
        <w:pStyle w:val="ListParagraph"/>
        <w:numPr>
          <w:ilvl w:val="1"/>
          <w:numId w:val="9"/>
        </w:numPr>
      </w:pPr>
      <w:r>
        <w:t>People complaining about this discouraging risk are either concerned about asymmetry – or are forgetting that risk entails a downside.</w:t>
      </w:r>
    </w:p>
    <w:sectPr w:rsidR="00911976" w:rsidRPr="0091197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3041"/>
    <w:multiLevelType w:val="hybridMultilevel"/>
    <w:tmpl w:val="E36EA23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86460F"/>
    <w:multiLevelType w:val="hybridMultilevel"/>
    <w:tmpl w:val="02A0F2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1D341A4"/>
    <w:multiLevelType w:val="hybridMultilevel"/>
    <w:tmpl w:val="E9EECFA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77E5739"/>
    <w:multiLevelType w:val="hybridMultilevel"/>
    <w:tmpl w:val="F5460D4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9EB5333"/>
    <w:multiLevelType w:val="hybridMultilevel"/>
    <w:tmpl w:val="340AD2F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D9724F3"/>
    <w:multiLevelType w:val="hybridMultilevel"/>
    <w:tmpl w:val="7C8ED94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3AE0174"/>
    <w:multiLevelType w:val="hybridMultilevel"/>
    <w:tmpl w:val="F56833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5D17C33"/>
    <w:multiLevelType w:val="hybridMultilevel"/>
    <w:tmpl w:val="206C57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6554729"/>
    <w:multiLevelType w:val="hybridMultilevel"/>
    <w:tmpl w:val="81B0BD5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33376948">
    <w:abstractNumId w:val="6"/>
  </w:num>
  <w:num w:numId="2" w16cid:durableId="1954901516">
    <w:abstractNumId w:val="0"/>
  </w:num>
  <w:num w:numId="3" w16cid:durableId="1549533560">
    <w:abstractNumId w:val="1"/>
  </w:num>
  <w:num w:numId="4" w16cid:durableId="1965187089">
    <w:abstractNumId w:val="3"/>
  </w:num>
  <w:num w:numId="5" w16cid:durableId="949778024">
    <w:abstractNumId w:val="8"/>
  </w:num>
  <w:num w:numId="6" w16cid:durableId="1574315902">
    <w:abstractNumId w:val="7"/>
  </w:num>
  <w:num w:numId="7" w16cid:durableId="1884518762">
    <w:abstractNumId w:val="2"/>
  </w:num>
  <w:num w:numId="8" w16cid:durableId="1288002436">
    <w:abstractNumId w:val="4"/>
  </w:num>
  <w:num w:numId="9" w16cid:durableId="11449351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155"/>
    <w:rsid w:val="000603E3"/>
    <w:rsid w:val="00343AB5"/>
    <w:rsid w:val="00494649"/>
    <w:rsid w:val="005621E1"/>
    <w:rsid w:val="00832072"/>
    <w:rsid w:val="00911976"/>
    <w:rsid w:val="00924AE8"/>
    <w:rsid w:val="00A61155"/>
    <w:rsid w:val="00C478A6"/>
    <w:rsid w:val="00E14CCE"/>
    <w:rsid w:val="00F354DC"/>
    <w:rsid w:val="00FD16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7FFE9"/>
  <w15:chartTrackingRefBased/>
  <w15:docId w15:val="{E0449C50-EAA1-4DE9-9B9E-2639B5A35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1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1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1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1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1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1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1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1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1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1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155"/>
    <w:rPr>
      <w:rFonts w:eastAsiaTheme="majorEastAsia" w:cstheme="majorBidi"/>
      <w:color w:val="272727" w:themeColor="text1" w:themeTint="D8"/>
    </w:rPr>
  </w:style>
  <w:style w:type="paragraph" w:styleId="Title">
    <w:name w:val="Title"/>
    <w:basedOn w:val="Normal"/>
    <w:next w:val="Normal"/>
    <w:link w:val="TitleChar"/>
    <w:uiPriority w:val="10"/>
    <w:qFormat/>
    <w:rsid w:val="00A61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155"/>
    <w:pPr>
      <w:spacing w:before="160"/>
      <w:jc w:val="center"/>
    </w:pPr>
    <w:rPr>
      <w:i/>
      <w:iCs/>
      <w:color w:val="404040" w:themeColor="text1" w:themeTint="BF"/>
    </w:rPr>
  </w:style>
  <w:style w:type="character" w:customStyle="1" w:styleId="QuoteChar">
    <w:name w:val="Quote Char"/>
    <w:basedOn w:val="DefaultParagraphFont"/>
    <w:link w:val="Quote"/>
    <w:uiPriority w:val="29"/>
    <w:rsid w:val="00A61155"/>
    <w:rPr>
      <w:i/>
      <w:iCs/>
      <w:color w:val="404040" w:themeColor="text1" w:themeTint="BF"/>
    </w:rPr>
  </w:style>
  <w:style w:type="paragraph" w:styleId="ListParagraph">
    <w:name w:val="List Paragraph"/>
    <w:basedOn w:val="Normal"/>
    <w:uiPriority w:val="34"/>
    <w:qFormat/>
    <w:rsid w:val="00A61155"/>
    <w:pPr>
      <w:ind w:left="720"/>
      <w:contextualSpacing/>
    </w:pPr>
  </w:style>
  <w:style w:type="character" w:styleId="IntenseEmphasis">
    <w:name w:val="Intense Emphasis"/>
    <w:basedOn w:val="DefaultParagraphFont"/>
    <w:uiPriority w:val="21"/>
    <w:qFormat/>
    <w:rsid w:val="00A61155"/>
    <w:rPr>
      <w:i/>
      <w:iCs/>
      <w:color w:val="0F4761" w:themeColor="accent1" w:themeShade="BF"/>
    </w:rPr>
  </w:style>
  <w:style w:type="paragraph" w:styleId="IntenseQuote">
    <w:name w:val="Intense Quote"/>
    <w:basedOn w:val="Normal"/>
    <w:next w:val="Normal"/>
    <w:link w:val="IntenseQuoteChar"/>
    <w:uiPriority w:val="30"/>
    <w:qFormat/>
    <w:rsid w:val="00A611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155"/>
    <w:rPr>
      <w:i/>
      <w:iCs/>
      <w:color w:val="0F4761" w:themeColor="accent1" w:themeShade="BF"/>
    </w:rPr>
  </w:style>
  <w:style w:type="character" w:styleId="IntenseReference">
    <w:name w:val="Intense Reference"/>
    <w:basedOn w:val="DefaultParagraphFont"/>
    <w:uiPriority w:val="32"/>
    <w:qFormat/>
    <w:rsid w:val="00A611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278</TotalTime>
  <Pages>7</Pages>
  <Words>2235</Words>
  <Characters>12741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Nolan</dc:creator>
  <cp:keywords/>
  <dc:description/>
  <cp:lastModifiedBy>Matt Nolan</cp:lastModifiedBy>
  <cp:revision>1</cp:revision>
  <dcterms:created xsi:type="dcterms:W3CDTF">2026-08-04T23:42:00Z</dcterms:created>
  <dcterms:modified xsi:type="dcterms:W3CDTF">2026-08-05T04:20:00Z</dcterms:modified>
</cp:coreProperties>
</file>