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80"/>
      </w:pPr>
    </w:p>
    <w:p>
      <w:pPr>
        <w:spacing w:after="280"/>
        <w:jc w:val="center"/>
      </w:pPr>
      <w:r>
        <w:rPr>
          <w:rFonts w:ascii="Calibri" w:hAnsi="Calibri"/>
          <w:b/>
          <w:color w:val="2E74B5"/>
          <w:sz w:val="20"/>
        </w:rPr>
        <w:t>TECHNICAL ANALYSIS REPORT</w:t>
      </w:r>
    </w:p>
    <w:p>
      <w:pPr>
        <w:spacing w:after="200"/>
        <w:jc w:val="center"/>
      </w:pPr>
      <w:r>
        <w:rPr>
          <w:rFonts w:ascii="Calibri" w:hAnsi="Calibri"/>
          <w:b/>
          <w:color w:val="17365D"/>
          <w:sz w:val="58"/>
        </w:rPr>
        <w:t>Can EM-Driven Vertical Microsaccades</w:t>
        <w:br/>
        <w:t>Account for Up/Down Choices?</w:t>
      </w:r>
    </w:p>
    <w:p>
      <w:pPr>
        <w:spacing w:after="360"/>
        <w:jc w:val="center"/>
      </w:pPr>
      <w:r>
        <w:rPr>
          <w:rFonts w:ascii="Calibri" w:hAnsi="Calibri"/>
          <w:i/>
          <w:color w:val="5B6573"/>
          <w:sz w:val="27"/>
        </w:rPr>
        <w:t>Multilevel evidence from microsaccade generation, session-level bias, trial-level choice, and MS-by-EM interaction models</w:t>
      </w:r>
    </w:p>
    <w:p>
      <w:pPr>
        <w:spacing w:after="440"/>
        <w:jc w:val="center"/>
      </w:pPr>
      <w:r>
        <w:rPr>
          <w:rFonts w:ascii="Calibri" w:hAnsi="Calibri"/>
          <w:b/>
          <w:color w:val="1F4D78"/>
          <w:sz w:val="21"/>
        </w:rPr>
        <w:t>Jim and Clay  |  MT and FST  |  12 ms detector  |  24 July 2026</w:t>
      </w:r>
    </w:p>
    <w:p>
      <w:pPr>
        <w:spacing w:before="80" w:after="160" w:line="259" w:lineRule="auto"/>
        <w:ind w:left="115" w:right="58"/>
        <w:shd w:val="clear" w:fill="EAF2F8"/>
        <w:pBdr>
          <w:left w:val="single" w:sz="20" w:space="6" w:color="2E74B5"/>
        </w:pBdr>
      </w:pPr>
      <w:r>
        <w:rPr>
          <w:rFonts w:ascii="Calibri" w:hAnsi="Calibri"/>
          <w:b/>
          <w:color w:val="17365D"/>
          <w:sz w:val="21"/>
        </w:rPr>
        <w:t xml:space="preserve">Bottom line: </w:t>
      </w:r>
      <w:r>
        <w:rPr>
          <w:rFonts w:ascii="Calibri" w:hAnsi="Calibri"/>
          <w:color w:val="000000"/>
          <w:sz w:val="21"/>
        </w:rPr>
        <w:t>EM-related changes in mean vertical MS displacement covary with EM-related changes in fitted behavioral bias across sessions, most convincingly in MT. However, vertical MS does not robustly predict the monkey's individual up/down choice after session and visual-evidence control, and EM does not reliably change that slope. The current data therefore support vertical MS as a session-level correlate or marker, not as a demonstrated mediator of EM's behavioral effect.</w:t>
      </w:r>
    </w:p>
    <w:p>
      <w:pPr>
        <w:spacing w:before="180"/>
        <w:jc w:val="center"/>
      </w:pPr>
      <w:r>
        <w:rPr>
          <w:rFonts w:ascii="Calibri" w:hAnsi="Calibri"/>
          <w:color w:val="5B6573"/>
          <w:sz w:val="19"/>
        </w:rPr>
        <w:t>Primary trial-level sample: 253 sessions and 77,742 trials containing at least one MS</w:t>
      </w:r>
    </w:p>
    <w:p>
      <w:r>
        <w:br w:type="page"/>
      </w:r>
    </w:p>
    <w:p>
      <w:pPr>
        <w:pStyle w:val="Heading1"/>
        <w:keepNext/>
      </w:pPr>
      <w:r>
        <w:t>1. Executive conclusion</w:t>
      </w:r>
    </w:p>
    <w:p>
      <w:pPr/>
      <w:r>
        <w:rPr>
          <w:rFonts w:ascii="Calibri" w:hAnsi="Calibri"/>
          <w:color w:val="000000"/>
          <w:sz w:val="21"/>
        </w:rPr>
        <w:t>The biological question is a mediation question: did EM alter vertical microsaccades, and did those EM-driven MS changes in turn produce the up/down choice bias? Because the choice targets are vertical, MS_y - the signed vertical displacement, positive upward - is the primary oculomotor variable. Three links are needed for a persuasive account.</w:t>
      </w:r>
    </w:p>
    <w:tbl>
      <w:tblPr>
        <w:tblStyle w:val="TableGrid"/>
        <w:tblW w:type="dxa" w:w="9360"/>
        <w:jc w:val="left"/>
        <w:tblLayout w:type="fixed"/>
        <w:tblLook w:firstColumn="1" w:firstRow="1" w:lastColumn="0" w:lastRow="0" w:noHBand="0" w:noVBand="1" w:val="04A0"/>
        <w:tblInd w:type="dxa" w:w="120"/>
      </w:tblPr>
      <w:tblGrid>
        <w:gridCol w:w="1550"/>
        <w:gridCol w:w="2450"/>
        <w:gridCol w:w="3650"/>
        <w:gridCol w:w="1710"/>
      </w:tblGrid>
      <w:tr>
        <w:trPr>
          <w:tblHeader w:val="true"/>
        </w:trPr>
        <w:tc>
          <w:tcPr>
            <w:tcW w:type="dxa" w:w="1550"/>
            <w:vAlign w:val="center"/>
            <w:shd w:fill="F2F4F7" w:val="clear"/>
            <w:tcMar>
              <w:top w:w="90" w:type="dxa"/>
              <w:bottom w:w="90" w:type="dxa"/>
              <w:start w:w="120" w:type="dxa"/>
              <w:end w:w="120" w:type="dxa"/>
            </w:tcMar>
          </w:tcPr>
          <w:p>
            <w:pPr>
              <w:spacing w:before="0" w:after="0" w:line="252" w:lineRule="auto"/>
              <w:jc w:val="left"/>
            </w:pPr>
            <w:r/>
            <w:r>
              <w:rPr>
                <w:rFonts w:ascii="Calibri" w:hAnsi="Calibri"/>
                <w:b/>
                <w:color w:val="17365D"/>
                <w:sz w:val="16"/>
              </w:rPr>
              <w:t>Claim</w:t>
            </w:r>
          </w:p>
        </w:tc>
        <w:tc>
          <w:tcPr>
            <w:tcW w:type="dxa" w:w="2450"/>
            <w:vAlign w:val="center"/>
            <w:shd w:fill="F2F4F7" w:val="clear"/>
            <w:tcMar>
              <w:top w:w="90" w:type="dxa"/>
              <w:bottom w:w="90" w:type="dxa"/>
              <w:start w:w="120" w:type="dxa"/>
              <w:end w:w="120" w:type="dxa"/>
            </w:tcMar>
          </w:tcPr>
          <w:p>
            <w:pPr>
              <w:spacing w:before="0" w:after="0" w:line="252" w:lineRule="auto"/>
              <w:jc w:val="left"/>
            </w:pPr>
            <w:r/>
            <w:r>
              <w:rPr>
                <w:rFonts w:ascii="Calibri" w:hAnsi="Calibri"/>
                <w:b/>
                <w:color w:val="17365D"/>
                <w:sz w:val="16"/>
              </w:rPr>
              <w:t>Required evidence</w:t>
            </w:r>
          </w:p>
        </w:tc>
        <w:tc>
          <w:tcPr>
            <w:tcW w:type="dxa" w:w="3650"/>
            <w:vAlign w:val="center"/>
            <w:shd w:fill="F2F4F7" w:val="clear"/>
            <w:tcMar>
              <w:top w:w="90" w:type="dxa"/>
              <w:bottom w:w="90" w:type="dxa"/>
              <w:start w:w="120" w:type="dxa"/>
              <w:end w:w="120" w:type="dxa"/>
            </w:tcMar>
          </w:tcPr>
          <w:p>
            <w:pPr>
              <w:spacing w:before="0" w:after="0" w:line="252" w:lineRule="auto"/>
              <w:jc w:val="left"/>
            </w:pPr>
            <w:r/>
            <w:r>
              <w:rPr>
                <w:rFonts w:ascii="Calibri" w:hAnsi="Calibri"/>
                <w:b/>
                <w:color w:val="17365D"/>
                <w:sz w:val="16"/>
              </w:rPr>
              <w:t>Observed evidence</w:t>
            </w:r>
          </w:p>
        </w:tc>
        <w:tc>
          <w:tcPr>
            <w:tcW w:type="dxa" w:w="171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6"/>
              </w:rPr>
              <w:t>Verdict</w:t>
            </w:r>
          </w:p>
        </w:tc>
      </w:tr>
      <w:tr>
        <w:trPr/>
        <w:tc>
          <w:tcPr>
            <w:tcW w:type="dxa" w:w="15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A. EM -&gt; MS_y</w:t>
            </w:r>
          </w:p>
        </w:tc>
        <w:tc>
          <w:tcPr>
            <w:tcW w:type="dxa" w:w="24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EM must reproducibly move the vertical-MS distribution.</w:t>
            </w:r>
          </w:p>
        </w:tc>
        <w:tc>
          <w:tcPr>
            <w:tcW w:type="dxa" w:w="36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Group means changed only slightly and in mixed directions; no common vertical shift.</w:t>
            </w:r>
          </w:p>
        </w:tc>
        <w:tc>
          <w:tcPr>
            <w:tcW w:type="dxa" w:w="17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Weak / heterogeneous</w:t>
            </w:r>
          </w:p>
        </w:tc>
      </w:tr>
      <w:tr>
        <w:trPr/>
        <w:tc>
          <w:tcPr>
            <w:tcW w:type="dxa" w:w="15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B. DeltaMS_y -&gt; DeltaBias</w:t>
            </w:r>
          </w:p>
        </w:tc>
        <w:tc>
          <w:tcPr>
            <w:tcW w:type="dxa" w:w="24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Sessions with upward/downward MS changes should show matching behavioral-bias changes.</w:t>
            </w:r>
          </w:p>
        </w:tc>
        <w:tc>
          <w:tcPr>
            <w:tcW w:type="dxa" w:w="36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Sign concordance: MT 69.2%, FST 65.2%; FDR-significant. Magnitude slope positive only in MT.</w:t>
            </w:r>
          </w:p>
        </w:tc>
        <w:tc>
          <w:tcPr>
            <w:tcW w:type="dxa" w:w="171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Supportive at session level</w:t>
            </w:r>
          </w:p>
        </w:tc>
      </w:tr>
      <w:tr>
        <w:trPr/>
        <w:tc>
          <w:tcPr>
            <w:tcW w:type="dxa" w:w="15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C. MS_y -&gt; trial choice</w:t>
            </w:r>
          </w:p>
        </w:tc>
        <w:tc>
          <w:tcPr>
            <w:tcW w:type="dxa" w:w="24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Within a session, vertical MS direction should predict the later binary choice.</w:t>
            </w:r>
          </w:p>
        </w:tc>
        <w:tc>
          <w:tcPr>
            <w:tcW w:type="dxa" w:w="36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No adjusted group slope or joint MS effect survived correction; no session fit survived Holm.</w:t>
            </w:r>
          </w:p>
        </w:tc>
        <w:tc>
          <w:tcPr>
            <w:tcW w:type="dxa" w:w="17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Not supported</w:t>
            </w:r>
          </w:p>
        </w:tc>
      </w:tr>
      <w:tr>
        <w:trPr/>
        <w:tc>
          <w:tcPr>
            <w:tcW w:type="dxa" w:w="15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D. EM x MS_y</w:t>
            </w:r>
          </w:p>
        </w:tc>
        <w:tc>
          <w:tcPr>
            <w:tcW w:type="dxa" w:w="24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If EM changes MS-choice coupling, the interaction should differ from zero.</w:t>
            </w:r>
          </w:p>
        </w:tc>
        <w:tc>
          <w:tcPr>
            <w:tcW w:type="dxa" w:w="36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All vertical and 2-D interactions were nonsignificant after correction.</w:t>
            </w:r>
          </w:p>
        </w:tc>
        <w:tc>
          <w:tcPr>
            <w:tcW w:type="dxa" w:w="171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Not supported</w:t>
            </w:r>
          </w:p>
        </w:tc>
      </w:tr>
      <w:tr>
        <w:trPr/>
        <w:tc>
          <w:tcPr>
            <w:tcW w:type="dxa" w:w="15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Overall mediation</w:t>
            </w:r>
          </w:p>
        </w:tc>
        <w:tc>
          <w:tcPr>
            <w:tcW w:type="dxa" w:w="24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A formal indirect EM -&gt; MS_y -&gt; choice effect should be estimable and nonzero.</w:t>
            </w:r>
          </w:p>
        </w:tc>
        <w:tc>
          <w:tcPr>
            <w:tcW w:type="dxa" w:w="36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No formal multilevel mediation was fit; the necessary trial-level b-path is not established.</w:t>
            </w:r>
          </w:p>
        </w:tc>
        <w:tc>
          <w:tcPr>
            <w:tcW w:type="dxa" w:w="17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Not established</w:t>
            </w:r>
          </w:p>
        </w:tc>
      </w:tr>
    </w:tbl>
    <w:p>
      <w:pPr>
        <w:spacing w:before="0" w:after="60"/>
      </w:pPr>
    </w:p>
    <w:p>
      <w:pPr>
        <w:spacing w:before="80" w:after="160" w:line="259" w:lineRule="auto"/>
        <w:ind w:left="115" w:right="58"/>
        <w:shd w:val="clear" w:fill="FFF7E6"/>
        <w:pBdr>
          <w:left w:val="single" w:sz="20" w:space="6" w:color="C58B00"/>
        </w:pBdr>
      </w:pPr>
      <w:r>
        <w:rPr>
          <w:rFonts w:ascii="Calibri" w:hAnsi="Calibri"/>
          <w:b/>
          <w:color w:val="17365D"/>
          <w:sz w:val="21"/>
        </w:rPr>
        <w:t xml:space="preserve">Important distinction: </w:t>
      </w:r>
      <w:r>
        <w:rPr>
          <w:rFonts w:ascii="Calibri" w:hAnsi="Calibri"/>
          <w:color w:val="000000"/>
          <w:sz w:val="21"/>
        </w:rPr>
        <w:t>The absence of an MS_y-by-EM interaction does not by itself rule out mediation; mediation can occur with a common MS_y slope in both conditions. Here, the more consequential result is that the adjusted within-session MS_y-to-choice slope itself is not reliably different from zero.</w:t>
      </w:r>
    </w:p>
    <w:p>
      <w:pPr>
        <w:pStyle w:val="Heading1"/>
        <w:keepNext/>
      </w:pPr>
      <w:r>
        <w:t>2. Data and preprocessing</w:t>
      </w:r>
    </w:p>
    <w:p>
      <w:pPr>
        <w:pStyle w:val="Heading2"/>
        <w:keepNext/>
      </w:pPr>
      <w:r>
        <w:t>2.1 Behavioral and oculomotor definitions</w:t>
      </w:r>
    </w:p>
    <w:p>
      <w:pPr/>
      <w:r>
        <w:rPr>
          <w:rFonts w:ascii="Calibri" w:hAnsi="Calibri"/>
          <w:color w:val="000000"/>
          <w:sz w:val="21"/>
        </w:rPr>
        <w:t>Choice was the decoded binary response (0/1) for the monkey's two vertical choice targets. The models estimate P(Choice = 1); the sign of a coefficient should be translated to 'up' or 'down' only after confirming the task's response-code mapping. MS_y is signed vertical eye displacement in degrees, with positive values defined as upward.</w:t>
      </w:r>
    </w:p>
    <w:p>
      <w:pPr/>
      <w:r>
        <w:rPr>
          <w:rFonts w:ascii="Calibri" w:hAnsi="Calibri"/>
          <w:color w:val="000000"/>
          <w:sz w:val="21"/>
        </w:rPr>
        <w:t>Microsaccades were detected only during the visual-stimulus interval from event ID 118 to event ID 130, before the instructed choice saccade. The completed population batch used a 12 ms minimum duration, no smoothing, and the merged/unmatched-eye detector. For a trial with multiple MS events, event displacement vectors were averaged within that trial.</w:t>
      </w:r>
    </w:p>
    <w:p>
      <w:r>
        <w:br w:type="page"/>
      </w:r>
    </w:p>
    <w:p>
      <w:pPr>
        <w:pStyle w:val="Heading2"/>
        <w:keepNext/>
      </w:pPr>
      <w:r>
        <w:t>2.2 Analysis samples</w:t>
      </w:r>
    </w:p>
    <w:tbl>
      <w:tblPr>
        <w:tblStyle w:val="TableGrid"/>
        <w:tblW w:type="dxa" w:w="9360"/>
        <w:jc w:val="left"/>
        <w:tblLayout w:type="fixed"/>
        <w:tblLook w:firstColumn="1" w:firstRow="1" w:lastColumn="0" w:lastRow="0" w:noHBand="0" w:noVBand="1" w:val="04A0"/>
        <w:tblInd w:type="dxa" w:w="120"/>
      </w:tblPr>
      <w:tblGrid>
        <w:gridCol w:w="2100"/>
        <w:gridCol w:w="1300"/>
        <w:gridCol w:w="1950"/>
        <w:gridCol w:w="1950"/>
        <w:gridCol w:w="2060"/>
      </w:tblGrid>
      <w:tr>
        <w:trPr>
          <w:tblHeader w:val="true"/>
        </w:trPr>
        <w:tc>
          <w:tcPr>
            <w:tcW w:type="dxa" w:w="2100"/>
            <w:vAlign w:val="center"/>
            <w:shd w:fill="F2F4F7" w:val="clear"/>
            <w:tcMar>
              <w:top w:w="90" w:type="dxa"/>
              <w:bottom w:w="90" w:type="dxa"/>
              <w:start w:w="120" w:type="dxa"/>
              <w:end w:w="120" w:type="dxa"/>
            </w:tcMar>
          </w:tcPr>
          <w:p>
            <w:pPr>
              <w:spacing w:before="0" w:after="0" w:line="252" w:lineRule="auto"/>
              <w:jc w:val="left"/>
            </w:pPr>
            <w:r/>
            <w:r>
              <w:rPr>
                <w:rFonts w:ascii="Calibri" w:hAnsi="Calibri"/>
                <w:b/>
                <w:color w:val="17365D"/>
                <w:sz w:val="17"/>
              </w:rPr>
              <w:t>Monkey-area</w:t>
            </w:r>
          </w:p>
        </w:tc>
        <w:tc>
          <w:tcPr>
            <w:tcW w:type="dxa" w:w="13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7"/>
              </w:rPr>
              <w:t>Sessions</w:t>
            </w:r>
          </w:p>
        </w:tc>
        <w:tc>
          <w:tcPr>
            <w:tcW w:type="dxa" w:w="1950"/>
            <w:vAlign w:val="center"/>
            <w:shd w:fill="F2F4F7" w:val="clear"/>
            <w:tcMar>
              <w:top w:w="90" w:type="dxa"/>
              <w:bottom w:w="90" w:type="dxa"/>
              <w:start w:w="120" w:type="dxa"/>
              <w:end w:w="120" w:type="dxa"/>
            </w:tcMar>
          </w:tcPr>
          <w:p>
            <w:pPr>
              <w:spacing w:before="0" w:after="0" w:line="252" w:lineRule="auto"/>
              <w:jc w:val="right"/>
            </w:pPr>
            <w:r/>
            <w:r>
              <w:rPr>
                <w:rFonts w:ascii="Calibri" w:hAnsi="Calibri"/>
                <w:b/>
                <w:color w:val="17365D"/>
                <w:sz w:val="17"/>
              </w:rPr>
              <w:t>MS trials</w:t>
            </w:r>
          </w:p>
        </w:tc>
        <w:tc>
          <w:tcPr>
            <w:tcW w:type="dxa" w:w="1950"/>
            <w:vAlign w:val="center"/>
            <w:shd w:fill="F2F4F7" w:val="clear"/>
            <w:tcMar>
              <w:top w:w="90" w:type="dxa"/>
              <w:bottom w:w="90" w:type="dxa"/>
              <w:start w:w="120" w:type="dxa"/>
              <w:end w:w="120" w:type="dxa"/>
            </w:tcMar>
          </w:tcPr>
          <w:p>
            <w:pPr>
              <w:spacing w:before="0" w:after="0" w:line="252" w:lineRule="auto"/>
              <w:jc w:val="right"/>
            </w:pPr>
            <w:r/>
            <w:r>
              <w:rPr>
                <w:rFonts w:ascii="Calibri" w:hAnsi="Calibri"/>
                <w:b/>
                <w:color w:val="17365D"/>
                <w:sz w:val="17"/>
              </w:rPr>
              <w:t>NonStim</w:t>
            </w:r>
          </w:p>
        </w:tc>
        <w:tc>
          <w:tcPr>
            <w:tcW w:type="dxa" w:w="2060"/>
            <w:vAlign w:val="center"/>
            <w:shd w:fill="F2F4F7" w:val="clear"/>
            <w:tcMar>
              <w:top w:w="90" w:type="dxa"/>
              <w:bottom w:w="90" w:type="dxa"/>
              <w:start w:w="120" w:type="dxa"/>
              <w:end w:w="120" w:type="dxa"/>
            </w:tcMar>
          </w:tcPr>
          <w:p>
            <w:pPr>
              <w:spacing w:before="0" w:after="0" w:line="252" w:lineRule="auto"/>
              <w:jc w:val="right"/>
            </w:pPr>
            <w:r/>
            <w:r>
              <w:rPr>
                <w:rFonts w:ascii="Calibri" w:hAnsi="Calibri"/>
                <w:b/>
                <w:color w:val="17365D"/>
                <w:sz w:val="17"/>
              </w:rPr>
              <w:t>Stim</w:t>
            </w:r>
          </w:p>
        </w:tc>
      </w:tr>
      <w:tr>
        <w:trPr/>
        <w:tc>
          <w:tcPr>
            <w:tcW w:type="dxa" w:w="210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7"/>
              </w:rPr>
              <w:t>Jim-MT</w:t>
            </w:r>
          </w:p>
        </w:tc>
        <w:tc>
          <w:tcPr>
            <w:tcW w:type="dxa" w:w="13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56</w:t>
            </w:r>
          </w:p>
        </w:tc>
        <w:tc>
          <w:tcPr>
            <w:tcW w:type="dxa" w:w="195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7"/>
              </w:rPr>
              <w:t>13,346</w:t>
            </w:r>
          </w:p>
        </w:tc>
        <w:tc>
          <w:tcPr>
            <w:tcW w:type="dxa" w:w="195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7"/>
              </w:rPr>
              <w:t>6,601</w:t>
            </w:r>
          </w:p>
        </w:tc>
        <w:tc>
          <w:tcPr>
            <w:tcW w:type="dxa" w:w="206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7"/>
              </w:rPr>
              <w:t>6,745</w:t>
            </w:r>
          </w:p>
        </w:tc>
      </w:tr>
      <w:tr>
        <w:trPr/>
        <w:tc>
          <w:tcPr>
            <w:tcW w:type="dxa" w:w="210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7"/>
              </w:rPr>
              <w:t>Jim-FST</w:t>
            </w:r>
          </w:p>
        </w:tc>
        <w:tc>
          <w:tcPr>
            <w:tcW w:type="dxa" w:w="13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94</w:t>
            </w:r>
          </w:p>
        </w:tc>
        <w:tc>
          <w:tcPr>
            <w:tcW w:type="dxa" w:w="1950"/>
            <w:vAlign w:val="center"/>
            <w:shd w:fill="FAFBFC" w:val="clear"/>
            <w:tcMar>
              <w:top w:w="90" w:type="dxa"/>
              <w:bottom w:w="90" w:type="dxa"/>
              <w:start w:w="120" w:type="dxa"/>
              <w:end w:w="120" w:type="dxa"/>
            </w:tcMar>
          </w:tcPr>
          <w:p>
            <w:pPr>
              <w:spacing w:before="0" w:after="0" w:line="252" w:lineRule="auto"/>
              <w:jc w:val="right"/>
            </w:pPr>
            <w:r/>
            <w:r>
              <w:rPr>
                <w:rFonts w:ascii="Calibri" w:hAnsi="Calibri"/>
                <w:b w:val="0"/>
                <w:color w:val="000000"/>
                <w:sz w:val="17"/>
              </w:rPr>
              <w:t>18,144</w:t>
            </w:r>
          </w:p>
        </w:tc>
        <w:tc>
          <w:tcPr>
            <w:tcW w:type="dxa" w:w="1950"/>
            <w:vAlign w:val="center"/>
            <w:shd w:fill="FAFBFC" w:val="clear"/>
            <w:tcMar>
              <w:top w:w="90" w:type="dxa"/>
              <w:bottom w:w="90" w:type="dxa"/>
              <w:start w:w="120" w:type="dxa"/>
              <w:end w:w="120" w:type="dxa"/>
            </w:tcMar>
          </w:tcPr>
          <w:p>
            <w:pPr>
              <w:spacing w:before="0" w:after="0" w:line="252" w:lineRule="auto"/>
              <w:jc w:val="right"/>
            </w:pPr>
            <w:r/>
            <w:r>
              <w:rPr>
                <w:rFonts w:ascii="Calibri" w:hAnsi="Calibri"/>
                <w:b w:val="0"/>
                <w:color w:val="000000"/>
                <w:sz w:val="17"/>
              </w:rPr>
              <w:t>8,965</w:t>
            </w:r>
          </w:p>
        </w:tc>
        <w:tc>
          <w:tcPr>
            <w:tcW w:type="dxa" w:w="2060"/>
            <w:vAlign w:val="center"/>
            <w:shd w:fill="FAFBFC" w:val="clear"/>
            <w:tcMar>
              <w:top w:w="90" w:type="dxa"/>
              <w:bottom w:w="90" w:type="dxa"/>
              <w:start w:w="120" w:type="dxa"/>
              <w:end w:w="120" w:type="dxa"/>
            </w:tcMar>
          </w:tcPr>
          <w:p>
            <w:pPr>
              <w:spacing w:before="0" w:after="0" w:line="252" w:lineRule="auto"/>
              <w:jc w:val="right"/>
            </w:pPr>
            <w:r/>
            <w:r>
              <w:rPr>
                <w:rFonts w:ascii="Calibri" w:hAnsi="Calibri"/>
                <w:b w:val="0"/>
                <w:color w:val="000000"/>
                <w:sz w:val="17"/>
              </w:rPr>
              <w:t>9,179</w:t>
            </w:r>
          </w:p>
        </w:tc>
      </w:tr>
      <w:tr>
        <w:trPr/>
        <w:tc>
          <w:tcPr>
            <w:tcW w:type="dxa" w:w="210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7"/>
              </w:rPr>
              <w:t>Clay-MT</w:t>
            </w:r>
          </w:p>
        </w:tc>
        <w:tc>
          <w:tcPr>
            <w:tcW w:type="dxa" w:w="13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38</w:t>
            </w:r>
          </w:p>
        </w:tc>
        <w:tc>
          <w:tcPr>
            <w:tcW w:type="dxa" w:w="195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7"/>
              </w:rPr>
              <w:t>16,462</w:t>
            </w:r>
          </w:p>
        </w:tc>
        <w:tc>
          <w:tcPr>
            <w:tcW w:type="dxa" w:w="195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7"/>
              </w:rPr>
              <w:t>8,384</w:t>
            </w:r>
          </w:p>
        </w:tc>
        <w:tc>
          <w:tcPr>
            <w:tcW w:type="dxa" w:w="206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7"/>
              </w:rPr>
              <w:t>8,078</w:t>
            </w:r>
          </w:p>
        </w:tc>
      </w:tr>
      <w:tr>
        <w:trPr/>
        <w:tc>
          <w:tcPr>
            <w:tcW w:type="dxa" w:w="210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7"/>
              </w:rPr>
              <w:t>Clay-FST</w:t>
            </w:r>
          </w:p>
        </w:tc>
        <w:tc>
          <w:tcPr>
            <w:tcW w:type="dxa" w:w="13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65</w:t>
            </w:r>
          </w:p>
        </w:tc>
        <w:tc>
          <w:tcPr>
            <w:tcW w:type="dxa" w:w="1950"/>
            <w:vAlign w:val="center"/>
            <w:shd w:fill="FAFBFC" w:val="clear"/>
            <w:tcMar>
              <w:top w:w="90" w:type="dxa"/>
              <w:bottom w:w="90" w:type="dxa"/>
              <w:start w:w="120" w:type="dxa"/>
              <w:end w:w="120" w:type="dxa"/>
            </w:tcMar>
          </w:tcPr>
          <w:p>
            <w:pPr>
              <w:spacing w:before="0" w:after="0" w:line="252" w:lineRule="auto"/>
              <w:jc w:val="right"/>
            </w:pPr>
            <w:r/>
            <w:r>
              <w:rPr>
                <w:rFonts w:ascii="Calibri" w:hAnsi="Calibri"/>
                <w:b w:val="0"/>
                <w:color w:val="000000"/>
                <w:sz w:val="17"/>
              </w:rPr>
              <w:t>29,790</w:t>
            </w:r>
          </w:p>
        </w:tc>
        <w:tc>
          <w:tcPr>
            <w:tcW w:type="dxa" w:w="1950"/>
            <w:vAlign w:val="center"/>
            <w:shd w:fill="FAFBFC" w:val="clear"/>
            <w:tcMar>
              <w:top w:w="90" w:type="dxa"/>
              <w:bottom w:w="90" w:type="dxa"/>
              <w:start w:w="120" w:type="dxa"/>
              <w:end w:w="120" w:type="dxa"/>
            </w:tcMar>
          </w:tcPr>
          <w:p>
            <w:pPr>
              <w:spacing w:before="0" w:after="0" w:line="252" w:lineRule="auto"/>
              <w:jc w:val="right"/>
            </w:pPr>
            <w:r/>
            <w:r>
              <w:rPr>
                <w:rFonts w:ascii="Calibri" w:hAnsi="Calibri"/>
                <w:b w:val="0"/>
                <w:color w:val="000000"/>
                <w:sz w:val="17"/>
              </w:rPr>
              <w:t>15,211</w:t>
            </w:r>
          </w:p>
        </w:tc>
        <w:tc>
          <w:tcPr>
            <w:tcW w:type="dxa" w:w="2060"/>
            <w:vAlign w:val="center"/>
            <w:shd w:fill="FAFBFC" w:val="clear"/>
            <w:tcMar>
              <w:top w:w="90" w:type="dxa"/>
              <w:bottom w:w="90" w:type="dxa"/>
              <w:start w:w="120" w:type="dxa"/>
              <w:end w:w="120" w:type="dxa"/>
            </w:tcMar>
          </w:tcPr>
          <w:p>
            <w:pPr>
              <w:spacing w:before="0" w:after="0" w:line="252" w:lineRule="auto"/>
              <w:jc w:val="right"/>
            </w:pPr>
            <w:r/>
            <w:r>
              <w:rPr>
                <w:rFonts w:ascii="Calibri" w:hAnsi="Calibri"/>
                <w:b w:val="0"/>
                <w:color w:val="000000"/>
                <w:sz w:val="17"/>
              </w:rPr>
              <w:t>14,579</w:t>
            </w:r>
          </w:p>
        </w:tc>
      </w:tr>
      <w:tr>
        <w:trPr/>
        <w:tc>
          <w:tcPr>
            <w:tcW w:type="dxa" w:w="210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7"/>
              </w:rPr>
              <w:t>Total</w:t>
            </w:r>
          </w:p>
        </w:tc>
        <w:tc>
          <w:tcPr>
            <w:tcW w:type="dxa" w:w="13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253</w:t>
            </w:r>
          </w:p>
        </w:tc>
        <w:tc>
          <w:tcPr>
            <w:tcW w:type="dxa" w:w="195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7"/>
              </w:rPr>
              <w:t>77,742</w:t>
            </w:r>
          </w:p>
        </w:tc>
        <w:tc>
          <w:tcPr>
            <w:tcW w:type="dxa" w:w="195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7"/>
              </w:rPr>
              <w:t>39,161</w:t>
            </w:r>
          </w:p>
        </w:tc>
        <w:tc>
          <w:tcPr>
            <w:tcW w:type="dxa" w:w="206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7"/>
              </w:rPr>
              <w:t>38,581</w:t>
            </w:r>
          </w:p>
        </w:tc>
      </w:tr>
    </w:tbl>
    <w:p>
      <w:pPr>
        <w:spacing w:before="0" w:after="60"/>
      </w:pPr>
    </w:p>
    <w:p>
      <w:pPr>
        <w:pStyle w:val="SourceNote"/>
      </w:pPr>
      <w:r>
        <w:t>Source: grouped_ms_choice_summary.csv. The trialwise session analysis attempted 254 sessions; 246 met all per-session fitting criteria. The grouped table contains 253 sessions with usable pooled trial rows.</w:t>
      </w:r>
    </w:p>
    <w:p>
      <w:pPr/>
      <w:r>
        <w:rPr>
          <w:rFonts w:ascii="Calibri" w:hAnsi="Calibri"/>
          <w:color w:val="000000"/>
          <w:sz w:val="21"/>
        </w:rPr>
        <w:t>Trial-level models were conditional on observing at least one MS. This is appropriate for asking whether the direction of an observed MS predicts choice, but it does not estimate behavioral pathways through EM-induced changes in the probability of having an MS.</w:t>
      </w:r>
    </w:p>
    <w:p>
      <w:pPr>
        <w:pStyle w:val="Heading1"/>
        <w:keepNext/>
      </w:pPr>
      <w:r>
        <w:t>3. Statistical models</w:t>
      </w:r>
    </w:p>
    <w:p>
      <w:pPr/>
      <w:r>
        <w:rPr>
          <w:rFonts w:ascii="Calibri" w:hAnsi="Calibri"/>
          <w:color w:val="000000"/>
          <w:sz w:val="21"/>
        </w:rPr>
        <w:t>The repository contains complementary models at three levels. They answer different questions and should not be treated as interchangeable.</w:t>
      </w:r>
    </w:p>
    <w:tbl>
      <w:tblPr>
        <w:tblStyle w:val="TableGrid"/>
        <w:tblW w:type="dxa" w:w="9360"/>
        <w:jc w:val="left"/>
        <w:tblLayout w:type="fixed"/>
        <w:tblLook w:firstColumn="1" w:firstRow="1" w:lastColumn="0" w:lastRow="0" w:noHBand="0" w:noVBand="1" w:val="04A0"/>
        <w:tblInd w:type="dxa" w:w="120"/>
      </w:tblPr>
      <w:tblGrid>
        <w:gridCol w:w="1800"/>
        <w:gridCol w:w="1200"/>
        <w:gridCol w:w="3550"/>
        <w:gridCol w:w="2810"/>
      </w:tblGrid>
      <w:tr>
        <w:trPr>
          <w:tblHeader w:val="true"/>
        </w:trPr>
        <w:tc>
          <w:tcPr>
            <w:tcW w:type="dxa" w:w="1800"/>
            <w:vAlign w:val="center"/>
            <w:shd w:fill="F2F4F7" w:val="clear"/>
            <w:tcMar>
              <w:top w:w="90" w:type="dxa"/>
              <w:bottom w:w="90" w:type="dxa"/>
              <w:start w:w="120" w:type="dxa"/>
              <w:end w:w="120" w:type="dxa"/>
            </w:tcMar>
          </w:tcPr>
          <w:p>
            <w:pPr>
              <w:spacing w:before="0" w:after="0" w:line="252" w:lineRule="auto"/>
            </w:pPr>
            <w:r/>
            <w:r>
              <w:rPr>
                <w:rFonts w:ascii="Calibri" w:hAnsi="Calibri"/>
                <w:b/>
                <w:color w:val="17365D"/>
                <w:sz w:val="15"/>
              </w:rPr>
              <w:t>Model</w:t>
            </w:r>
          </w:p>
        </w:tc>
        <w:tc>
          <w:tcPr>
            <w:tcW w:type="dxa" w:w="1200"/>
            <w:vAlign w:val="center"/>
            <w:shd w:fill="F2F4F7" w:val="clear"/>
            <w:tcMar>
              <w:top w:w="90" w:type="dxa"/>
              <w:bottom w:w="90" w:type="dxa"/>
              <w:start w:w="120" w:type="dxa"/>
              <w:end w:w="120" w:type="dxa"/>
            </w:tcMar>
          </w:tcPr>
          <w:p>
            <w:pPr>
              <w:spacing w:before="0" w:after="0" w:line="252" w:lineRule="auto"/>
            </w:pPr>
            <w:r/>
            <w:r>
              <w:rPr>
                <w:rFonts w:ascii="Calibri" w:hAnsi="Calibri"/>
                <w:b/>
                <w:color w:val="17365D"/>
                <w:sz w:val="15"/>
              </w:rPr>
              <w:t>Unit</w:t>
            </w:r>
          </w:p>
        </w:tc>
        <w:tc>
          <w:tcPr>
            <w:tcW w:type="dxa" w:w="3550"/>
            <w:vAlign w:val="center"/>
            <w:shd w:fill="F2F4F7" w:val="clear"/>
            <w:tcMar>
              <w:top w:w="90" w:type="dxa"/>
              <w:bottom w:w="90" w:type="dxa"/>
              <w:start w:w="120" w:type="dxa"/>
              <w:end w:w="120" w:type="dxa"/>
            </w:tcMar>
          </w:tcPr>
          <w:p>
            <w:pPr>
              <w:spacing w:before="0" w:after="0" w:line="252" w:lineRule="auto"/>
            </w:pPr>
            <w:r/>
            <w:r>
              <w:rPr>
                <w:rFonts w:ascii="Calibri" w:hAnsi="Calibri"/>
                <w:b/>
                <w:color w:val="17365D"/>
                <w:sz w:val="15"/>
              </w:rPr>
              <w:t>Specification</w:t>
            </w:r>
          </w:p>
        </w:tc>
        <w:tc>
          <w:tcPr>
            <w:tcW w:type="dxa" w:w="2810"/>
            <w:vAlign w:val="center"/>
            <w:shd w:fill="F2F4F7" w:val="clear"/>
            <w:tcMar>
              <w:top w:w="90" w:type="dxa"/>
              <w:bottom w:w="90" w:type="dxa"/>
              <w:start w:w="120" w:type="dxa"/>
              <w:end w:w="120" w:type="dxa"/>
            </w:tcMar>
          </w:tcPr>
          <w:p>
            <w:pPr>
              <w:spacing w:before="0" w:after="0" w:line="252" w:lineRule="auto"/>
            </w:pPr>
            <w:r/>
            <w:r>
              <w:rPr>
                <w:rFonts w:ascii="Calibri" w:hAnsi="Calibri"/>
                <w:b/>
                <w:color w:val="17365D"/>
                <w:sz w:val="15"/>
              </w:rPr>
              <w:t>Question</w:t>
            </w:r>
          </w:p>
        </w:tc>
      </w:tr>
      <w:tr>
        <w:trPr/>
        <w:tc>
          <w:tcPr>
            <w:tcW w:type="dxa" w:w="1800"/>
            <w:vAlign w:val="center"/>
            <w:tcMar>
              <w:top w:w="90" w:type="dxa"/>
              <w:bottom w:w="90" w:type="dxa"/>
              <w:start w:w="120" w:type="dxa"/>
              <w:end w:w="120" w:type="dxa"/>
            </w:tcMar>
          </w:tcPr>
          <w:p>
            <w:pPr>
              <w:spacing w:before="0" w:after="0" w:line="252" w:lineRule="auto"/>
            </w:pPr>
            <w:r/>
            <w:r>
              <w:rPr>
                <w:rFonts w:ascii="Calibri" w:hAnsi="Calibri"/>
                <w:b w:val="0"/>
                <w:color w:val="000000"/>
                <w:sz w:val="15"/>
              </w:rPr>
              <w:t>Stim/NonStim MS comparison</w:t>
            </w:r>
          </w:p>
        </w:tc>
        <w:tc>
          <w:tcPr>
            <w:tcW w:type="dxa" w:w="1200"/>
            <w:vAlign w:val="center"/>
            <w:tcMar>
              <w:top w:w="90" w:type="dxa"/>
              <w:bottom w:w="90" w:type="dxa"/>
              <w:start w:w="120" w:type="dxa"/>
              <w:end w:w="120" w:type="dxa"/>
            </w:tcMar>
          </w:tcPr>
          <w:p>
            <w:pPr>
              <w:spacing w:before="0" w:after="0" w:line="252" w:lineRule="auto"/>
            </w:pPr>
            <w:r/>
            <w:r>
              <w:rPr>
                <w:rFonts w:ascii="Calibri" w:hAnsi="Calibri"/>
                <w:b w:val="0"/>
                <w:color w:val="000000"/>
                <w:sz w:val="15"/>
              </w:rPr>
              <w:t>Per session</w:t>
            </w:r>
          </w:p>
        </w:tc>
        <w:tc>
          <w:tcPr>
            <w:tcW w:type="dxa" w:w="3550"/>
            <w:vAlign w:val="center"/>
            <w:tcMar>
              <w:top w:w="90" w:type="dxa"/>
              <w:bottom w:w="90" w:type="dxa"/>
              <w:start w:w="120" w:type="dxa"/>
              <w:end w:w="120" w:type="dxa"/>
            </w:tcMar>
          </w:tcPr>
          <w:p>
            <w:pPr>
              <w:spacing w:before="0" w:after="0" w:line="252" w:lineRule="auto"/>
            </w:pPr>
            <w:r/>
            <w:r>
              <w:rPr>
                <w:rFonts w:ascii="Calibri" w:hAnsi="Calibri"/>
                <w:b w:val="0"/>
                <w:color w:val="000000"/>
                <w:sz w:val="15"/>
              </w:rPr>
              <w:t>Scalar differences and 2-D first-moment distance; 1,000 label permutations within visual-condition x signed-coherence strata</w:t>
            </w:r>
          </w:p>
        </w:tc>
        <w:tc>
          <w:tcPr>
            <w:tcW w:type="dxa" w:w="2810"/>
            <w:vAlign w:val="center"/>
            <w:tcMar>
              <w:top w:w="90" w:type="dxa"/>
              <w:bottom w:w="90" w:type="dxa"/>
              <w:start w:w="120" w:type="dxa"/>
              <w:end w:w="120" w:type="dxa"/>
            </w:tcMar>
          </w:tcPr>
          <w:p>
            <w:pPr>
              <w:spacing w:before="0" w:after="0" w:line="252" w:lineRule="auto"/>
            </w:pPr>
            <w:r/>
            <w:r>
              <w:rPr>
                <w:rFonts w:ascii="Calibri" w:hAnsi="Calibri"/>
                <w:b w:val="0"/>
                <w:color w:val="000000"/>
                <w:sz w:val="15"/>
              </w:rPr>
              <w:t>Does EM change MS production or kinematics in that session?</w:t>
            </w:r>
          </w:p>
        </w:tc>
      </w:tr>
      <w:tr>
        <w:trPr/>
        <w:tc>
          <w:tcPr>
            <w:tcW w:type="dxa" w:w="180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5"/>
              </w:rPr>
              <w:t>Paired bias LME</w:t>
            </w:r>
          </w:p>
        </w:tc>
        <w:tc>
          <w:tcPr>
            <w:tcW w:type="dxa" w:w="120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5"/>
              </w:rPr>
              <w:t>Session-condition</w:t>
            </w:r>
          </w:p>
        </w:tc>
        <w:tc>
          <w:tcPr>
            <w:tcW w:type="dxa" w:w="355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5"/>
              </w:rPr>
              <w:t>Bias ~ MS_y + condition + (1|SessionKey); interaction sensitivity adds MS_y x condition</w:t>
            </w:r>
          </w:p>
        </w:tc>
        <w:tc>
          <w:tcPr>
            <w:tcW w:type="dxa" w:w="281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5"/>
              </w:rPr>
              <w:t>Do session means covary after pairing Stim/NonStim conditions?</w:t>
            </w:r>
          </w:p>
        </w:tc>
      </w:tr>
      <w:tr>
        <w:trPr/>
        <w:tc>
          <w:tcPr>
            <w:tcW w:type="dxa" w:w="1800"/>
            <w:vAlign w:val="center"/>
            <w:tcMar>
              <w:top w:w="90" w:type="dxa"/>
              <w:bottom w:w="90" w:type="dxa"/>
              <w:start w:w="120" w:type="dxa"/>
              <w:end w:w="120" w:type="dxa"/>
            </w:tcMar>
          </w:tcPr>
          <w:p>
            <w:pPr>
              <w:spacing w:before="0" w:after="0" w:line="252" w:lineRule="auto"/>
            </w:pPr>
            <w:r/>
            <w:r>
              <w:rPr>
                <w:rFonts w:ascii="Calibri" w:hAnsi="Calibri"/>
                <w:b w:val="0"/>
                <w:color w:val="000000"/>
                <w:sz w:val="15"/>
              </w:rPr>
              <w:t>Centered change</w:t>
            </w:r>
          </w:p>
        </w:tc>
        <w:tc>
          <w:tcPr>
            <w:tcW w:type="dxa" w:w="1200"/>
            <w:vAlign w:val="center"/>
            <w:tcMar>
              <w:top w:w="90" w:type="dxa"/>
              <w:bottom w:w="90" w:type="dxa"/>
              <w:start w:w="120" w:type="dxa"/>
              <w:end w:w="120" w:type="dxa"/>
            </w:tcMar>
          </w:tcPr>
          <w:p>
            <w:pPr>
              <w:spacing w:before="0" w:after="0" w:line="252" w:lineRule="auto"/>
            </w:pPr>
            <w:r/>
            <w:r>
              <w:rPr>
                <w:rFonts w:ascii="Calibri" w:hAnsi="Calibri"/>
                <w:b w:val="0"/>
                <w:color w:val="000000"/>
                <w:sz w:val="15"/>
              </w:rPr>
              <w:t>Session</w:t>
            </w:r>
          </w:p>
        </w:tc>
        <w:tc>
          <w:tcPr>
            <w:tcW w:type="dxa" w:w="3550"/>
            <w:vAlign w:val="center"/>
            <w:tcMar>
              <w:top w:w="90" w:type="dxa"/>
              <w:bottom w:w="90" w:type="dxa"/>
              <w:start w:w="120" w:type="dxa"/>
              <w:end w:w="120" w:type="dxa"/>
            </w:tcMar>
          </w:tcPr>
          <w:p>
            <w:pPr>
              <w:spacing w:before="0" w:after="0" w:line="252" w:lineRule="auto"/>
            </w:pPr>
            <w:r/>
            <w:r>
              <w:rPr>
                <w:rFonts w:ascii="Calibri" w:hAnsi="Calibri"/>
                <w:b w:val="0"/>
                <w:color w:val="000000"/>
                <w:sz w:val="15"/>
              </w:rPr>
              <w:t>DeltaMS_y and DeltaBias; exact one-sided quadrant-concordance test; positive origin-slope sensitivity</w:t>
            </w:r>
          </w:p>
        </w:tc>
        <w:tc>
          <w:tcPr>
            <w:tcW w:type="dxa" w:w="2810"/>
            <w:vAlign w:val="center"/>
            <w:tcMar>
              <w:top w:w="90" w:type="dxa"/>
              <w:bottom w:w="90" w:type="dxa"/>
              <w:start w:w="120" w:type="dxa"/>
              <w:end w:w="120" w:type="dxa"/>
            </w:tcMar>
          </w:tcPr>
          <w:p>
            <w:pPr>
              <w:spacing w:before="0" w:after="0" w:line="252" w:lineRule="auto"/>
            </w:pPr>
            <w:r/>
            <w:r>
              <w:rPr>
                <w:rFonts w:ascii="Calibri" w:hAnsi="Calibri"/>
                <w:b w:val="0"/>
                <w:color w:val="000000"/>
                <w:sz w:val="15"/>
              </w:rPr>
              <w:t>Do EM-induced MS_y and bias changes have matching signs/magnitudes?</w:t>
            </w:r>
          </w:p>
        </w:tc>
      </w:tr>
      <w:tr>
        <w:trPr/>
        <w:tc>
          <w:tcPr>
            <w:tcW w:type="dxa" w:w="180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5"/>
              </w:rPr>
              <w:t>Session logistic</w:t>
            </w:r>
          </w:p>
        </w:tc>
        <w:tc>
          <w:tcPr>
            <w:tcW w:type="dxa" w:w="120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5"/>
              </w:rPr>
              <w:t>Trial within session</w:t>
            </w:r>
          </w:p>
        </w:tc>
        <w:tc>
          <w:tcPr>
            <w:tcW w:type="dxa" w:w="355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5"/>
              </w:rPr>
              <w:t>Simple, visual-evidence-adjusted vertical, and adjusted X/Y models; Jeffreys-prior binomial fits</w:t>
            </w:r>
          </w:p>
        </w:tc>
        <w:tc>
          <w:tcPr>
            <w:tcW w:type="dxa" w:w="281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5"/>
              </w:rPr>
              <w:t>Does MS direction predict choice in an individual recording session?</w:t>
            </w:r>
          </w:p>
        </w:tc>
      </w:tr>
      <w:tr>
        <w:trPr/>
        <w:tc>
          <w:tcPr>
            <w:tcW w:type="dxa" w:w="1800"/>
            <w:vAlign w:val="center"/>
            <w:tcMar>
              <w:top w:w="90" w:type="dxa"/>
              <w:bottom w:w="90" w:type="dxa"/>
              <w:start w:w="120" w:type="dxa"/>
              <w:end w:w="120" w:type="dxa"/>
            </w:tcMar>
          </w:tcPr>
          <w:p>
            <w:pPr>
              <w:spacing w:before="0" w:after="0" w:line="252" w:lineRule="auto"/>
            </w:pPr>
            <w:r/>
            <w:r>
              <w:rPr>
                <w:rFonts w:ascii="Calibri" w:hAnsi="Calibri"/>
                <w:b w:val="0"/>
                <w:color w:val="000000"/>
                <w:sz w:val="15"/>
              </w:rPr>
              <w:t>Grouped stratified logistic</w:t>
            </w:r>
          </w:p>
        </w:tc>
        <w:tc>
          <w:tcPr>
            <w:tcW w:type="dxa" w:w="1200"/>
            <w:vAlign w:val="center"/>
            <w:tcMar>
              <w:top w:w="90" w:type="dxa"/>
              <w:bottom w:w="90" w:type="dxa"/>
              <w:start w:w="120" w:type="dxa"/>
              <w:end w:w="120" w:type="dxa"/>
            </w:tcMar>
          </w:tcPr>
          <w:p>
            <w:pPr>
              <w:spacing w:before="0" w:after="0" w:line="252" w:lineRule="auto"/>
            </w:pPr>
            <w:r/>
            <w:r>
              <w:rPr>
                <w:rFonts w:ascii="Calibri" w:hAnsi="Calibri"/>
                <w:b w:val="0"/>
                <w:color w:val="000000"/>
                <w:sz w:val="15"/>
              </w:rPr>
              <w:t>Trial pooled within monkey-area</w:t>
            </w:r>
          </w:p>
        </w:tc>
        <w:tc>
          <w:tcPr>
            <w:tcW w:type="dxa" w:w="3550"/>
            <w:vAlign w:val="center"/>
            <w:tcMar>
              <w:top w:w="90" w:type="dxa"/>
              <w:bottom w:w="90" w:type="dxa"/>
              <w:start w:w="120" w:type="dxa"/>
              <w:end w:w="120" w:type="dxa"/>
            </w:tcMar>
          </w:tcPr>
          <w:p>
            <w:pPr>
              <w:spacing w:before="0" w:after="0" w:line="252" w:lineRule="auto"/>
            </w:pPr>
            <w:r/>
            <w:r>
              <w:rPr>
                <w:rFonts w:ascii="Calibri" w:hAnsi="Calibri"/>
                <w:b w:val="0"/>
                <w:color w:val="000000"/>
                <w:sz w:val="15"/>
              </w:rPr>
              <w:t>Session-specific Stim/NonStim intercepts plus MS_y x Stim; adjusted model adds signed coherence x visual condition</w:t>
            </w:r>
          </w:p>
        </w:tc>
        <w:tc>
          <w:tcPr>
            <w:tcW w:type="dxa" w:w="2810"/>
            <w:vAlign w:val="center"/>
            <w:tcMar>
              <w:top w:w="90" w:type="dxa"/>
              <w:bottom w:w="90" w:type="dxa"/>
              <w:start w:w="120" w:type="dxa"/>
              <w:end w:w="120" w:type="dxa"/>
            </w:tcMar>
          </w:tcPr>
          <w:p>
            <w:pPr>
              <w:spacing w:before="0" w:after="0" w:line="252" w:lineRule="auto"/>
            </w:pPr>
            <w:r/>
            <w:r>
              <w:rPr>
                <w:rFonts w:ascii="Calibri" w:hAnsi="Calibri"/>
                <w:b w:val="0"/>
                <w:color w:val="000000"/>
                <w:sz w:val="15"/>
              </w:rPr>
              <w:t>Is there a common within-session MS_y effect or EM interaction?</w:t>
            </w:r>
          </w:p>
        </w:tc>
      </w:tr>
      <w:tr>
        <w:trPr/>
        <w:tc>
          <w:tcPr>
            <w:tcW w:type="dxa" w:w="180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5"/>
              </w:rPr>
              <w:t>Exact pooled logistic</w:t>
            </w:r>
          </w:p>
        </w:tc>
        <w:tc>
          <w:tcPr>
            <w:tcW w:type="dxa" w:w="120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5"/>
              </w:rPr>
              <w:t>All trial rows in monkey-area</w:t>
            </w:r>
          </w:p>
        </w:tc>
        <w:tc>
          <w:tcPr>
            <w:tcW w:type="dxa" w:w="355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5"/>
              </w:rPr>
              <w:t>Choice ~ MeanMSY_Z * StimCondition; no SessionID term</w:t>
            </w:r>
          </w:p>
        </w:tc>
        <w:tc>
          <w:tcPr>
            <w:tcW w:type="dxa" w:w="281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5"/>
              </w:rPr>
              <w:t>Sensitivity to the requested unstratified pooled specification</w:t>
            </w:r>
          </w:p>
        </w:tc>
      </w:tr>
    </w:tbl>
    <w:p>
      <w:pPr>
        <w:spacing w:before="0" w:after="60"/>
      </w:pPr>
    </w:p>
    <w:p>
      <w:pPr>
        <w:pStyle w:val="Heading2"/>
        <w:keepNext/>
      </w:pPr>
      <w:r>
        <w:t>3.1 Session-level EM effects on MS pattern</w:t>
      </w:r>
    </w:p>
    <w:p>
      <w:pPr/>
      <w:r>
        <w:rPr>
          <w:rFonts w:ascii="Calibri" w:hAnsi="Calibri"/>
          <w:color w:val="000000"/>
          <w:sz w:val="21"/>
        </w:rPr>
        <w:t>For each session, stimulation labels were shuffled 1,000 times within visual-condition and signed-coherence strata. Scalar outcomes were MS rate, probability of any MS, per-trial mean amplitude, peak velocity, and duration. Direction was tested as the Euclidean distance between Stim and NonStim two-dimensional mean displacement vectors. Event properties were summarized within trials before testing so that trials with many events did not count as independent observations.</w:t>
      </w:r>
    </w:p>
    <w:p>
      <w:pPr>
        <w:pStyle w:val="Heading2"/>
        <w:keepNext/>
      </w:pPr>
      <w:r>
        <w:t>3.2 Session-mean behavioral-bias models</w:t>
      </w:r>
    </w:p>
    <w:p>
      <w:pPr>
        <w:pStyle w:val="Code"/>
      </w:pPr>
      <w:r>
        <w:t>Bias ~ MS_y + condition + (1|SessionKey)</w:t>
      </w:r>
    </w:p>
    <w:p>
      <w:pPr>
        <w:pStyle w:val="Code"/>
      </w:pPr>
      <w:r>
        <w:t>Bias ~ MS_y * condition + (1|SessionKey)</w:t>
      </w:r>
    </w:p>
    <w:p>
      <w:pPr/>
      <w:r>
        <w:rPr>
          <w:rFonts w:ascii="Calibri" w:hAnsi="Calibri"/>
          <w:color w:val="000000"/>
          <w:sz w:val="21"/>
        </w:rPr>
        <w:t>Only complete Stim/NonStim session pairs with acceptable psychometric fits were used. The common-slope model asks whether mean vertical MS displacement covaries with fitted behavioral bias across the paired conditions. The interaction model asks whether that slope differs under EM. Benjamini-Hochberg FDR correction was applied across the four cue definitions separately within each ROI.</w:t>
      </w:r>
    </w:p>
    <w:p>
      <w:pPr>
        <w:pStyle w:val="Heading2"/>
        <w:keepNext/>
      </w:pPr>
      <w:r>
        <w:t>3.3 Centered EM-induced change analysis</w:t>
      </w:r>
    </w:p>
    <w:p>
      <w:pPr>
        <w:pStyle w:val="Code"/>
      </w:pPr>
      <w:r>
        <w:t>DeltaMS_y = MS_y(Stim) - MS_y(NonStim)</w:t>
      </w:r>
    </w:p>
    <w:p>
      <w:pPr>
        <w:pStyle w:val="Code"/>
      </w:pPr>
      <w:r>
        <w:t>DeltaBias = Bias(Stim) - Bias(NonStim)</w:t>
      </w:r>
    </w:p>
    <w:p>
      <w:pPr/>
      <w:r>
        <w:rPr>
          <w:rFonts w:ascii="Calibri" w:hAnsi="Calibri"/>
          <w:color w:val="000000"/>
          <w:sz w:val="21"/>
        </w:rPr>
        <w:t>The primary exact binomial test asks whether DeltaMS_y and DeltaBias have the same sign more often than 50%. A secondary one-sided regression fits DeltaBias = beta * DeltaMS_y through the origin. FDR correction was reported within ROI and across all eight ROI-by-cue tests. The sign test is robust to scale, whereas the origin regression tests whether larger MS changes correspond to proportionally larger bias changes.</w:t>
      </w:r>
    </w:p>
    <w:p>
      <w:pPr>
        <w:pStyle w:val="Heading2"/>
        <w:keepNext/>
      </w:pPr>
      <w:r>
        <w:t>3.4 Trial-level logistic models</w:t>
      </w:r>
    </w:p>
    <w:p>
      <w:pPr>
        <w:pStyle w:val="Code"/>
      </w:pPr>
      <w:r>
        <w:t>Simple:   Choice ~ MeanMSY_Z * StimCondition</w:t>
      </w:r>
    </w:p>
    <w:p>
      <w:pPr>
        <w:pStyle w:val="Code"/>
      </w:pPr>
      <w:r>
        <w:t>Adjusted: Choice ~ SignedCoherence * VisualCondition + StimCondition + MeanMSY_Z * StimCondition</w:t>
      </w:r>
    </w:p>
    <w:p>
      <w:pPr>
        <w:pStyle w:val="Code"/>
      </w:pPr>
      <w:r>
        <w:t>Vector:   Adjusted base + MeanMSX_Z * StimCondition + MeanMSY_Z * StimCondition</w:t>
      </w:r>
    </w:p>
    <w:p>
      <w:pPr/>
      <w:r>
        <w:rPr>
          <w:rFonts w:ascii="Calibri" w:hAnsi="Calibri"/>
          <w:color w:val="000000"/>
          <w:sz w:val="21"/>
        </w:rPr>
        <w:t>MeanMSY_Z and MeanMSX_Z were standardized within recording session; a slope is therefore the change in log odds of Choice = 1 per one within-session SD of trial-average MS displacement. Jeffreys-prior bias reduction was used to avoid infinite estimates in sparse choice-by-cue cells. Session fits required at least 30 usable MS trials, at least 10 in each stimulation condition, variation in MS_y, and both choices within each condition.</w:t>
      </w:r>
    </w:p>
    <w:p>
      <w:pPr/>
      <w:r>
        <w:rPr>
          <w:rFonts w:ascii="Calibri" w:hAnsi="Calibri"/>
          <w:color w:val="000000"/>
          <w:sz w:val="21"/>
        </w:rPr>
        <w:t>For the grouped analysis, trials were pooled into Jim-MT, Jim-FST, Clay-MT, and Clay-FST, but SessionID-by-StimCondition terms supplied session-specific NonStim and Stim intercepts. The primary adjusted group formula was:</w:t>
      </w:r>
    </w:p>
    <w:p>
      <w:pPr>
        <w:pStyle w:val="Code"/>
      </w:pPr>
      <w:r>
        <w:t>Choice ~ SessionID * StimCondition + SignedCoherence * VisualCondition + MeanMSY_Z * StimCondition</w:t>
      </w:r>
    </w:p>
    <w:p>
      <w:pPr/>
      <w:r>
        <w:rPr>
          <w:rFonts w:ascii="Calibri" w:hAnsi="Calibri"/>
          <w:color w:val="000000"/>
          <w:sz w:val="21"/>
        </w:rPr>
        <w:t>The primary MS test was the average of the NonStim and Stim vertical slopes; the primary moderation test was the Stim-minus-NonStim slope difference. Joint tests evaluated any vertical-MS effect and, in the vector model, the combined horizontal/vertical effects. Holm-Bonferroni correction was applied across the four monkey-area groups separately for each model/test family.</w:t>
      </w:r>
    </w:p>
    <w:p>
      <w:pPr>
        <w:pStyle w:val="Heading2"/>
        <w:keepNext/>
      </w:pPr>
      <w:r>
        <w:t>3.5 Pooled sensitivity model</w:t>
      </w:r>
    </w:p>
    <w:p>
      <w:pPr>
        <w:pStyle w:val="Code"/>
      </w:pPr>
      <w:r>
        <w:t>Choice ~ MeanMSY_Z * StimCondition</w:t>
      </w:r>
    </w:p>
    <w:p>
      <w:pPr/>
      <w:r>
        <w:rPr>
          <w:rFonts w:ascii="Calibri" w:hAnsi="Calibri"/>
          <w:color w:val="000000"/>
          <w:sz w:val="21"/>
        </w:rPr>
        <w:t>This exact pooled model used the same trial rows and within-session standardization but omitted SessionID. It treats trial rows as independent and can attribute stable session-to-session differences in choice baseline to MS_y. It is retained as a sensitivity analysis; the session-stratified grouped model is the preferred inferential model.</w:t>
      </w:r>
    </w:p>
    <w:p>
      <w:pPr>
        <w:pStyle w:val="Heading1"/>
        <w:keepNext/>
      </w:pPr>
      <w:r>
        <w:t>4. Results</w:t>
      </w:r>
    </w:p>
    <w:p>
      <w:pPr>
        <w:pStyle w:val="Heading2"/>
        <w:keepNext/>
      </w:pPr>
      <w:r>
        <w:t>4.1 Did EM change vertical MS?</w:t>
      </w:r>
    </w:p>
    <w:tbl>
      <w:tblPr>
        <w:tblStyle w:val="TableGrid"/>
        <w:tblW w:type="dxa" w:w="9360"/>
        <w:jc w:val="left"/>
        <w:tblLayout w:type="fixed"/>
        <w:tblLook w:firstColumn="1" w:firstRow="1" w:lastColumn="0" w:lastRow="0" w:noHBand="0" w:noVBand="1" w:val="04A0"/>
        <w:tblInd w:type="dxa" w:w="120"/>
      </w:tblPr>
      <w:tblGrid>
        <w:gridCol w:w="1200"/>
        <w:gridCol w:w="650"/>
        <w:gridCol w:w="1370"/>
        <w:gridCol w:w="1370"/>
        <w:gridCol w:w="1200"/>
        <w:gridCol w:w="1650"/>
        <w:gridCol w:w="1920"/>
      </w:tblGrid>
      <w:tr>
        <w:trPr>
          <w:tblHeader w:val="true"/>
        </w:trPr>
        <w:tc>
          <w:tcPr>
            <w:tcW w:type="dxa" w:w="1200"/>
            <w:vAlign w:val="center"/>
            <w:shd w:fill="F2F4F7" w:val="clear"/>
            <w:tcMar>
              <w:top w:w="90" w:type="dxa"/>
              <w:bottom w:w="90" w:type="dxa"/>
              <w:start w:w="120" w:type="dxa"/>
              <w:end w:w="120" w:type="dxa"/>
            </w:tcMar>
          </w:tcPr>
          <w:p>
            <w:pPr>
              <w:spacing w:before="0" w:after="0" w:line="252" w:lineRule="auto"/>
              <w:jc w:val="left"/>
            </w:pPr>
            <w:r/>
            <w:r>
              <w:rPr>
                <w:rFonts w:ascii="Calibri" w:hAnsi="Calibri"/>
                <w:b/>
                <w:color w:val="17365D"/>
                <w:sz w:val="16"/>
              </w:rPr>
              <w:t>Group</w:t>
            </w:r>
          </w:p>
        </w:tc>
        <w:tc>
          <w:tcPr>
            <w:tcW w:type="dxa" w:w="6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6"/>
              </w:rPr>
              <w:t>N</w:t>
            </w:r>
          </w:p>
        </w:tc>
        <w:tc>
          <w:tcPr>
            <w:tcW w:type="dxa" w:w="1370"/>
            <w:vAlign w:val="center"/>
            <w:shd w:fill="F2F4F7" w:val="clear"/>
            <w:tcMar>
              <w:top w:w="90" w:type="dxa"/>
              <w:bottom w:w="90" w:type="dxa"/>
              <w:start w:w="120" w:type="dxa"/>
              <w:end w:w="120" w:type="dxa"/>
            </w:tcMar>
          </w:tcPr>
          <w:p>
            <w:pPr>
              <w:spacing w:before="0" w:after="0" w:line="252" w:lineRule="auto"/>
              <w:jc w:val="right"/>
            </w:pPr>
            <w:r/>
            <w:r>
              <w:rPr>
                <w:rFonts w:ascii="Calibri" w:hAnsi="Calibri"/>
                <w:b/>
                <w:color w:val="17365D"/>
                <w:sz w:val="16"/>
              </w:rPr>
              <w:t>NonStim MS_y</w:t>
            </w:r>
          </w:p>
        </w:tc>
        <w:tc>
          <w:tcPr>
            <w:tcW w:type="dxa" w:w="1370"/>
            <w:vAlign w:val="center"/>
            <w:shd w:fill="F2F4F7" w:val="clear"/>
            <w:tcMar>
              <w:top w:w="90" w:type="dxa"/>
              <w:bottom w:w="90" w:type="dxa"/>
              <w:start w:w="120" w:type="dxa"/>
              <w:end w:w="120" w:type="dxa"/>
            </w:tcMar>
          </w:tcPr>
          <w:p>
            <w:pPr>
              <w:spacing w:before="0" w:after="0" w:line="252" w:lineRule="auto"/>
              <w:jc w:val="right"/>
            </w:pPr>
            <w:r/>
            <w:r>
              <w:rPr>
                <w:rFonts w:ascii="Calibri" w:hAnsi="Calibri"/>
                <w:b/>
                <w:color w:val="17365D"/>
                <w:sz w:val="16"/>
              </w:rPr>
              <w:t>Stim MS_y</w:t>
            </w:r>
          </w:p>
        </w:tc>
        <w:tc>
          <w:tcPr>
            <w:tcW w:type="dxa" w:w="1200"/>
            <w:vAlign w:val="center"/>
            <w:shd w:fill="F2F4F7" w:val="clear"/>
            <w:tcMar>
              <w:top w:w="90" w:type="dxa"/>
              <w:bottom w:w="90" w:type="dxa"/>
              <w:start w:w="120" w:type="dxa"/>
              <w:end w:w="120" w:type="dxa"/>
            </w:tcMar>
          </w:tcPr>
          <w:p>
            <w:pPr>
              <w:spacing w:before="0" w:after="0" w:line="252" w:lineRule="auto"/>
              <w:jc w:val="right"/>
            </w:pPr>
            <w:r/>
            <w:r>
              <w:rPr>
                <w:rFonts w:ascii="Calibri" w:hAnsi="Calibri"/>
                <w:b/>
                <w:color w:val="17365D"/>
                <w:sz w:val="16"/>
              </w:rPr>
              <w:t>Mean delta</w:t>
            </w:r>
          </w:p>
        </w:tc>
        <w:tc>
          <w:tcPr>
            <w:tcW w:type="dxa" w:w="16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6"/>
              </w:rPr>
              <w:t>Negative % N/S</w:t>
            </w:r>
          </w:p>
        </w:tc>
        <w:tc>
          <w:tcPr>
            <w:tcW w:type="dxa" w:w="192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6"/>
              </w:rPr>
              <w:t>2-D direction p&lt;.05</w:t>
            </w:r>
          </w:p>
        </w:tc>
      </w:tr>
      <w:tr>
        <w:trPr/>
        <w:tc>
          <w:tcPr>
            <w:tcW w:type="dxa" w:w="120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Jim-MT</w:t>
            </w:r>
          </w:p>
        </w:tc>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56</w:t>
            </w:r>
          </w:p>
        </w:tc>
        <w:tc>
          <w:tcPr>
            <w:tcW w:type="dxa" w:w="137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6"/>
              </w:rPr>
              <w:t>-0.00561</w:t>
            </w:r>
          </w:p>
        </w:tc>
        <w:tc>
          <w:tcPr>
            <w:tcW w:type="dxa" w:w="137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6"/>
              </w:rPr>
              <w:t>-0.00608</w:t>
            </w:r>
          </w:p>
        </w:tc>
        <w:tc>
          <w:tcPr>
            <w:tcW w:type="dxa" w:w="120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6"/>
              </w:rPr>
              <w:t>-0.00047</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71.4% / 76.8%</w:t>
            </w:r>
          </w:p>
        </w:tc>
        <w:tc>
          <w:tcPr>
            <w:tcW w:type="dxa" w:w="192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20/56</w:t>
            </w:r>
          </w:p>
        </w:tc>
      </w:tr>
      <w:tr>
        <w:trPr/>
        <w:tc>
          <w:tcPr>
            <w:tcW w:type="dxa" w:w="120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Jim-FST</w:t>
            </w:r>
          </w:p>
        </w:tc>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94</w:t>
            </w:r>
          </w:p>
        </w:tc>
        <w:tc>
          <w:tcPr>
            <w:tcW w:type="dxa" w:w="1370"/>
            <w:vAlign w:val="center"/>
            <w:shd w:fill="FAFBFC" w:val="clear"/>
            <w:tcMar>
              <w:top w:w="90" w:type="dxa"/>
              <w:bottom w:w="90" w:type="dxa"/>
              <w:start w:w="120" w:type="dxa"/>
              <w:end w:w="120" w:type="dxa"/>
            </w:tcMar>
          </w:tcPr>
          <w:p>
            <w:pPr>
              <w:spacing w:before="0" w:after="0" w:line="252" w:lineRule="auto"/>
              <w:jc w:val="right"/>
            </w:pPr>
            <w:r/>
            <w:r>
              <w:rPr>
                <w:rFonts w:ascii="Calibri" w:hAnsi="Calibri"/>
                <w:b w:val="0"/>
                <w:color w:val="000000"/>
                <w:sz w:val="16"/>
              </w:rPr>
              <w:t>-0.00250</w:t>
            </w:r>
          </w:p>
        </w:tc>
        <w:tc>
          <w:tcPr>
            <w:tcW w:type="dxa" w:w="1370"/>
            <w:vAlign w:val="center"/>
            <w:shd w:fill="FAFBFC" w:val="clear"/>
            <w:tcMar>
              <w:top w:w="90" w:type="dxa"/>
              <w:bottom w:w="90" w:type="dxa"/>
              <w:start w:w="120" w:type="dxa"/>
              <w:end w:w="120" w:type="dxa"/>
            </w:tcMar>
          </w:tcPr>
          <w:p>
            <w:pPr>
              <w:spacing w:before="0" w:after="0" w:line="252" w:lineRule="auto"/>
              <w:jc w:val="right"/>
            </w:pPr>
            <w:r/>
            <w:r>
              <w:rPr>
                <w:rFonts w:ascii="Calibri" w:hAnsi="Calibri"/>
                <w:b w:val="0"/>
                <w:color w:val="000000"/>
                <w:sz w:val="16"/>
              </w:rPr>
              <w:t>-0.00214</w:t>
            </w:r>
          </w:p>
        </w:tc>
        <w:tc>
          <w:tcPr>
            <w:tcW w:type="dxa" w:w="1200"/>
            <w:vAlign w:val="center"/>
            <w:shd w:fill="FAFBFC" w:val="clear"/>
            <w:tcMar>
              <w:top w:w="90" w:type="dxa"/>
              <w:bottom w:w="90" w:type="dxa"/>
              <w:start w:w="120" w:type="dxa"/>
              <w:end w:w="120" w:type="dxa"/>
            </w:tcMar>
          </w:tcPr>
          <w:p>
            <w:pPr>
              <w:spacing w:before="0" w:after="0" w:line="252" w:lineRule="auto"/>
              <w:jc w:val="right"/>
            </w:pPr>
            <w:r/>
            <w:r>
              <w:rPr>
                <w:rFonts w:ascii="Calibri" w:hAnsi="Calibri"/>
                <w:b w:val="0"/>
                <w:color w:val="000000"/>
                <w:sz w:val="16"/>
              </w:rPr>
              <w:t>+0.00036</w:t>
            </w:r>
          </w:p>
        </w:tc>
        <w:tc>
          <w:tcPr>
            <w:tcW w:type="dxa" w:w="1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72.3% / 67.0%</w:t>
            </w:r>
          </w:p>
        </w:tc>
        <w:tc>
          <w:tcPr>
            <w:tcW w:type="dxa" w:w="192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21/94</w:t>
            </w:r>
          </w:p>
        </w:tc>
      </w:tr>
      <w:tr>
        <w:trPr/>
        <w:tc>
          <w:tcPr>
            <w:tcW w:type="dxa" w:w="120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Clay-MT</w:t>
            </w:r>
          </w:p>
        </w:tc>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38</w:t>
            </w:r>
          </w:p>
        </w:tc>
        <w:tc>
          <w:tcPr>
            <w:tcW w:type="dxa" w:w="137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6"/>
              </w:rPr>
              <w:t>-0.04259</w:t>
            </w:r>
          </w:p>
        </w:tc>
        <w:tc>
          <w:tcPr>
            <w:tcW w:type="dxa" w:w="137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6"/>
              </w:rPr>
              <w:t>-0.04072</w:t>
            </w:r>
          </w:p>
        </w:tc>
        <w:tc>
          <w:tcPr>
            <w:tcW w:type="dxa" w:w="1200"/>
            <w:vAlign w:val="center"/>
            <w:tcMar>
              <w:top w:w="90" w:type="dxa"/>
              <w:bottom w:w="90" w:type="dxa"/>
              <w:start w:w="120" w:type="dxa"/>
              <w:end w:w="120" w:type="dxa"/>
            </w:tcMar>
          </w:tcPr>
          <w:p>
            <w:pPr>
              <w:spacing w:before="0" w:after="0" w:line="252" w:lineRule="auto"/>
              <w:jc w:val="right"/>
            </w:pPr>
            <w:r/>
            <w:r>
              <w:rPr>
                <w:rFonts w:ascii="Calibri" w:hAnsi="Calibri"/>
                <w:b w:val="0"/>
                <w:color w:val="000000"/>
                <w:sz w:val="16"/>
              </w:rPr>
              <w:t>+0.00187</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100.0% / 100.0%</w:t>
            </w:r>
          </w:p>
        </w:tc>
        <w:tc>
          <w:tcPr>
            <w:tcW w:type="dxa" w:w="192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7/38</w:t>
            </w:r>
          </w:p>
        </w:tc>
      </w:tr>
      <w:tr>
        <w:trPr/>
        <w:tc>
          <w:tcPr>
            <w:tcW w:type="dxa" w:w="120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Clay-FST</w:t>
            </w:r>
          </w:p>
        </w:tc>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65</w:t>
            </w:r>
          </w:p>
        </w:tc>
        <w:tc>
          <w:tcPr>
            <w:tcW w:type="dxa" w:w="1370"/>
            <w:vAlign w:val="center"/>
            <w:shd w:fill="FAFBFC" w:val="clear"/>
            <w:tcMar>
              <w:top w:w="90" w:type="dxa"/>
              <w:bottom w:w="90" w:type="dxa"/>
              <w:start w:w="120" w:type="dxa"/>
              <w:end w:w="120" w:type="dxa"/>
            </w:tcMar>
          </w:tcPr>
          <w:p>
            <w:pPr>
              <w:spacing w:before="0" w:after="0" w:line="252" w:lineRule="auto"/>
              <w:jc w:val="right"/>
            </w:pPr>
            <w:r/>
            <w:r>
              <w:rPr>
                <w:rFonts w:ascii="Calibri" w:hAnsi="Calibri"/>
                <w:b w:val="0"/>
                <w:color w:val="000000"/>
                <w:sz w:val="16"/>
              </w:rPr>
              <w:t>-0.03705</w:t>
            </w:r>
          </w:p>
        </w:tc>
        <w:tc>
          <w:tcPr>
            <w:tcW w:type="dxa" w:w="1370"/>
            <w:vAlign w:val="center"/>
            <w:shd w:fill="FAFBFC" w:val="clear"/>
            <w:tcMar>
              <w:top w:w="90" w:type="dxa"/>
              <w:bottom w:w="90" w:type="dxa"/>
              <w:start w:w="120" w:type="dxa"/>
              <w:end w:w="120" w:type="dxa"/>
            </w:tcMar>
          </w:tcPr>
          <w:p>
            <w:pPr>
              <w:spacing w:before="0" w:after="0" w:line="252" w:lineRule="auto"/>
              <w:jc w:val="right"/>
            </w:pPr>
            <w:r/>
            <w:r>
              <w:rPr>
                <w:rFonts w:ascii="Calibri" w:hAnsi="Calibri"/>
                <w:b w:val="0"/>
                <w:color w:val="000000"/>
                <w:sz w:val="16"/>
              </w:rPr>
              <w:t>-0.04549</w:t>
            </w:r>
          </w:p>
        </w:tc>
        <w:tc>
          <w:tcPr>
            <w:tcW w:type="dxa" w:w="1200"/>
            <w:vAlign w:val="center"/>
            <w:shd w:fill="FAFBFC" w:val="clear"/>
            <w:tcMar>
              <w:top w:w="90" w:type="dxa"/>
              <w:bottom w:w="90" w:type="dxa"/>
              <w:start w:w="120" w:type="dxa"/>
              <w:end w:w="120" w:type="dxa"/>
            </w:tcMar>
          </w:tcPr>
          <w:p>
            <w:pPr>
              <w:spacing w:before="0" w:after="0" w:line="252" w:lineRule="auto"/>
              <w:jc w:val="right"/>
            </w:pPr>
            <w:r/>
            <w:r>
              <w:rPr>
                <w:rFonts w:ascii="Calibri" w:hAnsi="Calibri"/>
                <w:b w:val="0"/>
                <w:color w:val="000000"/>
                <w:sz w:val="16"/>
              </w:rPr>
              <w:t>-0.00845</w:t>
            </w:r>
          </w:p>
        </w:tc>
        <w:tc>
          <w:tcPr>
            <w:tcW w:type="dxa" w:w="1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95.4% / 93.8%</w:t>
            </w:r>
          </w:p>
        </w:tc>
        <w:tc>
          <w:tcPr>
            <w:tcW w:type="dxa" w:w="192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7/65</w:t>
            </w:r>
          </w:p>
        </w:tc>
      </w:tr>
    </w:tbl>
    <w:p>
      <w:pPr>
        <w:spacing w:before="0" w:after="60"/>
      </w:pPr>
    </w:p>
    <w:p>
      <w:pPr>
        <w:pStyle w:val="SourceNote"/>
      </w:pPr>
      <w:r>
        <w:t>MS_y values are session-condition means in degrees. The last column is the number of individual sessions with an unadjusted p &lt; .05 in the stratified 2-D mean-vector permutation test; it is not a vertical-only test and should not be read as a group-level effect.</w:t>
      </w:r>
    </w:p>
    <w:p>
      <w:pPr/>
      <w:r>
        <w:rPr>
          <w:rFonts w:ascii="Calibri" w:hAnsi="Calibri"/>
          <w:color w:val="000000"/>
          <w:sz w:val="21"/>
        </w:rPr>
        <w:t>The mean Stim-minus-NonStim vertical change was small and did not have a common sign across groups: -0.00047 degrees in Jim-MT, +0.00036 in Jim-FST, +0.00187 in Clay-MT, and -0.00845 in Clay-FST. Clay's MS_y distribution was strongly downward in both conditions, whereas Jim's was much closer to zero. Thus EM did not impose a single population-wide vertical shift. Individual sessions did show 2-D pattern changes, especially in Jim, but a change in the two-dimensional vector need not be a behaviorally aligned change in MS_y.</w:t>
      </w:r>
    </w:p>
    <w:p>
      <w:pPr>
        <w:keepNext/>
        <w:spacing w:before="60" w:after="40"/>
        <w:jc w:val="center"/>
      </w:pPr>
      <w:r>
        <w:drawing>
          <wp:inline xmlns:a="http://schemas.openxmlformats.org/drawingml/2006/main" xmlns:pic="http://schemas.openxmlformats.org/drawingml/2006/picture">
            <wp:extent cx="5806440" cy="4293331"/>
            <wp:docPr id="1" name="Picture 1" descr="Four histograms comparing NonStim and Stim mean vertical microsaccade displacement in Jim-MT, Jim-FST, Clay-MT, and Clay-FST." title="Figure 1"/>
            <wp:cNvGraphicFramePr>
              <a:graphicFrameLocks noChangeAspect="1"/>
            </wp:cNvGraphicFramePr>
            <a:graphic>
              <a:graphicData uri="http://schemas.openxmlformats.org/drawingml/2006/picture">
                <pic:pic>
                  <pic:nvPicPr>
                    <pic:cNvPr id="0" name="ms_vertical_displacement_histograms_by_subpopulation.png"/>
                    <pic:cNvPicPr/>
                  </pic:nvPicPr>
                  <pic:blipFill>
                    <a:blip r:embed="rId13"/>
                    <a:stretch>
                      <a:fillRect/>
                    </a:stretch>
                  </pic:blipFill>
                  <pic:spPr>
                    <a:xfrm>
                      <a:off x="0" y="0"/>
                      <a:ext cx="5806440" cy="4293331"/>
                    </a:xfrm>
                    <a:prstGeom prst="rect"/>
                  </pic:spPr>
                </pic:pic>
              </a:graphicData>
            </a:graphic>
          </wp:inline>
        </w:drawing>
      </w:r>
    </w:p>
    <w:p>
      <w:pPr>
        <w:pStyle w:val="FigureCaption"/>
      </w:pPr>
      <w:r>
        <w:rPr>
          <w:rFonts w:ascii="Calibri" w:hAnsi="Calibri"/>
          <w:b/>
          <w:color w:val="1F4D78"/>
          <w:sz w:val="18"/>
        </w:rPr>
        <w:t xml:space="preserve">Figure 1. </w:t>
      </w:r>
      <w:r>
        <w:rPr>
          <w:rFonts w:ascii="Calibri" w:hAnsi="Calibri"/>
          <w:i/>
          <w:color w:val="5B6573"/>
          <w:sz w:val="18"/>
        </w:rPr>
        <w:t>Session-level distributions of mean vertical MS displacement by monkey-area group and EM condition. Solid lines mark condition medians; the dotted line marks zero. The extensive overlap and mixed direction of mean shifts argue against a uniform EM-induced vertical-MS change.</w:t>
      </w:r>
    </w:p>
    <w:p>
      <w:pPr>
        <w:pStyle w:val="Heading2"/>
        <w:keepNext/>
      </w:pPr>
      <w:r>
        <w:t>4.2 Do EM-induced MS_y changes track behavioral-bias changes?</w:t>
      </w:r>
    </w:p>
    <w:tbl>
      <w:tblPr>
        <w:tblStyle w:val="TableGrid"/>
        <w:tblW w:type="dxa" w:w="9360"/>
        <w:jc w:val="left"/>
        <w:tblLayout w:type="fixed"/>
        <w:tblLook w:firstColumn="1" w:firstRow="1" w:lastColumn="0" w:lastRow="0" w:noHBand="0" w:noVBand="1" w:val="04A0"/>
        <w:tblInd w:type="dxa" w:w="120"/>
      </w:tblPr>
      <w:tblGrid>
        <w:gridCol w:w="850"/>
        <w:gridCol w:w="950"/>
        <w:gridCol w:w="1750"/>
        <w:gridCol w:w="1500"/>
        <w:gridCol w:w="1150"/>
        <w:gridCol w:w="1950"/>
        <w:gridCol w:w="1210"/>
      </w:tblGrid>
      <w:tr>
        <w:trPr>
          <w:tblHeader w:val="true"/>
        </w:trPr>
        <w:tc>
          <w:tcPr>
            <w:tcW w:type="dxa" w:w="8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6"/>
              </w:rPr>
              <w:t>ROI</w:t>
            </w:r>
          </w:p>
        </w:tc>
        <w:tc>
          <w:tcPr>
            <w:tcW w:type="dxa" w:w="9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6"/>
              </w:rPr>
              <w:t>Sessions</w:t>
            </w:r>
          </w:p>
        </w:tc>
        <w:tc>
          <w:tcPr>
            <w:tcW w:type="dxa" w:w="17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6"/>
              </w:rPr>
              <w:t>Concordant</w:t>
            </w:r>
          </w:p>
        </w:tc>
        <w:tc>
          <w:tcPr>
            <w:tcW w:type="dxa" w:w="15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6"/>
              </w:rPr>
              <w:t>95% CI</w:t>
            </w:r>
          </w:p>
        </w:tc>
        <w:tc>
          <w:tcPr>
            <w:tcW w:type="dxa" w:w="11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6"/>
              </w:rPr>
              <w:t>Quadrant q</w:t>
            </w:r>
          </w:p>
        </w:tc>
        <w:tc>
          <w:tcPr>
            <w:tcW w:type="dxa" w:w="19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6"/>
              </w:rPr>
              <w:t>Origin slope +/- SE</w:t>
            </w:r>
          </w:p>
        </w:tc>
        <w:tc>
          <w:tcPr>
            <w:tcW w:type="dxa" w:w="121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6"/>
              </w:rPr>
              <w:t>Slope q</w:t>
            </w:r>
          </w:p>
        </w:tc>
      </w:tr>
      <w:tr>
        <w:trPr/>
        <w:tc>
          <w:tcPr>
            <w:tcW w:type="dxa" w:w="8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MT</w:t>
            </w:r>
          </w:p>
        </w:tc>
        <w:tc>
          <w:tcPr>
            <w:tcW w:type="dxa" w:w="9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91</w:t>
            </w:r>
          </w:p>
        </w:tc>
        <w:tc>
          <w:tcPr>
            <w:tcW w:type="dxa" w:w="17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63/91 (69.2%)</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[0.591, 0.778]</w:t>
            </w:r>
          </w:p>
        </w:tc>
        <w:tc>
          <w:tcPr>
            <w:tcW w:type="dxa" w:w="11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4.17e-04</w:t>
            </w:r>
          </w:p>
        </w:tc>
        <w:tc>
          <w:tcPr>
            <w:tcW w:type="dxa" w:w="19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5.091 +/- 1.791</w:t>
            </w:r>
          </w:p>
        </w:tc>
        <w:tc>
          <w:tcPr>
            <w:tcW w:type="dxa" w:w="12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6"/>
              </w:rPr>
              <w:t>0.006</w:t>
            </w:r>
          </w:p>
        </w:tc>
      </w:tr>
      <w:tr>
        <w:trPr/>
        <w:tc>
          <w:tcPr>
            <w:tcW w:type="dxa" w:w="8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FST</w:t>
            </w:r>
          </w:p>
        </w:tc>
        <w:tc>
          <w:tcPr>
            <w:tcW w:type="dxa" w:w="9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159</w:t>
            </w:r>
          </w:p>
        </w:tc>
        <w:tc>
          <w:tcPr>
            <w:tcW w:type="dxa" w:w="17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103/158 (65.2%)</w:t>
            </w:r>
          </w:p>
        </w:tc>
        <w:tc>
          <w:tcPr>
            <w:tcW w:type="dxa" w:w="15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[0.575, 0.722]</w:t>
            </w:r>
          </w:p>
        </w:tc>
        <w:tc>
          <w:tcPr>
            <w:tcW w:type="dxa" w:w="11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3.76e-04</w:t>
            </w:r>
          </w:p>
        </w:tc>
        <w:tc>
          <w:tcPr>
            <w:tcW w:type="dxa" w:w="19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0.270 +/- 0.606</w:t>
            </w:r>
          </w:p>
        </w:tc>
        <w:tc>
          <w:tcPr>
            <w:tcW w:type="dxa" w:w="121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6"/>
              </w:rPr>
              <w:t>0.328</w:t>
            </w:r>
          </w:p>
        </w:tc>
      </w:tr>
    </w:tbl>
    <w:p>
      <w:pPr>
        <w:spacing w:before="0" w:after="60"/>
      </w:pPr>
    </w:p>
    <w:p>
      <w:pPr/>
      <w:r>
        <w:rPr>
          <w:rFonts w:ascii="Calibri" w:hAnsi="Calibri"/>
          <w:color w:val="000000"/>
          <w:sz w:val="21"/>
        </w:rPr>
        <w:t>For the combined-cue behavioral bias, MT showed matching signs of DeltaMS_y and DeltaBias in 63 of 91 sessions (69.2%, FDR q = 0.00042). The positive through-origin slope was also significant (5.09 +/- 1.79, q = 0.0061), so sessions with larger vertical-MS shifts tended to have larger bias shifts in the same direction.</w:t>
      </w:r>
    </w:p>
    <w:p>
      <w:pPr/>
      <w:r>
        <w:rPr>
          <w:rFonts w:ascii="Calibri" w:hAnsi="Calibri"/>
          <w:color w:val="000000"/>
          <w:sz w:val="21"/>
        </w:rPr>
        <w:t>FST also showed significant sign concordance: 103 of 158 non-axis sessions (65.2%, q = 0.00038). However, its origin slope was small and nonsignificant (0.27 +/- 0.61, q = 0.328). The FST evidence therefore supports directional agreement but not proportional scaling of effect magnitude. Across cue-specific analyses, quadrant concordance remained FDR-significant in all MT and FST cue definitions; origin slopes were significant in all MT definitions and in none of the FST definitions.</w:t>
      </w:r>
    </w:p>
    <w:p>
      <w:r>
        <w:br w:type="page"/>
      </w:r>
    </w:p>
    <w:p>
      <w:pPr>
        <w:keepNext/>
        <w:spacing w:before="60" w:after="40"/>
        <w:jc w:val="center"/>
      </w:pPr>
      <w:r>
        <w:drawing>
          <wp:inline xmlns:a="http://schemas.openxmlformats.org/drawingml/2006/main" xmlns:pic="http://schemas.openxmlformats.org/drawingml/2006/picture">
            <wp:extent cx="5806440" cy="4460053"/>
            <wp:docPr id="2" name="Picture 2" descr="Four MT scatterplots of stimulation-induced change in vertical microsaccade displacement versus change in behavioral bias." title="Figure 2"/>
            <wp:cNvGraphicFramePr>
              <a:graphicFrameLocks noChangeAspect="1"/>
            </wp:cNvGraphicFramePr>
            <a:graphic>
              <a:graphicData uri="http://schemas.openxmlformats.org/drawingml/2006/picture">
                <pic:pic>
                  <pic:nvPicPr>
                    <pic:cNvPr id="0" name="mt_centered_delta_ms_y_bias.png"/>
                    <pic:cNvPicPr/>
                  </pic:nvPicPr>
                  <pic:blipFill>
                    <a:blip r:embed="rId14"/>
                    <a:stretch>
                      <a:fillRect/>
                    </a:stretch>
                  </pic:blipFill>
                  <pic:spPr>
                    <a:xfrm>
                      <a:off x="0" y="0"/>
                      <a:ext cx="5806440" cy="4460053"/>
                    </a:xfrm>
                    <a:prstGeom prst="rect"/>
                  </pic:spPr>
                </pic:pic>
              </a:graphicData>
            </a:graphic>
          </wp:inline>
        </w:drawing>
      </w:r>
    </w:p>
    <w:p>
      <w:pPr>
        <w:pStyle w:val="FigureCaption"/>
      </w:pPr>
      <w:r>
        <w:rPr>
          <w:rFonts w:ascii="Calibri" w:hAnsi="Calibri"/>
          <w:b/>
          <w:color w:val="1F4D78"/>
          <w:sz w:val="18"/>
        </w:rPr>
        <w:t xml:space="preserve">Figure 2. </w:t>
      </w:r>
      <w:r>
        <w:rPr>
          <w:rFonts w:ascii="Calibri" w:hAnsi="Calibri"/>
          <w:i/>
          <w:color w:val="5B6573"/>
          <w:sz w:val="18"/>
        </w:rPr>
        <w:t>MT session-level EM-induced changes. Green points fall in concordant quadrants, where DeltaMS_y and DeltaBias share a sign. The combined and cue-specific results show both excess sign concordance and positive magnitude scaling.</w:t>
      </w:r>
    </w:p>
    <w:p>
      <w:r>
        <w:br w:type="page"/>
      </w:r>
    </w:p>
    <w:p>
      <w:pPr>
        <w:keepNext/>
        <w:spacing w:before="60" w:after="40"/>
        <w:jc w:val="center"/>
      </w:pPr>
      <w:r>
        <w:drawing>
          <wp:inline xmlns:a="http://schemas.openxmlformats.org/drawingml/2006/main" xmlns:pic="http://schemas.openxmlformats.org/drawingml/2006/picture">
            <wp:extent cx="5806440" cy="4460053"/>
            <wp:docPr id="3" name="Picture 3" descr="Four FST scatterplots of stimulation-induced change in vertical microsaccade displacement versus change in behavioral bias." title="Figure 3"/>
            <wp:cNvGraphicFramePr>
              <a:graphicFrameLocks noChangeAspect="1"/>
            </wp:cNvGraphicFramePr>
            <a:graphic>
              <a:graphicData uri="http://schemas.openxmlformats.org/drawingml/2006/picture">
                <pic:pic>
                  <pic:nvPicPr>
                    <pic:cNvPr id="0" name="fst_centered_delta_ms_y_bias.png"/>
                    <pic:cNvPicPr/>
                  </pic:nvPicPr>
                  <pic:blipFill>
                    <a:blip r:embed="rId15"/>
                    <a:stretch>
                      <a:fillRect/>
                    </a:stretch>
                  </pic:blipFill>
                  <pic:spPr>
                    <a:xfrm>
                      <a:off x="0" y="0"/>
                      <a:ext cx="5806440" cy="4460053"/>
                    </a:xfrm>
                    <a:prstGeom prst="rect"/>
                  </pic:spPr>
                </pic:pic>
              </a:graphicData>
            </a:graphic>
          </wp:inline>
        </w:drawing>
      </w:r>
    </w:p>
    <w:p>
      <w:pPr>
        <w:pStyle w:val="FigureCaption"/>
      </w:pPr>
      <w:r>
        <w:rPr>
          <w:rFonts w:ascii="Calibri" w:hAnsi="Calibri"/>
          <w:b/>
          <w:color w:val="1F4D78"/>
          <w:sz w:val="18"/>
        </w:rPr>
        <w:t xml:space="preserve">Figure 3. </w:t>
      </w:r>
      <w:r>
        <w:rPr>
          <w:rFonts w:ascii="Calibri" w:hAnsi="Calibri"/>
          <w:i/>
          <w:color w:val="5B6573"/>
          <w:sz w:val="18"/>
        </w:rPr>
        <w:t>FST session-level EM-induced changes. Sign concordance exceeds 50%, but the fitted through-origin slopes are shallow and nonsignificant, indicating weak correspondence in change magnitude.</w:t>
      </w:r>
    </w:p>
    <w:p>
      <w:pPr>
        <w:pStyle w:val="Heading2"/>
        <w:keepNext/>
      </w:pPr>
      <w:r>
        <w:t>4.3 Session-mean mixed models</w:t>
      </w:r>
    </w:p>
    <w:tbl>
      <w:tblPr>
        <w:tblStyle w:val="TableGrid"/>
        <w:tblW w:type="dxa" w:w="9360"/>
        <w:jc w:val="left"/>
        <w:tblLayout w:type="fixed"/>
        <w:tblLook w:firstColumn="1" w:firstRow="1" w:lastColumn="0" w:lastRow="0" w:noHBand="0" w:noVBand="1" w:val="04A0"/>
        <w:tblInd w:type="dxa" w:w="120"/>
      </w:tblPr>
      <w:tblGrid>
        <w:gridCol w:w="900"/>
        <w:gridCol w:w="1100"/>
        <w:gridCol w:w="2500"/>
        <w:gridCol w:w="1150"/>
        <w:gridCol w:w="1650"/>
        <w:gridCol w:w="2060"/>
      </w:tblGrid>
      <w:tr>
        <w:trPr>
          <w:tblHeader w:val="true"/>
        </w:trPr>
        <w:tc>
          <w:tcPr>
            <w:tcW w:type="dxa" w:w="9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7"/>
              </w:rPr>
              <w:t>ROI</w:t>
            </w:r>
          </w:p>
        </w:tc>
        <w:tc>
          <w:tcPr>
            <w:tcW w:type="dxa" w:w="11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7"/>
              </w:rPr>
              <w:t>Sessions</w:t>
            </w:r>
          </w:p>
        </w:tc>
        <w:tc>
          <w:tcPr>
            <w:tcW w:type="dxa" w:w="25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7"/>
              </w:rPr>
              <w:t>Common MS_y slope +/- SE</w:t>
            </w:r>
          </w:p>
        </w:tc>
        <w:tc>
          <w:tcPr>
            <w:tcW w:type="dxa" w:w="11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7"/>
              </w:rPr>
              <w:t>Slope q</w:t>
            </w:r>
          </w:p>
        </w:tc>
        <w:tc>
          <w:tcPr>
            <w:tcW w:type="dxa" w:w="16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7"/>
              </w:rPr>
              <w:t>MS_y x EM</w:t>
            </w:r>
          </w:p>
        </w:tc>
        <w:tc>
          <w:tcPr>
            <w:tcW w:type="dxa" w:w="206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7"/>
              </w:rPr>
              <w:t>Interaction q</w:t>
            </w:r>
          </w:p>
        </w:tc>
      </w:tr>
      <w:tr>
        <w:trPr/>
        <w:tc>
          <w:tcPr>
            <w:tcW w:type="dxa" w:w="9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MT</w:t>
            </w:r>
          </w:p>
        </w:tc>
        <w:tc>
          <w:tcPr>
            <w:tcW w:type="dxa" w:w="11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91</w:t>
            </w:r>
          </w:p>
        </w:tc>
        <w:tc>
          <w:tcPr>
            <w:tcW w:type="dxa" w:w="25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1.354 +/- 0.410</w:t>
            </w:r>
          </w:p>
        </w:tc>
        <w:tc>
          <w:tcPr>
            <w:tcW w:type="dxa" w:w="11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0.005</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0.454</w:t>
            </w:r>
          </w:p>
        </w:tc>
        <w:tc>
          <w:tcPr>
            <w:tcW w:type="dxa" w:w="206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0.901</w:t>
            </w:r>
          </w:p>
        </w:tc>
      </w:tr>
      <w:tr>
        <w:trPr/>
        <w:tc>
          <w:tcPr>
            <w:tcW w:type="dxa" w:w="9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FST</w:t>
            </w:r>
          </w:p>
        </w:tc>
        <w:tc>
          <w:tcPr>
            <w:tcW w:type="dxa" w:w="11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159</w:t>
            </w:r>
          </w:p>
        </w:tc>
        <w:tc>
          <w:tcPr>
            <w:tcW w:type="dxa" w:w="25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0.744 +/- 0.197</w:t>
            </w:r>
          </w:p>
        </w:tc>
        <w:tc>
          <w:tcPr>
            <w:tcW w:type="dxa" w:w="11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7.51e-04</w:t>
            </w:r>
          </w:p>
        </w:tc>
        <w:tc>
          <w:tcPr>
            <w:tcW w:type="dxa" w:w="1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0.349</w:t>
            </w:r>
          </w:p>
        </w:tc>
        <w:tc>
          <w:tcPr>
            <w:tcW w:type="dxa" w:w="206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0.762</w:t>
            </w:r>
          </w:p>
        </w:tc>
      </w:tr>
    </w:tbl>
    <w:p>
      <w:pPr>
        <w:spacing w:before="0" w:after="60"/>
      </w:pPr>
    </w:p>
    <w:p>
      <w:pPr/>
      <w:r>
        <w:rPr>
          <w:rFonts w:ascii="Calibri" w:hAnsi="Calibri"/>
          <w:color w:val="000000"/>
          <w:sz w:val="21"/>
        </w:rPr>
        <w:t>The paired session-mean LME gave a positive common MS_y-bias slope for the combined cue in MT (1.354 +/- 0.410, q = 0.0047) and FST (0.744 +/- 0.197, q = 0.00075). The MS_y-by-condition interaction was not significant in either ROI (MT q = 0.901; FST q = 0.762). These results agree with a stable session-level association but do not show that the MS occurring on a particular trial determines the subsequent choice.</w:t>
      </w:r>
    </w:p>
    <w:p>
      <w:r>
        <w:br w:type="page"/>
      </w:r>
    </w:p>
    <w:p>
      <w:pPr>
        <w:pStyle w:val="Heading2"/>
        <w:keepNext/>
      </w:pPr>
      <w:r>
        <w:t>4.4 Does vertical MS predict the individual up/down choice?</w:t>
      </w:r>
    </w:p>
    <w:tbl>
      <w:tblPr>
        <w:tblStyle w:val="TableGrid"/>
        <w:tblW w:type="dxa" w:w="9360"/>
        <w:jc w:val="left"/>
        <w:tblLayout w:type="fixed"/>
        <w:tblLook w:firstColumn="1" w:firstRow="1" w:lastColumn="0" w:lastRow="0" w:noHBand="0" w:noVBand="1" w:val="04A0"/>
        <w:tblInd w:type="dxa" w:w="120"/>
      </w:tblPr>
      <w:tblGrid>
        <w:gridCol w:w="1150"/>
        <w:gridCol w:w="2050"/>
        <w:gridCol w:w="1000"/>
        <w:gridCol w:w="1400"/>
        <w:gridCol w:w="1900"/>
        <w:gridCol w:w="950"/>
        <w:gridCol w:w="910"/>
      </w:tblGrid>
      <w:tr>
        <w:trPr>
          <w:tblHeader w:val="true"/>
        </w:trPr>
        <w:tc>
          <w:tcPr>
            <w:tcW w:type="dxa" w:w="1150"/>
            <w:vAlign w:val="center"/>
            <w:shd w:fill="F2F4F7" w:val="clear"/>
            <w:tcMar>
              <w:top w:w="90" w:type="dxa"/>
              <w:bottom w:w="90" w:type="dxa"/>
              <w:start w:w="120" w:type="dxa"/>
              <w:end w:w="120" w:type="dxa"/>
            </w:tcMar>
          </w:tcPr>
          <w:p>
            <w:pPr>
              <w:spacing w:before="0" w:after="0" w:line="252" w:lineRule="auto"/>
              <w:jc w:val="left"/>
            </w:pPr>
            <w:r/>
            <w:r>
              <w:rPr>
                <w:rFonts w:ascii="Calibri" w:hAnsi="Calibri"/>
                <w:b/>
                <w:color w:val="17365D"/>
                <w:sz w:val="15"/>
              </w:rPr>
              <w:t>Group</w:t>
            </w:r>
          </w:p>
        </w:tc>
        <w:tc>
          <w:tcPr>
            <w:tcW w:type="dxa" w:w="20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Adjusted average slope [95% CI]</w:t>
            </w:r>
          </w:p>
        </w:tc>
        <w:tc>
          <w:tcPr>
            <w:tcW w:type="dxa" w:w="10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Avg Holm p</w:t>
            </w:r>
          </w:p>
        </w:tc>
        <w:tc>
          <w:tcPr>
            <w:tcW w:type="dxa" w:w="14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N/S slopes</w:t>
            </w:r>
          </w:p>
        </w:tc>
        <w:tc>
          <w:tcPr>
            <w:tcW w:type="dxa" w:w="19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MS_y x EM [95% CI]</w:t>
            </w:r>
          </w:p>
        </w:tc>
        <w:tc>
          <w:tcPr>
            <w:tcW w:type="dxa" w:w="9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Int Holm p</w:t>
            </w:r>
          </w:p>
        </w:tc>
        <w:tc>
          <w:tcPr>
            <w:tcW w:type="dxa" w:w="91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2-D int Holm p</w:t>
            </w:r>
          </w:p>
        </w:tc>
      </w:tr>
      <w:tr>
        <w:trPr/>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Jim-MT</w:t>
            </w:r>
          </w:p>
        </w:tc>
        <w:tc>
          <w:tcPr>
            <w:tcW w:type="dxa" w:w="20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0.015 [-0.028, 0.058]</w:t>
            </w:r>
          </w:p>
        </w:tc>
        <w:tc>
          <w:tcPr>
            <w:tcW w:type="dxa" w:w="10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1.000</w:t>
            </w:r>
          </w:p>
        </w:tc>
        <w:tc>
          <w:tcPr>
            <w:tcW w:type="dxa" w:w="14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0.037 / -0.006</w:t>
            </w:r>
          </w:p>
        </w:tc>
        <w:tc>
          <w:tcPr>
            <w:tcW w:type="dxa" w:w="19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-0.043 [-0.128, 0.042]</w:t>
            </w:r>
          </w:p>
        </w:tc>
        <w:tc>
          <w:tcPr>
            <w:tcW w:type="dxa" w:w="9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0.980</w:t>
            </w:r>
          </w:p>
        </w:tc>
        <w:tc>
          <w:tcPr>
            <w:tcW w:type="dxa" w:w="9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1.000</w:t>
            </w:r>
          </w:p>
        </w:tc>
      </w:tr>
      <w:tr>
        <w:trPr/>
        <w:tc>
          <w:tcPr>
            <w:tcW w:type="dxa" w:w="11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Jim-FST</w:t>
            </w:r>
          </w:p>
        </w:tc>
        <w:tc>
          <w:tcPr>
            <w:tcW w:type="dxa" w:w="20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0.008 [-0.030, 0.045]</w:t>
            </w:r>
          </w:p>
        </w:tc>
        <w:tc>
          <w:tcPr>
            <w:tcW w:type="dxa" w:w="10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1.000</w:t>
            </w:r>
          </w:p>
        </w:tc>
        <w:tc>
          <w:tcPr>
            <w:tcW w:type="dxa" w:w="14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0.014 / 0.002</w:t>
            </w:r>
          </w:p>
        </w:tc>
        <w:tc>
          <w:tcPr>
            <w:tcW w:type="dxa" w:w="19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-0.012 [-0.087, 0.062]</w:t>
            </w:r>
          </w:p>
        </w:tc>
        <w:tc>
          <w:tcPr>
            <w:tcW w:type="dxa" w:w="9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1.000</w:t>
            </w:r>
          </w:p>
        </w:tc>
        <w:tc>
          <w:tcPr>
            <w:tcW w:type="dxa" w:w="91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1.000</w:t>
            </w:r>
          </w:p>
        </w:tc>
      </w:tr>
      <w:tr>
        <w:trPr/>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Clay-MT</w:t>
            </w:r>
          </w:p>
        </w:tc>
        <w:tc>
          <w:tcPr>
            <w:tcW w:type="dxa" w:w="20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0.028 [-0.010, 0.066]</w:t>
            </w:r>
          </w:p>
        </w:tc>
        <w:tc>
          <w:tcPr>
            <w:tcW w:type="dxa" w:w="10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0.604</w:t>
            </w:r>
          </w:p>
        </w:tc>
        <w:tc>
          <w:tcPr>
            <w:tcW w:type="dxa" w:w="14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0.051 / 0.005</w:t>
            </w:r>
          </w:p>
        </w:tc>
        <w:tc>
          <w:tcPr>
            <w:tcW w:type="dxa" w:w="19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-0.045 [-0.122, 0.031]</w:t>
            </w:r>
          </w:p>
        </w:tc>
        <w:tc>
          <w:tcPr>
            <w:tcW w:type="dxa" w:w="9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0.980</w:t>
            </w:r>
          </w:p>
        </w:tc>
        <w:tc>
          <w:tcPr>
            <w:tcW w:type="dxa" w:w="9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1.000</w:t>
            </w:r>
          </w:p>
        </w:tc>
      </w:tr>
      <w:tr>
        <w:trPr/>
        <w:tc>
          <w:tcPr>
            <w:tcW w:type="dxa" w:w="11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Clay-FST</w:t>
            </w:r>
          </w:p>
        </w:tc>
        <w:tc>
          <w:tcPr>
            <w:tcW w:type="dxa" w:w="20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0.014 [-0.015, 0.043]</w:t>
            </w:r>
          </w:p>
        </w:tc>
        <w:tc>
          <w:tcPr>
            <w:tcW w:type="dxa" w:w="10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1.000</w:t>
            </w:r>
          </w:p>
        </w:tc>
        <w:tc>
          <w:tcPr>
            <w:tcW w:type="dxa" w:w="14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0.020 / 0.008</w:t>
            </w:r>
          </w:p>
        </w:tc>
        <w:tc>
          <w:tcPr>
            <w:tcW w:type="dxa" w:w="19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-0.011 [-0.068, 0.046]</w:t>
            </w:r>
          </w:p>
        </w:tc>
        <w:tc>
          <w:tcPr>
            <w:tcW w:type="dxa" w:w="9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1.000</w:t>
            </w:r>
          </w:p>
        </w:tc>
        <w:tc>
          <w:tcPr>
            <w:tcW w:type="dxa" w:w="91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1.000</w:t>
            </w:r>
          </w:p>
        </w:tc>
      </w:tr>
    </w:tbl>
    <w:p>
      <w:pPr>
        <w:spacing w:before="0" w:after="60"/>
      </w:pPr>
    </w:p>
    <w:p>
      <w:pPr/>
      <w:r>
        <w:rPr>
          <w:rFonts w:ascii="Calibri" w:hAnsi="Calibri"/>
          <w:color w:val="000000"/>
          <w:sz w:val="21"/>
        </w:rPr>
        <w:t>No adjusted average vertical-MS slope was significant after correction (Holm p = 0.604 to 1.000). The largest condition-specific coefficient was Clay-MT in NonStim trials (0.051 log-odds per within-session SD, unadjusted p = 0.078), but its Stim slope was near zero (0.005, p = 0.839), and the interaction was not significant. Effect sizes were small: the adjusted average odds ratios per one-SD MS_y increase were approximately 1.008 to 1.029.</w:t>
      </w:r>
    </w:p>
    <w:p>
      <w:pPr/>
      <w:r>
        <w:rPr>
          <w:rFonts w:ascii="Calibri" w:hAnsi="Calibri"/>
          <w:color w:val="000000"/>
          <w:sz w:val="21"/>
        </w:rPr>
        <w:t>At the individual-session level, 246 fits were complete. Only 11 had an unadjusted adjusted-vertical 'any MS' p &lt; .05 and 8 had an unadjusted vertical interaction p &lt; .05. The 2-D vector model produced 6 raw any-effect and 8 raw interaction findings. None survived Holm-Bonferroni correction across sessions.</w:t>
      </w:r>
    </w:p>
    <w:p>
      <w:r>
        <w:br w:type="page"/>
      </w:r>
    </w:p>
    <w:p>
      <w:pPr>
        <w:keepNext/>
        <w:spacing w:before="60" w:after="40"/>
        <w:jc w:val="center"/>
      </w:pPr>
      <w:r>
        <w:drawing>
          <wp:inline xmlns:a="http://schemas.openxmlformats.org/drawingml/2006/main" xmlns:pic="http://schemas.openxmlformats.org/drawingml/2006/picture">
            <wp:extent cx="5806440" cy="4114894"/>
            <wp:docPr id="4" name="Picture 4" descr="Four coefficient plots showing average vertical microsaccade slopes, MS-by-stimulation interactions, and condition-specific slopes for four monkey-area groups." title="Figure 4"/>
            <wp:cNvGraphicFramePr>
              <a:graphicFrameLocks noChangeAspect="1"/>
            </wp:cNvGraphicFramePr>
            <a:graphic>
              <a:graphicData uri="http://schemas.openxmlformats.org/drawingml/2006/picture">
                <pic:pic>
                  <pic:nvPicPr>
                    <pic:cNvPr id="0" name="grouped_ms_y_effects_95ci.png"/>
                    <pic:cNvPicPr/>
                  </pic:nvPicPr>
                  <pic:blipFill>
                    <a:blip r:embed="rId16"/>
                    <a:stretch>
                      <a:fillRect/>
                    </a:stretch>
                  </pic:blipFill>
                  <pic:spPr>
                    <a:xfrm>
                      <a:off x="0" y="0"/>
                      <a:ext cx="5806440" cy="4114894"/>
                    </a:xfrm>
                    <a:prstGeom prst="rect"/>
                  </pic:spPr>
                </pic:pic>
              </a:graphicData>
            </a:graphic>
          </wp:inline>
        </w:drawing>
      </w:r>
    </w:p>
    <w:p>
      <w:pPr>
        <w:pStyle w:val="FigureCaption"/>
      </w:pPr>
      <w:r>
        <w:rPr>
          <w:rFonts w:ascii="Calibri" w:hAnsi="Calibri"/>
          <w:b/>
          <w:color w:val="1F4D78"/>
          <w:sz w:val="18"/>
        </w:rPr>
        <w:t xml:space="preserve">Figure 4. </w:t>
      </w:r>
      <w:r>
        <w:rPr>
          <w:rFonts w:ascii="Calibri" w:hAnsi="Calibri"/>
          <w:i/>
          <w:color w:val="5B6573"/>
          <w:sz w:val="18"/>
        </w:rPr>
        <w:t>Grouped session-stratified vertical-MS results. The upper-left panel tests whether MS_y predicts choice on average; the upper-right panel tests EM moderation. The lower panels show condition-specific slopes. All adjusted 95% confidence intervals include zero.</w:t>
      </w:r>
    </w:p>
    <w:p>
      <w:pPr>
        <w:pStyle w:val="Heading2"/>
        <w:keepNext/>
      </w:pPr>
      <w:r>
        <w:t>4.5 Does EM modulate the MS_y-to-choice relationship?</w:t>
      </w:r>
    </w:p>
    <w:p>
      <w:pPr/>
      <w:r>
        <w:rPr>
          <w:rFonts w:ascii="Calibri" w:hAnsi="Calibri"/>
          <w:color w:val="000000"/>
          <w:sz w:val="21"/>
        </w:rPr>
        <w:t>The preferred adjusted interaction estimates were -0.043 in Jim-MT, -0.012 in Jim-FST, -0.045 in Clay-MT, and -0.011 in Clay-FST. Raw interaction p values ranged from 0.245 to 0.748; Holm-adjusted values ranged from 0.980 to 1.000. The adjusted 2-D X/Y interaction tests had raw p values from 0.454 to 0.813 and Holm p = 1.000 in every group. There is therefore no evidence that EM makes vertical MS more or less predictive of the later choice.</w:t>
      </w:r>
    </w:p>
    <w:p>
      <w:pPr>
        <w:pStyle w:val="Heading2"/>
        <w:keepNext/>
      </w:pPr>
      <w:r>
        <w:t>4.6 Pooled-model sensitivity</w:t>
      </w:r>
    </w:p>
    <w:tbl>
      <w:tblPr>
        <w:tblStyle w:val="TableGrid"/>
        <w:tblW w:type="dxa" w:w="9360"/>
        <w:jc w:val="left"/>
        <w:tblLayout w:type="fixed"/>
        <w:tblLook w:firstColumn="1" w:firstRow="1" w:lastColumn="0" w:lastRow="0" w:noHBand="0" w:noVBand="1" w:val="04A0"/>
        <w:tblInd w:type="dxa" w:w="120"/>
      </w:tblPr>
      <w:tblGrid>
        <w:gridCol w:w="1300"/>
        <w:gridCol w:w="1500"/>
        <w:gridCol w:w="1650"/>
        <w:gridCol w:w="1350"/>
        <w:gridCol w:w="1760"/>
        <w:gridCol w:w="1800"/>
      </w:tblGrid>
      <w:tr>
        <w:trPr>
          <w:tblHeader w:val="true"/>
        </w:trPr>
        <w:tc>
          <w:tcPr>
            <w:tcW w:type="dxa" w:w="1300"/>
            <w:vAlign w:val="center"/>
            <w:shd w:fill="F2F4F7" w:val="clear"/>
            <w:tcMar>
              <w:top w:w="90" w:type="dxa"/>
              <w:bottom w:w="90" w:type="dxa"/>
              <w:start w:w="120" w:type="dxa"/>
              <w:end w:w="120" w:type="dxa"/>
            </w:tcMar>
          </w:tcPr>
          <w:p>
            <w:pPr>
              <w:spacing w:before="0" w:after="0" w:line="252" w:lineRule="auto"/>
              <w:jc w:val="left"/>
            </w:pPr>
            <w:r/>
            <w:r>
              <w:rPr>
                <w:rFonts w:ascii="Calibri" w:hAnsi="Calibri"/>
                <w:b/>
                <w:color w:val="17365D"/>
                <w:sz w:val="17"/>
              </w:rPr>
              <w:t>Group</w:t>
            </w:r>
          </w:p>
        </w:tc>
        <w:tc>
          <w:tcPr>
            <w:tcW w:type="dxa" w:w="15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7"/>
              </w:rPr>
              <w:t>Average slope</w:t>
            </w:r>
          </w:p>
        </w:tc>
        <w:tc>
          <w:tcPr>
            <w:tcW w:type="dxa" w:w="16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7"/>
              </w:rPr>
              <w:t>Average Holm p</w:t>
            </w:r>
          </w:p>
        </w:tc>
        <w:tc>
          <w:tcPr>
            <w:tcW w:type="dxa" w:w="13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7"/>
              </w:rPr>
              <w:t>MS_y x EM</w:t>
            </w:r>
          </w:p>
        </w:tc>
        <w:tc>
          <w:tcPr>
            <w:tcW w:type="dxa" w:w="176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7"/>
              </w:rPr>
              <w:t>Interaction Holm p</w:t>
            </w:r>
          </w:p>
        </w:tc>
        <w:tc>
          <w:tcPr>
            <w:tcW w:type="dxa" w:w="18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7"/>
              </w:rPr>
              <w:t>Any MS Holm p</w:t>
            </w:r>
          </w:p>
        </w:tc>
      </w:tr>
      <w:tr>
        <w:trPr/>
        <w:tc>
          <w:tcPr>
            <w:tcW w:type="dxa" w:w="130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7"/>
              </w:rPr>
              <w:t>Jim-MT</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0.026</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0.428</w:t>
            </w:r>
          </w:p>
        </w:tc>
        <w:tc>
          <w:tcPr>
            <w:tcW w:type="dxa" w:w="13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-0.014</w:t>
            </w:r>
          </w:p>
        </w:tc>
        <w:tc>
          <w:tcPr>
            <w:tcW w:type="dxa" w:w="176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1.000</w:t>
            </w:r>
          </w:p>
        </w:tc>
        <w:tc>
          <w:tcPr>
            <w:tcW w:type="dxa" w:w="18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0.840</w:t>
            </w:r>
          </w:p>
        </w:tc>
      </w:tr>
      <w:tr>
        <w:trPr/>
        <w:tc>
          <w:tcPr>
            <w:tcW w:type="dxa" w:w="130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7"/>
              </w:rPr>
              <w:t>Jim-FST</w:t>
            </w:r>
          </w:p>
        </w:tc>
        <w:tc>
          <w:tcPr>
            <w:tcW w:type="dxa" w:w="15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0.024</w:t>
            </w:r>
          </w:p>
        </w:tc>
        <w:tc>
          <w:tcPr>
            <w:tcW w:type="dxa" w:w="1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0.428</w:t>
            </w:r>
          </w:p>
        </w:tc>
        <w:tc>
          <w:tcPr>
            <w:tcW w:type="dxa" w:w="13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-0.016</w:t>
            </w:r>
          </w:p>
        </w:tc>
        <w:tc>
          <w:tcPr>
            <w:tcW w:type="dxa" w:w="176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1.000</w:t>
            </w:r>
          </w:p>
        </w:tc>
        <w:tc>
          <w:tcPr>
            <w:tcW w:type="dxa" w:w="18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0.840</w:t>
            </w:r>
          </w:p>
        </w:tc>
      </w:tr>
      <w:tr>
        <w:trPr/>
        <w:tc>
          <w:tcPr>
            <w:tcW w:type="dxa" w:w="130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7"/>
              </w:rPr>
              <w:t>Clay-MT</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0.028</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0.428</w:t>
            </w:r>
          </w:p>
        </w:tc>
        <w:tc>
          <w:tcPr>
            <w:tcW w:type="dxa" w:w="13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-0.050</w:t>
            </w:r>
          </w:p>
        </w:tc>
        <w:tc>
          <w:tcPr>
            <w:tcW w:type="dxa" w:w="176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0.762</w:t>
            </w:r>
          </w:p>
        </w:tc>
        <w:tc>
          <w:tcPr>
            <w:tcW w:type="dxa" w:w="18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7"/>
              </w:rPr>
              <w:t>0.697</w:t>
            </w:r>
          </w:p>
        </w:tc>
      </w:tr>
      <w:tr>
        <w:trPr/>
        <w:tc>
          <w:tcPr>
            <w:tcW w:type="dxa" w:w="130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7"/>
              </w:rPr>
              <w:t>Clay-FST</w:t>
            </w:r>
          </w:p>
        </w:tc>
        <w:tc>
          <w:tcPr>
            <w:tcW w:type="dxa" w:w="15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0.025</w:t>
            </w:r>
          </w:p>
        </w:tc>
        <w:tc>
          <w:tcPr>
            <w:tcW w:type="dxa" w:w="1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0.334</w:t>
            </w:r>
          </w:p>
        </w:tc>
        <w:tc>
          <w:tcPr>
            <w:tcW w:type="dxa" w:w="13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0.006</w:t>
            </w:r>
          </w:p>
        </w:tc>
        <w:tc>
          <w:tcPr>
            <w:tcW w:type="dxa" w:w="176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1.000</w:t>
            </w:r>
          </w:p>
        </w:tc>
        <w:tc>
          <w:tcPr>
            <w:tcW w:type="dxa" w:w="18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7"/>
              </w:rPr>
              <w:t>0.697</w:t>
            </w:r>
          </w:p>
        </w:tc>
      </w:tr>
    </w:tbl>
    <w:p>
      <w:pPr>
        <w:spacing w:before="0" w:after="60"/>
      </w:pPr>
    </w:p>
    <w:p>
      <w:pPr/>
      <w:r>
        <w:rPr>
          <w:rFonts w:ascii="Calibri" w:hAnsi="Calibri"/>
          <w:color w:val="000000"/>
          <w:sz w:val="21"/>
        </w:rPr>
        <w:t>The exact pooled logistic model reached the same qualitative conclusion. Average-slope Holm p values were 0.334 to 0.428; interaction Holm p values were 0.762 to 1.000; and joint any-MS Holm p values were 0.697 to 0.840. Session-stratified and pooled estimates were similar and all corresponding 95% confidence intervals crossed zero.</w:t>
      </w:r>
    </w:p>
    <w:p>
      <w:r>
        <w:br w:type="page"/>
      </w:r>
    </w:p>
    <w:p>
      <w:pPr>
        <w:keepNext/>
        <w:spacing w:before="60" w:after="40"/>
        <w:jc w:val="center"/>
      </w:pPr>
      <w:r>
        <w:drawing>
          <wp:inline xmlns:a="http://schemas.openxmlformats.org/drawingml/2006/main" xmlns:pic="http://schemas.openxmlformats.org/drawingml/2006/picture">
            <wp:extent cx="5806440" cy="2735265"/>
            <wp:docPr id="5" name="Picture 5" descr="Two coefficient plots comparing pooled and session-stratified vertical microsaccade effects and interactions across monkey-area groups." title="Figure 5"/>
            <wp:cNvGraphicFramePr>
              <a:graphicFrameLocks noChangeAspect="1"/>
            </wp:cNvGraphicFramePr>
            <a:graphic>
              <a:graphicData uri="http://schemas.openxmlformats.org/drawingml/2006/picture">
                <pic:pic>
                  <pic:nvPicPr>
                    <pic:cNvPr id="0" name="pooled_vs_session_stratified_ms_y_effects_95ci.png"/>
                    <pic:cNvPicPr/>
                  </pic:nvPicPr>
                  <pic:blipFill>
                    <a:blip r:embed="rId17"/>
                    <a:stretch>
                      <a:fillRect/>
                    </a:stretch>
                  </pic:blipFill>
                  <pic:spPr>
                    <a:xfrm>
                      <a:off x="0" y="0"/>
                      <a:ext cx="5806440" cy="2735265"/>
                    </a:xfrm>
                    <a:prstGeom prst="rect"/>
                  </pic:spPr>
                </pic:pic>
              </a:graphicData>
            </a:graphic>
          </wp:inline>
        </w:drawing>
      </w:r>
    </w:p>
    <w:p>
      <w:pPr>
        <w:pStyle w:val="FigureCaption"/>
      </w:pPr>
      <w:r>
        <w:rPr>
          <w:rFonts w:ascii="Calibri" w:hAnsi="Calibri"/>
          <w:b/>
          <w:color w:val="1F4D78"/>
          <w:sz w:val="18"/>
        </w:rPr>
        <w:t xml:space="preserve">Figure 5. </w:t>
      </w:r>
      <w:r>
        <w:rPr>
          <w:rFonts w:ascii="Calibri" w:hAnsi="Calibri"/>
          <w:i/>
          <w:color w:val="5B6573"/>
          <w:sz w:val="18"/>
        </w:rPr>
        <w:t>Sensitivity comparison of the unstratified pooled logistic model and the model with session-specific condition intercepts. Neither model supports a reliable average MS_y slope or MS_y-by-EM interaction.</w:t>
      </w:r>
    </w:p>
    <w:p>
      <w:pPr>
        <w:pStyle w:val="Heading1"/>
        <w:keepNext/>
      </w:pPr>
      <w:r>
        <w:t>5. Integrated interpretation</w:t>
      </w:r>
    </w:p>
    <w:p>
      <w:pPr>
        <w:pStyle w:val="Heading2"/>
        <w:keepNext/>
      </w:pPr>
      <w:r>
        <w:t>5.1 What the positive session-level results mean</w:t>
      </w:r>
    </w:p>
    <w:p>
      <w:pPr/>
      <w:r>
        <w:rPr>
          <w:rFonts w:ascii="Calibri" w:hAnsi="Calibri"/>
          <w:color w:val="000000"/>
          <w:sz w:val="21"/>
        </w:rPr>
        <w:t>The centered analysis is the strongest evidence in favor of an EM-MS-behavior link. In many sessions, an EM-induced upward shift in mean MS_y accompanied an upward shift in fitted choice bias, and a downward shift accompanied a downward bias shift. This relationship was especially coherent in MT, where both sign concordance and change-magnitude scaling were significant.</w:t>
      </w:r>
    </w:p>
    <w:p>
      <w:pPr/>
      <w:r>
        <w:rPr>
          <w:rFonts w:ascii="Calibri" w:hAnsi="Calibri"/>
          <w:color w:val="000000"/>
          <w:sz w:val="21"/>
        </w:rPr>
        <w:t>However, this is an aggregate change-change association. It does not identify which trials produced the behavioral effect, and it cannot distinguish mediation from a shared upstream EM effect. EM could alter a latent oculomotor/decision state that independently changes mean MS_y and psychometric bias. Under that account, MS_y is a useful marker of the state without being the mechanism that generates the choice.</w:t>
      </w:r>
    </w:p>
    <w:p>
      <w:pPr>
        <w:pStyle w:val="Heading2"/>
        <w:keepNext/>
      </w:pPr>
      <w:r>
        <w:t>5.2 Why the trial-level null result matters</w:t>
      </w:r>
    </w:p>
    <w:p>
      <w:pPr/>
      <w:r>
        <w:rPr>
          <w:rFonts w:ascii="Calibri" w:hAnsi="Calibri"/>
          <w:color w:val="000000"/>
          <w:sz w:val="21"/>
        </w:rPr>
        <w:t>If vertical MS were a proximal driver of the up/down decision, trials with more upward MS displacement should have a reliably different probability of Choice = 1 than trials with more downward displacement, after accounting for signed motion evidence, visual condition, EM, and recording session. That prediction was not supported. The adjusted slopes were small, their confidence intervals included zero, and the result held across pooled, session-stratified, vector, and per-session models.</w:t>
      </w:r>
    </w:p>
    <w:p>
      <w:pPr>
        <w:pStyle w:val="Heading2"/>
        <w:keepNext/>
      </w:pPr>
      <w:r>
        <w:t>5.3 Answer to the central question</w:t>
      </w:r>
    </w:p>
    <w:p>
      <w:pPr>
        <w:spacing w:before="80" w:after="160" w:line="259" w:lineRule="auto"/>
        <w:ind w:left="115" w:right="58"/>
        <w:shd w:val="clear" w:fill="EAF2F8"/>
        <w:pBdr>
          <w:left w:val="single" w:sz="20" w:space="6" w:color="2E74B5"/>
        </w:pBdr>
      </w:pPr>
      <w:r>
        <w:rPr>
          <w:rFonts w:ascii="Calibri" w:hAnsi="Calibri"/>
          <w:b/>
          <w:color w:val="17365D"/>
          <w:sz w:val="21"/>
        </w:rPr>
        <w:t xml:space="preserve">Interpretation: </w:t>
      </w:r>
      <w:r>
        <w:rPr>
          <w:rFonts w:ascii="Calibri" w:hAnsi="Calibri"/>
          <w:color w:val="000000"/>
          <w:sz w:val="21"/>
        </w:rPr>
        <w:t>The analyses do not demonstrate that EM made vertical-MS changes that account for the monkeys' choices. They demonstrate a reproducible session-level covariation between EM-induced MS_y change and behavioral bias change, especially in MT, but not the within-trial choice-predictive link needed to treat MS_y as a behavioral mediator.</w:t>
      </w:r>
    </w:p>
    <w:p>
      <w:pPr/>
      <w:r>
        <w:rPr>
          <w:rFonts w:ascii="Calibri" w:hAnsi="Calibri"/>
          <w:color w:val="000000"/>
          <w:sz w:val="21"/>
        </w:rPr>
        <w:t>Accordingly, the most defensible language is: 'EM-induced vertical-MS changes track EM-induced behavioral-bias changes across sessions, but vertical MS direction does not robustly predict individual choices and its choice relationship is not detectably modulated by EM. Vertical MS is therefore better interpreted as a correlated readout than as an established causal intermediary.'</w:t>
      </w:r>
    </w:p>
    <w:p>
      <w:pPr>
        <w:pStyle w:val="Heading1"/>
        <w:keepNext/>
      </w:pPr>
      <w:r>
        <w:t>6. Limitations and inferential boundaries</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vAlign w:val="center"/>
            <w:shd w:fill="F2F4F7" w:val="clear"/>
            <w:tcMar>
              <w:top w:w="90" w:type="dxa"/>
              <w:bottom w:w="90" w:type="dxa"/>
              <w:start w:w="120" w:type="dxa"/>
              <w:end w:w="120" w:type="dxa"/>
            </w:tcMar>
          </w:tcPr>
          <w:p>
            <w:pPr>
              <w:spacing w:before="0" w:after="0" w:line="252" w:lineRule="auto"/>
              <w:jc w:val="left"/>
            </w:pPr>
            <w:r/>
            <w:r>
              <w:rPr>
                <w:rFonts w:ascii="Calibri" w:hAnsi="Calibri"/>
                <w:b/>
                <w:color w:val="17365D"/>
                <w:sz w:val="16"/>
              </w:rPr>
              <w:t>Issue</w:t>
            </w:r>
          </w:p>
        </w:tc>
        <w:tc>
          <w:tcPr>
            <w:tcW w:type="dxa" w:w="7160"/>
            <w:vAlign w:val="center"/>
            <w:shd w:fill="F2F4F7" w:val="clear"/>
            <w:tcMar>
              <w:top w:w="90" w:type="dxa"/>
              <w:bottom w:w="90" w:type="dxa"/>
              <w:start w:w="120" w:type="dxa"/>
              <w:end w:w="120" w:type="dxa"/>
            </w:tcMar>
          </w:tcPr>
          <w:p>
            <w:pPr>
              <w:spacing w:before="0" w:after="0" w:line="252" w:lineRule="auto"/>
              <w:jc w:val="left"/>
            </w:pPr>
            <w:r/>
            <w:r>
              <w:rPr>
                <w:rFonts w:ascii="Calibri" w:hAnsi="Calibri"/>
                <w:b/>
                <w:color w:val="17365D"/>
                <w:sz w:val="16"/>
              </w:rPr>
              <w:t>Implication</w:t>
            </w:r>
          </w:p>
        </w:tc>
      </w:tr>
      <w:tr>
        <w:trPr/>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MS-containing trials only</w:t>
            </w:r>
          </w:p>
        </w:tc>
        <w:tc>
          <w:tcPr>
            <w:tcW w:type="dxa" w:w="716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Direction models exclude trials without an MS. They cannot capture a pathway through EM-induced changes in MS occurrence.</w:t>
            </w:r>
          </w:p>
        </w:tc>
      </w:tr>
      <w:tr>
        <w:trPr/>
        <w:tc>
          <w:tcPr>
            <w:tcW w:type="dxa" w:w="220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Aggregate bias outcomes</w:t>
            </w:r>
          </w:p>
        </w:tc>
        <w:tc>
          <w:tcPr>
            <w:tcW w:type="dxa" w:w="716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Psychometric bias and session-mean MS_y can covary because of shared session-level factors; this is an ecological association.</w:t>
            </w:r>
          </w:p>
        </w:tc>
      </w:tr>
      <w:tr>
        <w:trPr/>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No formal indirect effect</w:t>
            </w:r>
          </w:p>
        </w:tc>
        <w:tc>
          <w:tcPr>
            <w:tcW w:type="dxa" w:w="716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The pipeline does not estimate a multilevel natural indirect effect or product-of-coefficients EM -&gt; MS_y -&gt; choice pathway.</w:t>
            </w:r>
          </w:p>
        </w:tc>
      </w:tr>
      <w:tr>
        <w:trPr/>
        <w:tc>
          <w:tcPr>
            <w:tcW w:type="dxa" w:w="220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Response-code sign</w:t>
            </w:r>
          </w:p>
        </w:tc>
        <w:tc>
          <w:tcPr>
            <w:tcW w:type="dxa" w:w="716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The model predicts Choice = 1. The up/down interpretation of coefficient sign requires confirming the behavioral response coding.</w:t>
            </w:r>
          </w:p>
        </w:tc>
      </w:tr>
      <w:tr>
        <w:trPr/>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Multiple events per trial</w:t>
            </w:r>
          </w:p>
        </w:tc>
        <w:tc>
          <w:tcPr>
            <w:tcW w:type="dxa" w:w="716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Averaging event vectors is reproducible but may hide timing, order, or opposing MS events within a trial.</w:t>
            </w:r>
          </w:p>
        </w:tc>
      </w:tr>
      <w:tr>
        <w:trPr/>
        <w:tc>
          <w:tcPr>
            <w:tcW w:type="dxa" w:w="220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Temporal and latent-state confounding</w:t>
            </w:r>
          </w:p>
        </w:tc>
        <w:tc>
          <w:tcPr>
            <w:tcW w:type="dxa" w:w="716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6"/>
              </w:rPr>
              <w:t>MS precedes the choice saccade, but both MS and choice may reflect the same EM-driven sensory or oculomotor state.</w:t>
            </w:r>
          </w:p>
        </w:tc>
      </w:tr>
      <w:tr>
        <w:trPr/>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Session dependence</w:t>
            </w:r>
          </w:p>
        </w:tc>
        <w:tc>
          <w:tcPr>
            <w:tcW w:type="dxa" w:w="716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6"/>
              </w:rPr>
              <w:t>The unstratified pooled model treats trials as independent. The session-stratified model is preferred, but it uses many fixed intercept terms rather than a hierarchical random-effects model.</w:t>
            </w:r>
          </w:p>
        </w:tc>
      </w:tr>
    </w:tbl>
    <w:p>
      <w:pPr>
        <w:spacing w:before="0" w:after="60"/>
      </w:pPr>
    </w:p>
    <w:p>
      <w:pPr>
        <w:pStyle w:val="Heading1"/>
        <w:keepNext/>
      </w:pPr>
      <w:r>
        <w:t>7. Recommended confirmatory analysis</w:t>
      </w:r>
    </w:p>
    <w:p>
      <w:pPr/>
      <w:r>
        <w:rPr>
          <w:rFonts w:ascii="Calibri" w:hAnsi="Calibri"/>
          <w:color w:val="000000"/>
          <w:sz w:val="21"/>
        </w:rPr>
        <w:t>A confirmatory mediation analysis should preserve the multilevel structure and include every valid trial, not only trials containing an MS. Because MS direction is undefined when no MS occurs, a two-part mediator is preferable.</w:t>
      </w:r>
    </w:p>
    <w:tbl>
      <w:tblPr>
        <w:tblStyle w:val="TableGrid"/>
        <w:tblW w:type="dxa" w:w="9360"/>
        <w:jc w:val="left"/>
        <w:tblLayout w:type="fixed"/>
        <w:tblLook w:firstColumn="1" w:firstRow="1" w:lastColumn="0" w:lastRow="0" w:noHBand="0" w:noVBand="1" w:val="04A0"/>
        <w:tblInd w:type="dxa" w:w="120"/>
      </w:tblPr>
      <w:tblGrid>
        <w:gridCol w:w="1650"/>
        <w:gridCol w:w="4800"/>
        <w:gridCol w:w="2910"/>
      </w:tblGrid>
      <w:tr>
        <w:trPr>
          <w:tblHeader w:val="true"/>
        </w:trPr>
        <w:tc>
          <w:tcPr>
            <w:tcW w:type="dxa" w:w="1650"/>
            <w:vAlign w:val="center"/>
            <w:shd w:fill="F2F4F7" w:val="clear"/>
            <w:tcMar>
              <w:top w:w="90" w:type="dxa"/>
              <w:bottom w:w="90" w:type="dxa"/>
              <w:start w:w="120" w:type="dxa"/>
              <w:end w:w="120" w:type="dxa"/>
            </w:tcMar>
          </w:tcPr>
          <w:p>
            <w:pPr>
              <w:spacing w:before="0" w:after="0" w:line="252" w:lineRule="auto"/>
            </w:pPr>
            <w:r/>
            <w:r>
              <w:rPr>
                <w:rFonts w:ascii="Calibri" w:hAnsi="Calibri"/>
                <w:b/>
                <w:color w:val="17365D"/>
                <w:sz w:val="16"/>
              </w:rPr>
              <w:t>Component</w:t>
            </w:r>
          </w:p>
        </w:tc>
        <w:tc>
          <w:tcPr>
            <w:tcW w:type="dxa" w:w="4800"/>
            <w:vAlign w:val="center"/>
            <w:shd w:fill="F2F4F7" w:val="clear"/>
            <w:tcMar>
              <w:top w:w="90" w:type="dxa"/>
              <w:bottom w:w="90" w:type="dxa"/>
              <w:start w:w="120" w:type="dxa"/>
              <w:end w:w="120" w:type="dxa"/>
            </w:tcMar>
          </w:tcPr>
          <w:p>
            <w:pPr>
              <w:spacing w:before="0" w:after="0" w:line="252" w:lineRule="auto"/>
            </w:pPr>
            <w:r/>
            <w:r>
              <w:rPr>
                <w:rFonts w:ascii="Calibri" w:hAnsi="Calibri"/>
                <w:b/>
                <w:color w:val="17365D"/>
                <w:sz w:val="16"/>
              </w:rPr>
              <w:t>Model sketch</w:t>
            </w:r>
          </w:p>
        </w:tc>
        <w:tc>
          <w:tcPr>
            <w:tcW w:type="dxa" w:w="2910"/>
            <w:vAlign w:val="center"/>
            <w:shd w:fill="F2F4F7" w:val="clear"/>
            <w:tcMar>
              <w:top w:w="90" w:type="dxa"/>
              <w:bottom w:w="90" w:type="dxa"/>
              <w:start w:w="120" w:type="dxa"/>
              <w:end w:w="120" w:type="dxa"/>
            </w:tcMar>
          </w:tcPr>
          <w:p>
            <w:pPr>
              <w:spacing w:before="0" w:after="0" w:line="252" w:lineRule="auto"/>
            </w:pPr>
            <w:r/>
            <w:r>
              <w:rPr>
                <w:rFonts w:ascii="Calibri" w:hAnsi="Calibri"/>
                <w:b/>
                <w:color w:val="17365D"/>
                <w:sz w:val="16"/>
              </w:rPr>
              <w:t>Purpose</w:t>
            </w:r>
          </w:p>
        </w:tc>
      </w:tr>
      <w:tr>
        <w:trPr/>
        <w:tc>
          <w:tcPr>
            <w:tcW w:type="dxa" w:w="1650"/>
            <w:vAlign w:val="center"/>
            <w:tcMar>
              <w:top w:w="90" w:type="dxa"/>
              <w:bottom w:w="90" w:type="dxa"/>
              <w:start w:w="120" w:type="dxa"/>
              <w:end w:w="120" w:type="dxa"/>
            </w:tcMar>
          </w:tcPr>
          <w:p>
            <w:pPr>
              <w:spacing w:before="0" w:after="0" w:line="252" w:lineRule="auto"/>
            </w:pPr>
            <w:r/>
            <w:r>
              <w:rPr>
                <w:rFonts w:ascii="Calibri" w:hAnsi="Calibri"/>
                <w:b w:val="0"/>
                <w:color w:val="000000"/>
                <w:sz w:val="16"/>
              </w:rPr>
              <w:t>Occurrence model</w:t>
            </w:r>
          </w:p>
        </w:tc>
        <w:tc>
          <w:tcPr>
            <w:tcW w:type="dxa" w:w="4800"/>
            <w:vAlign w:val="center"/>
            <w:tcMar>
              <w:top w:w="90" w:type="dxa"/>
              <w:bottom w:w="90" w:type="dxa"/>
              <w:start w:w="120" w:type="dxa"/>
              <w:end w:w="120" w:type="dxa"/>
            </w:tcMar>
          </w:tcPr>
          <w:p>
            <w:pPr>
              <w:spacing w:before="0" w:after="0" w:line="252" w:lineRule="auto"/>
            </w:pPr>
            <w:r/>
            <w:r>
              <w:rPr>
                <w:rFonts w:ascii="Calibri" w:hAnsi="Calibri"/>
                <w:b w:val="0"/>
                <w:color w:val="000000"/>
                <w:sz w:val="16"/>
              </w:rPr>
              <w:t>AnyMS ~ EM + SignedCoherence * VisualCondition + (1 + EM | Session)</w:t>
            </w:r>
          </w:p>
        </w:tc>
        <w:tc>
          <w:tcPr>
            <w:tcW w:type="dxa" w:w="2910"/>
            <w:vAlign w:val="center"/>
            <w:tcMar>
              <w:top w:w="90" w:type="dxa"/>
              <w:bottom w:w="90" w:type="dxa"/>
              <w:start w:w="120" w:type="dxa"/>
              <w:end w:w="120" w:type="dxa"/>
            </w:tcMar>
          </w:tcPr>
          <w:p>
            <w:pPr>
              <w:spacing w:before="0" w:after="0" w:line="252" w:lineRule="auto"/>
            </w:pPr>
            <w:r/>
            <w:r>
              <w:rPr>
                <w:rFonts w:ascii="Calibri" w:hAnsi="Calibri"/>
                <w:b w:val="0"/>
                <w:color w:val="000000"/>
                <w:sz w:val="16"/>
              </w:rPr>
              <w:t>Tests whether EM changes the probability that a trial contains an MS.</w:t>
            </w:r>
          </w:p>
        </w:tc>
      </w:tr>
      <w:tr>
        <w:trPr/>
        <w:tc>
          <w:tcPr>
            <w:tcW w:type="dxa" w:w="165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6"/>
              </w:rPr>
              <w:t>Direction model</w:t>
            </w:r>
          </w:p>
        </w:tc>
        <w:tc>
          <w:tcPr>
            <w:tcW w:type="dxa" w:w="480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6"/>
              </w:rPr>
              <w:t>MS_y | AnyMS = 1 ~ EM + SignedCoherence * VisualCondition + (1 + EM | Session)</w:t>
            </w:r>
          </w:p>
        </w:tc>
        <w:tc>
          <w:tcPr>
            <w:tcW w:type="dxa" w:w="291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6"/>
              </w:rPr>
              <w:t>Tests the EM effect on vertical direction conditional on an MS.</w:t>
            </w:r>
          </w:p>
        </w:tc>
      </w:tr>
      <w:tr>
        <w:trPr/>
        <w:tc>
          <w:tcPr>
            <w:tcW w:type="dxa" w:w="1650"/>
            <w:vAlign w:val="center"/>
            <w:tcMar>
              <w:top w:w="90" w:type="dxa"/>
              <w:bottom w:w="90" w:type="dxa"/>
              <w:start w:w="120" w:type="dxa"/>
              <w:end w:w="120" w:type="dxa"/>
            </w:tcMar>
          </w:tcPr>
          <w:p>
            <w:pPr>
              <w:spacing w:before="0" w:after="0" w:line="252" w:lineRule="auto"/>
            </w:pPr>
            <w:r/>
            <w:r>
              <w:rPr>
                <w:rFonts w:ascii="Calibri" w:hAnsi="Calibri"/>
                <w:b w:val="0"/>
                <w:color w:val="000000"/>
                <w:sz w:val="16"/>
              </w:rPr>
              <w:t>Choice model</w:t>
            </w:r>
          </w:p>
        </w:tc>
        <w:tc>
          <w:tcPr>
            <w:tcW w:type="dxa" w:w="4800"/>
            <w:vAlign w:val="center"/>
            <w:tcMar>
              <w:top w:w="90" w:type="dxa"/>
              <w:bottom w:w="90" w:type="dxa"/>
              <w:start w:w="120" w:type="dxa"/>
              <w:end w:w="120" w:type="dxa"/>
            </w:tcMar>
          </w:tcPr>
          <w:p>
            <w:pPr>
              <w:spacing w:before="0" w:after="0" w:line="252" w:lineRule="auto"/>
            </w:pPr>
            <w:r/>
            <w:r>
              <w:rPr>
                <w:rFonts w:ascii="Calibri" w:hAnsi="Calibri"/>
                <w:b w:val="0"/>
                <w:color w:val="000000"/>
                <w:sz w:val="16"/>
              </w:rPr>
              <w:t>Choice ~ EM + AnyMS + MS_y + EM:MS_y + SignedCoherence * VisualCondition + session effects</w:t>
            </w:r>
          </w:p>
        </w:tc>
        <w:tc>
          <w:tcPr>
            <w:tcW w:type="dxa" w:w="2910"/>
            <w:vAlign w:val="center"/>
            <w:tcMar>
              <w:top w:w="90" w:type="dxa"/>
              <w:bottom w:w="90" w:type="dxa"/>
              <w:start w:w="120" w:type="dxa"/>
              <w:end w:w="120" w:type="dxa"/>
            </w:tcMar>
          </w:tcPr>
          <w:p>
            <w:pPr>
              <w:spacing w:before="0" w:after="0" w:line="252" w:lineRule="auto"/>
            </w:pPr>
            <w:r/>
            <w:r>
              <w:rPr>
                <w:rFonts w:ascii="Calibri" w:hAnsi="Calibri"/>
                <w:b w:val="0"/>
                <w:color w:val="000000"/>
                <w:sz w:val="16"/>
              </w:rPr>
              <w:t>Estimates the within-trial occurrence and direction pathways.</w:t>
            </w:r>
          </w:p>
        </w:tc>
      </w:tr>
      <w:tr>
        <w:trPr/>
        <w:tc>
          <w:tcPr>
            <w:tcW w:type="dxa" w:w="165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6"/>
              </w:rPr>
              <w:t>Indirect effects</w:t>
            </w:r>
          </w:p>
        </w:tc>
        <w:tc>
          <w:tcPr>
            <w:tcW w:type="dxa" w:w="480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6"/>
              </w:rPr>
              <w:t>Cluster bootstrap or Bayesian posterior over sessions</w:t>
            </w:r>
          </w:p>
        </w:tc>
        <w:tc>
          <w:tcPr>
            <w:tcW w:type="dxa" w:w="291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6"/>
              </w:rPr>
              <w:t>Quantifies uncertainty in EM -&gt; AnyMS -&gt; choice and EM -&gt; MS_y -&gt; choice pathways.</w:t>
            </w:r>
          </w:p>
        </w:tc>
      </w:tr>
    </w:tbl>
    <w:p>
      <w:pPr>
        <w:spacing w:before="0" w:after="60"/>
      </w:pPr>
    </w:p>
    <w:p>
      <w:pPr/>
      <w:r>
        <w:rPr>
          <w:rFonts w:ascii="Calibri" w:hAnsi="Calibri"/>
          <w:color w:val="000000"/>
          <w:sz w:val="21"/>
        </w:rPr>
        <w:t>The confirmatory analysis should predefine the response-code mapping, the MS time window relative to sensory evidence and decision formation, and whether MS_y is summarized by the first event, the last event, a time-weighted mean, or the current within-trial vector average. Session-clustered resampling should be used so trial count does not overstate precision.</w:t>
      </w:r>
    </w:p>
    <w:p>
      <w:pPr>
        <w:pStyle w:val="Heading1"/>
        <w:keepNext/>
      </w:pPr>
      <w:r>
        <w:t>8. Reproducibility</w:t>
      </w:r>
    </w:p>
    <w:p>
      <w:pPr/>
      <w:r>
        <w:rPr>
          <w:rFonts w:ascii="Calibri" w:hAnsi="Calibri"/>
          <w:color w:val="000000"/>
          <w:sz w:val="21"/>
        </w:rPr>
        <w:t>The report was generated from the completed 12 ms, no-smoothing population output. Re-running should start from the repository root and use the MATLAB entry points below in order.</w:t>
      </w:r>
    </w:p>
    <w:tbl>
      <w:tblPr>
        <w:tblStyle w:val="TableGrid"/>
        <w:tblW w:type="dxa" w:w="9360"/>
        <w:jc w:val="left"/>
        <w:tblLayout w:type="fixed"/>
        <w:tblLook w:firstColumn="1" w:firstRow="1" w:lastColumn="0" w:lastRow="0" w:noHBand="0" w:noVBand="1" w:val="04A0"/>
        <w:tblInd w:type="dxa" w:w="120"/>
      </w:tblPr>
      <w:tblGrid>
        <w:gridCol w:w="2100"/>
        <w:gridCol w:w="3000"/>
        <w:gridCol w:w="4260"/>
      </w:tblGrid>
      <w:tr>
        <w:trPr>
          <w:tblHeader w:val="true"/>
        </w:trPr>
        <w:tc>
          <w:tcPr>
            <w:tcW w:type="dxa" w:w="2100"/>
            <w:vAlign w:val="center"/>
            <w:shd w:fill="F2F4F7" w:val="clear"/>
            <w:tcMar>
              <w:top w:w="90" w:type="dxa"/>
              <w:bottom w:w="90" w:type="dxa"/>
              <w:start w:w="120" w:type="dxa"/>
              <w:end w:w="120" w:type="dxa"/>
            </w:tcMar>
          </w:tcPr>
          <w:p>
            <w:pPr>
              <w:spacing w:before="0" w:after="0" w:line="252" w:lineRule="auto"/>
            </w:pPr>
            <w:r/>
            <w:r>
              <w:rPr>
                <w:rFonts w:ascii="Calibri" w:hAnsi="Calibri"/>
                <w:b/>
                <w:color w:val="17365D"/>
                <w:sz w:val="16"/>
              </w:rPr>
              <w:t>Stage</w:t>
            </w:r>
          </w:p>
        </w:tc>
        <w:tc>
          <w:tcPr>
            <w:tcW w:type="dxa" w:w="3000"/>
            <w:vAlign w:val="center"/>
            <w:shd w:fill="F2F4F7" w:val="clear"/>
            <w:tcMar>
              <w:top w:w="90" w:type="dxa"/>
              <w:bottom w:w="90" w:type="dxa"/>
              <w:start w:w="120" w:type="dxa"/>
              <w:end w:w="120" w:type="dxa"/>
            </w:tcMar>
          </w:tcPr>
          <w:p>
            <w:pPr>
              <w:spacing w:before="0" w:after="0" w:line="252" w:lineRule="auto"/>
            </w:pPr>
            <w:r/>
            <w:r>
              <w:rPr>
                <w:rFonts w:ascii="Calibri" w:hAnsi="Calibri"/>
                <w:b/>
                <w:color w:val="17365D"/>
                <w:sz w:val="16"/>
              </w:rPr>
              <w:t>Entrypoint</w:t>
            </w:r>
          </w:p>
        </w:tc>
        <w:tc>
          <w:tcPr>
            <w:tcW w:type="dxa" w:w="4260"/>
            <w:vAlign w:val="center"/>
            <w:shd w:fill="F2F4F7" w:val="clear"/>
            <w:tcMar>
              <w:top w:w="90" w:type="dxa"/>
              <w:bottom w:w="90" w:type="dxa"/>
              <w:start w:w="120" w:type="dxa"/>
              <w:end w:w="120" w:type="dxa"/>
            </w:tcMar>
          </w:tcPr>
          <w:p>
            <w:pPr>
              <w:spacing w:before="0" w:after="0" w:line="252" w:lineRule="auto"/>
            </w:pPr>
            <w:r/>
            <w:r>
              <w:rPr>
                <w:rFonts w:ascii="Calibri" w:hAnsi="Calibri"/>
                <w:b/>
                <w:color w:val="17365D"/>
                <w:sz w:val="16"/>
              </w:rPr>
              <w:t>Primary outputs</w:t>
            </w:r>
          </w:p>
        </w:tc>
      </w:tr>
      <w:tr>
        <w:trPr/>
        <w:tc>
          <w:tcPr>
            <w:tcW w:type="dxa" w:w="2100"/>
            <w:vAlign w:val="center"/>
            <w:tcMar>
              <w:top w:w="90" w:type="dxa"/>
              <w:bottom w:w="90" w:type="dxa"/>
              <w:start w:w="120" w:type="dxa"/>
              <w:end w:w="120" w:type="dxa"/>
            </w:tcMar>
          </w:tcPr>
          <w:p>
            <w:pPr>
              <w:spacing w:before="0" w:after="0" w:line="252" w:lineRule="auto"/>
            </w:pPr>
            <w:r/>
            <w:r>
              <w:rPr>
                <w:rFonts w:ascii="Calibri" w:hAnsi="Calibri"/>
                <w:b w:val="0"/>
                <w:color w:val="000000"/>
                <w:sz w:val="16"/>
              </w:rPr>
              <w:t>Population postprocessing</w:t>
            </w:r>
          </w:p>
        </w:tc>
        <w:tc>
          <w:tcPr>
            <w:tcW w:type="dxa" w:w="3000"/>
            <w:vAlign w:val="center"/>
            <w:tcMar>
              <w:top w:w="90" w:type="dxa"/>
              <w:bottom w:w="90" w:type="dxa"/>
              <w:start w:w="120" w:type="dxa"/>
              <w:end w:w="120" w:type="dxa"/>
            </w:tcMar>
          </w:tcPr>
          <w:p>
            <w:pPr>
              <w:spacing w:before="0" w:after="0" w:line="252" w:lineRule="auto"/>
            </w:pPr>
            <w:r/>
            <w:r>
              <w:rPr>
                <w:rFonts w:ascii="Calibri" w:hAnsi="Calibri"/>
                <w:b w:val="0"/>
                <w:color w:val="000000"/>
                <w:sz w:val="16"/>
              </w:rPr>
              <w:t>run_12ms_population_postprocessing.m</w:t>
            </w:r>
          </w:p>
        </w:tc>
        <w:tc>
          <w:tcPr>
            <w:tcW w:type="dxa" w:w="4260"/>
            <w:vAlign w:val="center"/>
            <w:tcMar>
              <w:top w:w="90" w:type="dxa"/>
              <w:bottom w:w="90" w:type="dxa"/>
              <w:start w:w="120" w:type="dxa"/>
              <w:end w:w="120" w:type="dxa"/>
            </w:tcMar>
          </w:tcPr>
          <w:p>
            <w:pPr>
              <w:spacing w:before="0" w:after="0" w:line="252" w:lineRule="auto"/>
            </w:pPr>
            <w:r/>
            <w:r>
              <w:rPr>
                <w:rFonts w:ascii="Calibri" w:hAnsi="Calibri"/>
                <w:b w:val="0"/>
                <w:color w:val="000000"/>
                <w:sz w:val="16"/>
              </w:rPr>
              <w:t>MS metric histograms, paired bias LME, centered DeltaMS_y-DeltaBias tests</w:t>
            </w:r>
          </w:p>
        </w:tc>
      </w:tr>
      <w:tr>
        <w:trPr/>
        <w:tc>
          <w:tcPr>
            <w:tcW w:type="dxa" w:w="210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6"/>
              </w:rPr>
              <w:t>Per-session choice models</w:t>
            </w:r>
          </w:p>
        </w:tc>
        <w:tc>
          <w:tcPr>
            <w:tcW w:type="dxa" w:w="300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6"/>
              </w:rPr>
              <w:t>run_12ms_trialwise_ms_choice.m</w:t>
            </w:r>
          </w:p>
        </w:tc>
        <w:tc>
          <w:tcPr>
            <w:tcW w:type="dxa" w:w="4260"/>
            <w:vAlign w:val="center"/>
            <w:shd w:fill="FAFBFC" w:val="clear"/>
            <w:tcMar>
              <w:top w:w="90" w:type="dxa"/>
              <w:bottom w:w="90" w:type="dxa"/>
              <w:start w:w="120" w:type="dxa"/>
              <w:end w:w="120" w:type="dxa"/>
            </w:tcMar>
          </w:tcPr>
          <w:p>
            <w:pPr>
              <w:spacing w:before="0" w:after="0" w:line="252" w:lineRule="auto"/>
            </w:pPr>
            <w:r/>
            <w:r>
              <w:rPr>
                <w:rFonts w:ascii="Calibri" w:hAnsi="Calibri"/>
                <w:b w:val="0"/>
                <w:color w:val="000000"/>
                <w:sz w:val="16"/>
              </w:rPr>
              <w:t>Trial table, 254 session summaries, coefficients, diagnostic figures</w:t>
            </w:r>
          </w:p>
        </w:tc>
      </w:tr>
      <w:tr>
        <w:trPr/>
        <w:tc>
          <w:tcPr>
            <w:tcW w:type="dxa" w:w="2100"/>
            <w:vAlign w:val="center"/>
            <w:tcMar>
              <w:top w:w="90" w:type="dxa"/>
              <w:bottom w:w="90" w:type="dxa"/>
              <w:start w:w="120" w:type="dxa"/>
              <w:end w:w="120" w:type="dxa"/>
            </w:tcMar>
          </w:tcPr>
          <w:p>
            <w:pPr>
              <w:spacing w:before="0" w:after="0" w:line="252" w:lineRule="auto"/>
            </w:pPr>
            <w:r/>
            <w:r>
              <w:rPr>
                <w:rFonts w:ascii="Calibri" w:hAnsi="Calibri"/>
                <w:b w:val="0"/>
                <w:color w:val="000000"/>
                <w:sz w:val="16"/>
              </w:rPr>
              <w:t>Grouped and pooled models</w:t>
            </w:r>
          </w:p>
        </w:tc>
        <w:tc>
          <w:tcPr>
            <w:tcW w:type="dxa" w:w="3000"/>
            <w:vAlign w:val="center"/>
            <w:tcMar>
              <w:top w:w="90" w:type="dxa"/>
              <w:bottom w:w="90" w:type="dxa"/>
              <w:start w:w="120" w:type="dxa"/>
              <w:end w:w="120" w:type="dxa"/>
            </w:tcMar>
          </w:tcPr>
          <w:p>
            <w:pPr>
              <w:spacing w:before="0" w:after="0" w:line="252" w:lineRule="auto"/>
            </w:pPr>
            <w:r/>
            <w:r>
              <w:rPr>
                <w:rFonts w:ascii="Calibri" w:hAnsi="Calibri"/>
                <w:b w:val="0"/>
                <w:color w:val="000000"/>
                <w:sz w:val="16"/>
              </w:rPr>
              <w:t>run_grouped_monkey_roi_ms_choice.m</w:t>
            </w:r>
          </w:p>
        </w:tc>
        <w:tc>
          <w:tcPr>
            <w:tcW w:type="dxa" w:w="4260"/>
            <w:vAlign w:val="center"/>
            <w:tcMar>
              <w:top w:w="90" w:type="dxa"/>
              <w:bottom w:w="90" w:type="dxa"/>
              <w:start w:w="120" w:type="dxa"/>
              <w:end w:w="120" w:type="dxa"/>
            </w:tcMar>
          </w:tcPr>
          <w:p>
            <w:pPr>
              <w:spacing w:before="0" w:after="0" w:line="252" w:lineRule="auto"/>
            </w:pPr>
            <w:r/>
            <w:r>
              <w:rPr>
                <w:rFonts w:ascii="Calibri" w:hAnsi="Calibri"/>
                <w:b w:val="0"/>
                <w:color w:val="000000"/>
                <w:sz w:val="16"/>
              </w:rPr>
              <w:t>Four monkey-area fits, probability plots, pooled sensitivity comparison</w:t>
            </w:r>
          </w:p>
        </w:tc>
      </w:tr>
    </w:tbl>
    <w:p>
      <w:pPr>
        <w:spacing w:before="0" w:after="60"/>
      </w:pPr>
    </w:p>
    <w:p>
      <w:pPr>
        <w:pStyle w:val="Heading2"/>
        <w:keepNext/>
      </w:pPr>
      <w:r>
        <w:t>8.1 Core analysis functions</w:t>
      </w:r>
    </w:p>
    <w:p>
      <w:pPr>
        <w:pStyle w:val="Code"/>
      </w:pPr>
      <w:r>
        <w:t>analyze_microsaccades.m</w:t>
      </w:r>
    </w:p>
    <w:p>
      <w:pPr>
        <w:pStyle w:val="Code"/>
      </w:pPr>
      <w:r>
        <w:t>analyze_ms_behavior_bias.m</w:t>
      </w:r>
    </w:p>
    <w:p>
      <w:pPr>
        <w:pStyle w:val="Code"/>
      </w:pPr>
      <w:r>
        <w:t>analyze_paired_ms_bias_lme.m</w:t>
      </w:r>
    </w:p>
    <w:p>
      <w:pPr>
        <w:pStyle w:val="Code"/>
      </w:pPr>
      <w:r>
        <w:t>analyze_centered_ms_bias_changes.m</w:t>
      </w:r>
    </w:p>
    <w:p>
      <w:pPr>
        <w:pStyle w:val="Code"/>
      </w:pPr>
      <w:r>
        <w:t>analyze_trialwise_ms_choice.m</w:t>
      </w:r>
    </w:p>
    <w:p>
      <w:pPr>
        <w:pStyle w:val="Code"/>
      </w:pPr>
      <w:r>
        <w:t>analyze_grouped_ms_choice.m</w:t>
      </w:r>
    </w:p>
    <w:p>
      <w:pPr>
        <w:pStyle w:val="Code"/>
      </w:pPr>
      <w:r>
        <w:t>analyze_pooled_logistic_ms_choice.m</w:t>
      </w:r>
    </w:p>
    <w:p>
      <w:pPr>
        <w:pStyle w:val="Heading2"/>
        <w:keepNext/>
      </w:pPr>
      <w:r>
        <w:t>8.2 Key machine-readable result files</w:t>
      </w:r>
    </w:p>
    <w:tbl>
      <w:tblPr>
        <w:tblStyle w:val="TableGrid"/>
        <w:tblW w:type="dxa" w:w="9360"/>
        <w:jc w:val="left"/>
        <w:tblLayout w:type="fixed"/>
        <w:tblLook w:firstColumn="1" w:firstRow="1" w:lastColumn="0" w:lastRow="0" w:noHBand="0" w:noVBand="1" w:val="04A0"/>
        <w:tblInd w:type="dxa" w:w="120"/>
      </w:tblPr>
      <w:tblGrid>
        <w:gridCol w:w="2050"/>
        <w:gridCol w:w="7310"/>
      </w:tblGrid>
      <w:tr>
        <w:trPr>
          <w:tblHeader w:val="true"/>
        </w:trPr>
        <w:tc>
          <w:tcPr>
            <w:tcW w:type="dxa" w:w="2050"/>
            <w:vAlign w:val="center"/>
            <w:shd w:fill="F2F4F7" w:val="clear"/>
            <w:tcMar>
              <w:top w:w="90" w:type="dxa"/>
              <w:bottom w:w="90" w:type="dxa"/>
              <w:start w:w="120" w:type="dxa"/>
              <w:end w:w="120" w:type="dxa"/>
            </w:tcMar>
          </w:tcPr>
          <w:p>
            <w:pPr>
              <w:spacing w:before="0" w:after="0" w:line="252" w:lineRule="auto"/>
              <w:jc w:val="left"/>
            </w:pPr>
            <w:r/>
            <w:r>
              <w:rPr>
                <w:rFonts w:ascii="Calibri" w:hAnsi="Calibri"/>
                <w:b/>
                <w:color w:val="17365D"/>
                <w:sz w:val="15"/>
              </w:rPr>
              <w:t>Result</w:t>
            </w:r>
          </w:p>
        </w:tc>
        <w:tc>
          <w:tcPr>
            <w:tcW w:type="dxa" w:w="7310"/>
            <w:vAlign w:val="center"/>
            <w:shd w:fill="F2F4F7" w:val="clear"/>
            <w:tcMar>
              <w:top w:w="90" w:type="dxa"/>
              <w:bottom w:w="90" w:type="dxa"/>
              <w:start w:w="120" w:type="dxa"/>
              <w:end w:w="120" w:type="dxa"/>
            </w:tcMar>
          </w:tcPr>
          <w:p>
            <w:pPr>
              <w:spacing w:before="0" w:after="0" w:line="252" w:lineRule="auto"/>
              <w:jc w:val="left"/>
            </w:pPr>
            <w:r/>
            <w:r>
              <w:rPr>
                <w:rFonts w:ascii="Calibri" w:hAnsi="Calibri"/>
                <w:b/>
                <w:color w:val="17365D"/>
                <w:sz w:val="15"/>
              </w:rPr>
              <w:t>File</w:t>
            </w:r>
          </w:p>
        </w:tc>
      </w:tr>
      <w:tr>
        <w:trPr/>
        <w:tc>
          <w:tcPr>
            <w:tcW w:type="dxa" w:w="20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EM effects on MS</w:t>
            </w:r>
          </w:p>
        </w:tc>
        <w:tc>
          <w:tcPr>
            <w:tcW w:type="dxa" w:w="731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C:\EM\Microsac\population_merged_12ms_no_smoothing\population_microsaccade_stim_nonstim_tests_complete.csv</w:t>
            </w:r>
          </w:p>
        </w:tc>
      </w:tr>
      <w:tr>
        <w:trPr/>
        <w:tc>
          <w:tcPr>
            <w:tcW w:type="dxa" w:w="20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Session-condition MS metrics</w:t>
            </w:r>
          </w:p>
        </w:tc>
        <w:tc>
          <w:tcPr>
            <w:tcW w:type="dxa" w:w="731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C:\EM\Microsac\population_merged_12ms_no_smoothing\population_analysis\histograms\population_ms_session_condition_metrics.csv</w:t>
            </w:r>
          </w:p>
        </w:tc>
      </w:tr>
      <w:tr>
        <w:trPr/>
        <w:tc>
          <w:tcPr>
            <w:tcW w:type="dxa" w:w="20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Paired bias LME</w:t>
            </w:r>
          </w:p>
        </w:tc>
        <w:tc>
          <w:tcPr>
            <w:tcW w:type="dxa" w:w="731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C:\EM\Microsac\population_merged_12ms_no_smoothing\population_analysis\paired_ms_y_bias_lme\paired_ms_y_bias_lme_summary.csv</w:t>
            </w:r>
          </w:p>
        </w:tc>
      </w:tr>
      <w:tr>
        <w:trPr/>
        <w:tc>
          <w:tcPr>
            <w:tcW w:type="dxa" w:w="20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Centered changes</w:t>
            </w:r>
          </w:p>
        </w:tc>
        <w:tc>
          <w:tcPr>
            <w:tcW w:type="dxa" w:w="731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C:\EM\Microsac\population_merged_12ms_no_smoothing\population_analysis\paired_ms_y_bias_lme\centered_change\centered_delta_ms_y_bias_test_summary.csv</w:t>
            </w:r>
          </w:p>
        </w:tc>
      </w:tr>
      <w:tr>
        <w:trPr/>
        <w:tc>
          <w:tcPr>
            <w:tcW w:type="dxa" w:w="20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Session choice models</w:t>
            </w:r>
          </w:p>
        </w:tc>
        <w:tc>
          <w:tcPr>
            <w:tcW w:type="dxa" w:w="731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C:\EM\Microsac\population_merged_12ms_no_smoothing\population_analysis\trialwise_ms_choice\trialwise_ms_choice_session_summary.csv</w:t>
            </w:r>
          </w:p>
        </w:tc>
      </w:tr>
      <w:tr>
        <w:trPr/>
        <w:tc>
          <w:tcPr>
            <w:tcW w:type="dxa" w:w="20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Grouped choice models</w:t>
            </w:r>
          </w:p>
        </w:tc>
        <w:tc>
          <w:tcPr>
            <w:tcW w:type="dxa" w:w="731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C:\EM\Microsac\population_merged_12ms_no_smoothing\population_analysis\grouped_monkey_roi_ms_choice\grouped_ms_choice_summary.csv</w:t>
            </w:r>
          </w:p>
        </w:tc>
      </w:tr>
      <w:tr>
        <w:trPr/>
        <w:tc>
          <w:tcPr>
            <w:tcW w:type="dxa" w:w="20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Pooled sensitivity</w:t>
            </w:r>
          </w:p>
        </w:tc>
        <w:tc>
          <w:tcPr>
            <w:tcW w:type="dxa" w:w="731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C:\EM\Microsac\population_merged_12ms_no_smoothing\population_analysis\grouped_monkey_roi_ms_choice\pooled_logistic\pooled_logistic_ms_choice_summary.csv</w:t>
            </w:r>
          </w:p>
        </w:tc>
      </w:tr>
    </w:tbl>
    <w:p>
      <w:pPr>
        <w:spacing w:before="0" w:after="60"/>
      </w:pPr>
    </w:p>
    <w:p>
      <w:r>
        <w:br w:type="page"/>
      </w:r>
    </w:p>
    <w:p>
      <w:pPr>
        <w:pStyle w:val="Heading1"/>
        <w:keepNext/>
      </w:pPr>
      <w:r>
        <w:t>Appendix A. Cue-specific aggregate results</w:t>
      </w:r>
    </w:p>
    <w:tbl>
      <w:tblPr>
        <w:tblStyle w:val="TableGrid"/>
        <w:tblW w:type="dxa" w:w="9360"/>
        <w:jc w:val="left"/>
        <w:tblLayout w:type="fixed"/>
        <w:tblLook w:firstColumn="1" w:firstRow="1" w:lastColumn="0" w:lastRow="0" w:noHBand="0" w:noVBand="1" w:val="04A0"/>
        <w:tblInd w:type="dxa" w:w="120"/>
      </w:tblPr>
      <w:tblGrid>
        <w:gridCol w:w="650"/>
        <w:gridCol w:w="1150"/>
        <w:gridCol w:w="650"/>
        <w:gridCol w:w="1300"/>
        <w:gridCol w:w="1550"/>
        <w:gridCol w:w="1250"/>
        <w:gridCol w:w="1400"/>
        <w:gridCol w:w="1410"/>
      </w:tblGrid>
      <w:tr>
        <w:trPr>
          <w:tblHeader w:val="true"/>
        </w:trPr>
        <w:tc>
          <w:tcPr>
            <w:tcW w:type="dxa" w:w="6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ROI</w:t>
            </w:r>
          </w:p>
        </w:tc>
        <w:tc>
          <w:tcPr>
            <w:tcW w:type="dxa" w:w="1150"/>
            <w:vAlign w:val="center"/>
            <w:shd w:fill="F2F4F7" w:val="clear"/>
            <w:tcMar>
              <w:top w:w="90" w:type="dxa"/>
              <w:bottom w:w="90" w:type="dxa"/>
              <w:start w:w="120" w:type="dxa"/>
              <w:end w:w="120" w:type="dxa"/>
            </w:tcMar>
          </w:tcPr>
          <w:p>
            <w:pPr>
              <w:spacing w:before="0" w:after="0" w:line="252" w:lineRule="auto"/>
              <w:jc w:val="left"/>
            </w:pPr>
            <w:r/>
            <w:r>
              <w:rPr>
                <w:rFonts w:ascii="Calibri" w:hAnsi="Calibri"/>
                <w:b/>
                <w:color w:val="17365D"/>
                <w:sz w:val="15"/>
              </w:rPr>
              <w:t>Cue</w:t>
            </w:r>
          </w:p>
        </w:tc>
        <w:tc>
          <w:tcPr>
            <w:tcW w:type="dxa" w:w="6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N</w:t>
            </w:r>
          </w:p>
        </w:tc>
        <w:tc>
          <w:tcPr>
            <w:tcW w:type="dxa" w:w="13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Concordance</w:t>
            </w:r>
          </w:p>
        </w:tc>
        <w:tc>
          <w:tcPr>
            <w:tcW w:type="dxa" w:w="15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95% CI</w:t>
            </w:r>
          </w:p>
        </w:tc>
        <w:tc>
          <w:tcPr>
            <w:tcW w:type="dxa" w:w="12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Quadrant q</w:t>
            </w:r>
          </w:p>
        </w:tc>
        <w:tc>
          <w:tcPr>
            <w:tcW w:type="dxa" w:w="14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Origin slope</w:t>
            </w:r>
          </w:p>
        </w:tc>
        <w:tc>
          <w:tcPr>
            <w:tcW w:type="dxa" w:w="141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Slope q</w:t>
            </w:r>
          </w:p>
        </w:tc>
      </w:tr>
      <w:tr>
        <w:trPr/>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FST</w:t>
            </w:r>
          </w:p>
        </w:tc>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Combined</w:t>
            </w:r>
          </w:p>
        </w:tc>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159</w:t>
            </w:r>
          </w:p>
        </w:tc>
        <w:tc>
          <w:tcPr>
            <w:tcW w:type="dxa" w:w="13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65.2%</w:t>
            </w:r>
          </w:p>
        </w:tc>
        <w:tc>
          <w:tcPr>
            <w:tcW w:type="dxa" w:w="15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[0.575, 0.722]</w:t>
            </w:r>
          </w:p>
        </w:tc>
        <w:tc>
          <w:tcPr>
            <w:tcW w:type="dxa" w:w="12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3.76e-04</w:t>
            </w:r>
          </w:p>
        </w:tc>
        <w:tc>
          <w:tcPr>
            <w:tcW w:type="dxa" w:w="14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0.270</w:t>
            </w:r>
          </w:p>
        </w:tc>
        <w:tc>
          <w:tcPr>
            <w:tcW w:type="dxa" w:w="14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0.328</w:t>
            </w:r>
          </w:p>
        </w:tc>
      </w:tr>
      <w:tr>
        <w:trPr/>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FST</w:t>
            </w:r>
          </w:p>
        </w:tc>
        <w:tc>
          <w:tcPr>
            <w:tcW w:type="dxa" w:w="11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MonoL</w:t>
            </w:r>
          </w:p>
        </w:tc>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147</w:t>
            </w:r>
          </w:p>
        </w:tc>
        <w:tc>
          <w:tcPr>
            <w:tcW w:type="dxa" w:w="13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59.2%</w:t>
            </w:r>
          </w:p>
        </w:tc>
        <w:tc>
          <w:tcPr>
            <w:tcW w:type="dxa" w:w="15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[0.511, 0.668]</w:t>
            </w:r>
          </w:p>
        </w:tc>
        <w:tc>
          <w:tcPr>
            <w:tcW w:type="dxa" w:w="12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0.016</w:t>
            </w:r>
          </w:p>
        </w:tc>
        <w:tc>
          <w:tcPr>
            <w:tcW w:type="dxa" w:w="14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0.636</w:t>
            </w:r>
          </w:p>
        </w:tc>
        <w:tc>
          <w:tcPr>
            <w:tcW w:type="dxa" w:w="141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0.315</w:t>
            </w:r>
          </w:p>
        </w:tc>
      </w:tr>
      <w:tr>
        <w:trPr/>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FST</w:t>
            </w:r>
          </w:p>
        </w:tc>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MonoR</w:t>
            </w:r>
          </w:p>
        </w:tc>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150</w:t>
            </w:r>
          </w:p>
        </w:tc>
        <w:tc>
          <w:tcPr>
            <w:tcW w:type="dxa" w:w="13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60.0%</w:t>
            </w:r>
          </w:p>
        </w:tc>
        <w:tc>
          <w:tcPr>
            <w:tcW w:type="dxa" w:w="15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[0.520, 0.675]</w:t>
            </w:r>
          </w:p>
        </w:tc>
        <w:tc>
          <w:tcPr>
            <w:tcW w:type="dxa" w:w="12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0.010</w:t>
            </w:r>
          </w:p>
        </w:tc>
        <w:tc>
          <w:tcPr>
            <w:tcW w:type="dxa" w:w="14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0.748</w:t>
            </w:r>
          </w:p>
        </w:tc>
        <w:tc>
          <w:tcPr>
            <w:tcW w:type="dxa" w:w="14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0.315</w:t>
            </w:r>
          </w:p>
        </w:tc>
      </w:tr>
      <w:tr>
        <w:trPr/>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FST</w:t>
            </w:r>
          </w:p>
        </w:tc>
        <w:tc>
          <w:tcPr>
            <w:tcW w:type="dxa" w:w="11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Stereo</w:t>
            </w:r>
          </w:p>
        </w:tc>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152</w:t>
            </w:r>
          </w:p>
        </w:tc>
        <w:tc>
          <w:tcPr>
            <w:tcW w:type="dxa" w:w="13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63.2%</w:t>
            </w:r>
          </w:p>
        </w:tc>
        <w:tc>
          <w:tcPr>
            <w:tcW w:type="dxa" w:w="15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[0.553, 0.704]</w:t>
            </w:r>
          </w:p>
        </w:tc>
        <w:tc>
          <w:tcPr>
            <w:tcW w:type="dxa" w:w="12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9.84e-04</w:t>
            </w:r>
          </w:p>
        </w:tc>
        <w:tc>
          <w:tcPr>
            <w:tcW w:type="dxa" w:w="14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0.939</w:t>
            </w:r>
          </w:p>
        </w:tc>
        <w:tc>
          <w:tcPr>
            <w:tcW w:type="dxa" w:w="141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0.242</w:t>
            </w:r>
          </w:p>
        </w:tc>
      </w:tr>
      <w:tr>
        <w:trPr/>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MT</w:t>
            </w:r>
          </w:p>
        </w:tc>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Combined</w:t>
            </w:r>
          </w:p>
        </w:tc>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91</w:t>
            </w:r>
          </w:p>
        </w:tc>
        <w:tc>
          <w:tcPr>
            <w:tcW w:type="dxa" w:w="13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69.2%</w:t>
            </w:r>
          </w:p>
        </w:tc>
        <w:tc>
          <w:tcPr>
            <w:tcW w:type="dxa" w:w="15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[0.591, 0.778]</w:t>
            </w:r>
          </w:p>
        </w:tc>
        <w:tc>
          <w:tcPr>
            <w:tcW w:type="dxa" w:w="12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4.17e-04</w:t>
            </w:r>
          </w:p>
        </w:tc>
        <w:tc>
          <w:tcPr>
            <w:tcW w:type="dxa" w:w="14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5.091</w:t>
            </w:r>
          </w:p>
        </w:tc>
        <w:tc>
          <w:tcPr>
            <w:tcW w:type="dxa" w:w="14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0.006</w:t>
            </w:r>
          </w:p>
        </w:tc>
      </w:tr>
      <w:tr>
        <w:trPr/>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MT</w:t>
            </w:r>
          </w:p>
        </w:tc>
        <w:tc>
          <w:tcPr>
            <w:tcW w:type="dxa" w:w="11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MonoL</w:t>
            </w:r>
          </w:p>
        </w:tc>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83</w:t>
            </w:r>
          </w:p>
        </w:tc>
        <w:tc>
          <w:tcPr>
            <w:tcW w:type="dxa" w:w="13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68.7%</w:t>
            </w:r>
          </w:p>
        </w:tc>
        <w:tc>
          <w:tcPr>
            <w:tcW w:type="dxa" w:w="15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[0.581, 0.776]</w:t>
            </w:r>
          </w:p>
        </w:tc>
        <w:tc>
          <w:tcPr>
            <w:tcW w:type="dxa" w:w="12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7.02e-04</w:t>
            </w:r>
          </w:p>
        </w:tc>
        <w:tc>
          <w:tcPr>
            <w:tcW w:type="dxa" w:w="14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10.206</w:t>
            </w:r>
          </w:p>
        </w:tc>
        <w:tc>
          <w:tcPr>
            <w:tcW w:type="dxa" w:w="141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0.006</w:t>
            </w:r>
          </w:p>
        </w:tc>
      </w:tr>
      <w:tr>
        <w:trPr/>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MT</w:t>
            </w:r>
          </w:p>
        </w:tc>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MonoR</w:t>
            </w:r>
          </w:p>
        </w:tc>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84</w:t>
            </w:r>
          </w:p>
        </w:tc>
        <w:tc>
          <w:tcPr>
            <w:tcW w:type="dxa" w:w="13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69.0%</w:t>
            </w:r>
          </w:p>
        </w:tc>
        <w:tc>
          <w:tcPr>
            <w:tcW w:type="dxa" w:w="15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[0.585, 0.779]</w:t>
            </w:r>
          </w:p>
        </w:tc>
        <w:tc>
          <w:tcPr>
            <w:tcW w:type="dxa" w:w="12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6.28e-04</w:t>
            </w:r>
          </w:p>
        </w:tc>
        <w:tc>
          <w:tcPr>
            <w:tcW w:type="dxa" w:w="14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13.051</w:t>
            </w:r>
          </w:p>
        </w:tc>
        <w:tc>
          <w:tcPr>
            <w:tcW w:type="dxa" w:w="14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0.003</w:t>
            </w:r>
          </w:p>
        </w:tc>
      </w:tr>
      <w:tr>
        <w:trPr/>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MT</w:t>
            </w:r>
          </w:p>
        </w:tc>
        <w:tc>
          <w:tcPr>
            <w:tcW w:type="dxa" w:w="11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Stereo</w:t>
            </w:r>
          </w:p>
        </w:tc>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90</w:t>
            </w:r>
          </w:p>
        </w:tc>
        <w:tc>
          <w:tcPr>
            <w:tcW w:type="dxa" w:w="13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70.0%</w:t>
            </w:r>
          </w:p>
        </w:tc>
        <w:tc>
          <w:tcPr>
            <w:tcW w:type="dxa" w:w="15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[0.599, 0.785]</w:t>
            </w:r>
          </w:p>
        </w:tc>
        <w:tc>
          <w:tcPr>
            <w:tcW w:type="dxa" w:w="12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3.76e-04</w:t>
            </w:r>
          </w:p>
        </w:tc>
        <w:tc>
          <w:tcPr>
            <w:tcW w:type="dxa" w:w="14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11.729</w:t>
            </w:r>
          </w:p>
        </w:tc>
        <w:tc>
          <w:tcPr>
            <w:tcW w:type="dxa" w:w="141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0.006</w:t>
            </w:r>
          </w:p>
        </w:tc>
      </w:tr>
    </w:tbl>
    <w:p>
      <w:pPr>
        <w:spacing w:before="0" w:after="60"/>
      </w:pPr>
    </w:p>
    <w:p>
      <w:pPr>
        <w:pStyle w:val="SourceNote"/>
      </w:pPr>
      <w:r>
        <w:t>Quadrant q and slope q use Benjamini-Hochberg FDR correction across all eight ROI-by-cue tests.</w:t>
      </w:r>
    </w:p>
    <w:tbl>
      <w:tblPr>
        <w:tblStyle w:val="TableGrid"/>
        <w:tblW w:type="dxa" w:w="9360"/>
        <w:jc w:val="left"/>
        <w:tblLayout w:type="fixed"/>
        <w:tblLook w:firstColumn="1" w:firstRow="1" w:lastColumn="0" w:lastRow="0" w:noHBand="0" w:noVBand="1" w:val="04A0"/>
        <w:tblInd w:type="dxa" w:w="120"/>
      </w:tblPr>
      <w:tblGrid>
        <w:gridCol w:w="700"/>
        <w:gridCol w:w="1250"/>
        <w:gridCol w:w="650"/>
        <w:gridCol w:w="2200"/>
        <w:gridCol w:w="1250"/>
        <w:gridCol w:w="1500"/>
        <w:gridCol w:w="1810"/>
      </w:tblGrid>
      <w:tr>
        <w:trPr>
          <w:tblHeader w:val="true"/>
        </w:trPr>
        <w:tc>
          <w:tcPr>
            <w:tcW w:type="dxa" w:w="7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ROI</w:t>
            </w:r>
          </w:p>
        </w:tc>
        <w:tc>
          <w:tcPr>
            <w:tcW w:type="dxa" w:w="1250"/>
            <w:vAlign w:val="center"/>
            <w:shd w:fill="F2F4F7" w:val="clear"/>
            <w:tcMar>
              <w:top w:w="90" w:type="dxa"/>
              <w:bottom w:w="90" w:type="dxa"/>
              <w:start w:w="120" w:type="dxa"/>
              <w:end w:w="120" w:type="dxa"/>
            </w:tcMar>
          </w:tcPr>
          <w:p>
            <w:pPr>
              <w:spacing w:before="0" w:after="0" w:line="252" w:lineRule="auto"/>
              <w:jc w:val="left"/>
            </w:pPr>
            <w:r/>
            <w:r>
              <w:rPr>
                <w:rFonts w:ascii="Calibri" w:hAnsi="Calibri"/>
                <w:b/>
                <w:color w:val="17365D"/>
                <w:sz w:val="15"/>
              </w:rPr>
              <w:t>Cue</w:t>
            </w:r>
          </w:p>
        </w:tc>
        <w:tc>
          <w:tcPr>
            <w:tcW w:type="dxa" w:w="6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N</w:t>
            </w:r>
          </w:p>
        </w:tc>
        <w:tc>
          <w:tcPr>
            <w:tcW w:type="dxa" w:w="22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Common slope +/- SE</w:t>
            </w:r>
          </w:p>
        </w:tc>
        <w:tc>
          <w:tcPr>
            <w:tcW w:type="dxa" w:w="125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Slope q</w:t>
            </w:r>
          </w:p>
        </w:tc>
        <w:tc>
          <w:tcPr>
            <w:tcW w:type="dxa" w:w="150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Interaction</w:t>
            </w:r>
          </w:p>
        </w:tc>
        <w:tc>
          <w:tcPr>
            <w:tcW w:type="dxa" w:w="1810"/>
            <w:vAlign w:val="center"/>
            <w:shd w:fill="F2F4F7" w:val="clear"/>
            <w:tcMar>
              <w:top w:w="90" w:type="dxa"/>
              <w:bottom w:w="90" w:type="dxa"/>
              <w:start w:w="120" w:type="dxa"/>
              <w:end w:w="120" w:type="dxa"/>
            </w:tcMar>
          </w:tcPr>
          <w:p>
            <w:pPr>
              <w:spacing w:before="0" w:after="0" w:line="252" w:lineRule="auto"/>
              <w:jc w:val="center"/>
            </w:pPr>
            <w:r/>
            <w:r>
              <w:rPr>
                <w:rFonts w:ascii="Calibri" w:hAnsi="Calibri"/>
                <w:b/>
                <w:color w:val="17365D"/>
                <w:sz w:val="15"/>
              </w:rPr>
              <w:t>Interaction q</w:t>
            </w:r>
          </w:p>
        </w:tc>
      </w:tr>
      <w:tr>
        <w:trPr/>
        <w:tc>
          <w:tcPr>
            <w:tcW w:type="dxa" w:w="7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FST</w:t>
            </w:r>
          </w:p>
        </w:tc>
        <w:tc>
          <w:tcPr>
            <w:tcW w:type="dxa" w:w="12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Combined</w:t>
            </w:r>
          </w:p>
        </w:tc>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159</w:t>
            </w:r>
          </w:p>
        </w:tc>
        <w:tc>
          <w:tcPr>
            <w:tcW w:type="dxa" w:w="22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0.744 +/- 0.197</w:t>
            </w:r>
          </w:p>
        </w:tc>
        <w:tc>
          <w:tcPr>
            <w:tcW w:type="dxa" w:w="12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7.51e-04</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0.349</w:t>
            </w:r>
          </w:p>
        </w:tc>
        <w:tc>
          <w:tcPr>
            <w:tcW w:type="dxa" w:w="18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0.762</w:t>
            </w:r>
          </w:p>
        </w:tc>
      </w:tr>
      <w:tr>
        <w:trPr/>
        <w:tc>
          <w:tcPr>
            <w:tcW w:type="dxa" w:w="7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FST</w:t>
            </w:r>
          </w:p>
        </w:tc>
        <w:tc>
          <w:tcPr>
            <w:tcW w:type="dxa" w:w="12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MonoL</w:t>
            </w:r>
          </w:p>
        </w:tc>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147</w:t>
            </w:r>
          </w:p>
        </w:tc>
        <w:tc>
          <w:tcPr>
            <w:tcW w:type="dxa" w:w="22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0.343 +/- 0.373</w:t>
            </w:r>
          </w:p>
        </w:tc>
        <w:tc>
          <w:tcPr>
            <w:tcW w:type="dxa" w:w="12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0.462</w:t>
            </w:r>
          </w:p>
        </w:tc>
        <w:tc>
          <w:tcPr>
            <w:tcW w:type="dxa" w:w="15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-0.226</w:t>
            </w:r>
          </w:p>
        </w:tc>
        <w:tc>
          <w:tcPr>
            <w:tcW w:type="dxa" w:w="181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0.762</w:t>
            </w:r>
          </w:p>
        </w:tc>
      </w:tr>
      <w:tr>
        <w:trPr/>
        <w:tc>
          <w:tcPr>
            <w:tcW w:type="dxa" w:w="7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FST</w:t>
            </w:r>
          </w:p>
        </w:tc>
        <w:tc>
          <w:tcPr>
            <w:tcW w:type="dxa" w:w="12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MonoR</w:t>
            </w:r>
          </w:p>
        </w:tc>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150</w:t>
            </w:r>
          </w:p>
        </w:tc>
        <w:tc>
          <w:tcPr>
            <w:tcW w:type="dxa" w:w="22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0.269 +/- 0.365</w:t>
            </w:r>
          </w:p>
        </w:tc>
        <w:tc>
          <w:tcPr>
            <w:tcW w:type="dxa" w:w="12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0.462</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-0.317</w:t>
            </w:r>
          </w:p>
        </w:tc>
        <w:tc>
          <w:tcPr>
            <w:tcW w:type="dxa" w:w="18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0.762</w:t>
            </w:r>
          </w:p>
        </w:tc>
      </w:tr>
      <w:tr>
        <w:trPr/>
        <w:tc>
          <w:tcPr>
            <w:tcW w:type="dxa" w:w="7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FST</w:t>
            </w:r>
          </w:p>
        </w:tc>
        <w:tc>
          <w:tcPr>
            <w:tcW w:type="dxa" w:w="12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Stereo</w:t>
            </w:r>
          </w:p>
        </w:tc>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152</w:t>
            </w:r>
          </w:p>
        </w:tc>
        <w:tc>
          <w:tcPr>
            <w:tcW w:type="dxa" w:w="22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0.562 +/- 0.300</w:t>
            </w:r>
          </w:p>
        </w:tc>
        <w:tc>
          <w:tcPr>
            <w:tcW w:type="dxa" w:w="12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0.125</w:t>
            </w:r>
          </w:p>
        </w:tc>
        <w:tc>
          <w:tcPr>
            <w:tcW w:type="dxa" w:w="15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-0.415</w:t>
            </w:r>
          </w:p>
        </w:tc>
        <w:tc>
          <w:tcPr>
            <w:tcW w:type="dxa" w:w="181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0.762</w:t>
            </w:r>
          </w:p>
        </w:tc>
      </w:tr>
      <w:tr>
        <w:trPr/>
        <w:tc>
          <w:tcPr>
            <w:tcW w:type="dxa" w:w="7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MT</w:t>
            </w:r>
          </w:p>
        </w:tc>
        <w:tc>
          <w:tcPr>
            <w:tcW w:type="dxa" w:w="12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Combined</w:t>
            </w:r>
          </w:p>
        </w:tc>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91</w:t>
            </w:r>
          </w:p>
        </w:tc>
        <w:tc>
          <w:tcPr>
            <w:tcW w:type="dxa" w:w="22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1.354 +/- 0.410</w:t>
            </w:r>
          </w:p>
        </w:tc>
        <w:tc>
          <w:tcPr>
            <w:tcW w:type="dxa" w:w="12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0.005</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0.454</w:t>
            </w:r>
          </w:p>
        </w:tc>
        <w:tc>
          <w:tcPr>
            <w:tcW w:type="dxa" w:w="18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0.901</w:t>
            </w:r>
          </w:p>
        </w:tc>
      </w:tr>
      <w:tr>
        <w:trPr/>
        <w:tc>
          <w:tcPr>
            <w:tcW w:type="dxa" w:w="7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MT</w:t>
            </w:r>
          </w:p>
        </w:tc>
        <w:tc>
          <w:tcPr>
            <w:tcW w:type="dxa" w:w="12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MonoL</w:t>
            </w:r>
          </w:p>
        </w:tc>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83</w:t>
            </w:r>
          </w:p>
        </w:tc>
        <w:tc>
          <w:tcPr>
            <w:tcW w:type="dxa" w:w="22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1.159 +/- 0.835</w:t>
            </w:r>
          </w:p>
        </w:tc>
        <w:tc>
          <w:tcPr>
            <w:tcW w:type="dxa" w:w="12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0.222</w:t>
            </w:r>
          </w:p>
        </w:tc>
        <w:tc>
          <w:tcPr>
            <w:tcW w:type="dxa" w:w="15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-0.865</w:t>
            </w:r>
          </w:p>
        </w:tc>
        <w:tc>
          <w:tcPr>
            <w:tcW w:type="dxa" w:w="181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0.901</w:t>
            </w:r>
          </w:p>
        </w:tc>
      </w:tr>
      <w:tr>
        <w:trPr/>
        <w:tc>
          <w:tcPr>
            <w:tcW w:type="dxa" w:w="7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MT</w:t>
            </w:r>
          </w:p>
        </w:tc>
        <w:tc>
          <w:tcPr>
            <w:tcW w:type="dxa" w:w="1250"/>
            <w:vAlign w:val="center"/>
            <w:tcMar>
              <w:top w:w="90" w:type="dxa"/>
              <w:bottom w:w="90" w:type="dxa"/>
              <w:start w:w="120" w:type="dxa"/>
              <w:end w:w="120" w:type="dxa"/>
            </w:tcMar>
          </w:tcPr>
          <w:p>
            <w:pPr>
              <w:spacing w:before="0" w:after="0" w:line="252" w:lineRule="auto"/>
              <w:jc w:val="left"/>
            </w:pPr>
            <w:r/>
            <w:r>
              <w:rPr>
                <w:rFonts w:ascii="Calibri" w:hAnsi="Calibri"/>
                <w:b w:val="0"/>
                <w:color w:val="000000"/>
                <w:sz w:val="15"/>
              </w:rPr>
              <w:t>MonoR</w:t>
            </w:r>
          </w:p>
        </w:tc>
        <w:tc>
          <w:tcPr>
            <w:tcW w:type="dxa" w:w="6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84</w:t>
            </w:r>
          </w:p>
        </w:tc>
        <w:tc>
          <w:tcPr>
            <w:tcW w:type="dxa" w:w="22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1.322 +/- 0.826</w:t>
            </w:r>
          </w:p>
        </w:tc>
        <w:tc>
          <w:tcPr>
            <w:tcW w:type="dxa" w:w="125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0.222</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0.636</w:t>
            </w:r>
          </w:p>
        </w:tc>
        <w:tc>
          <w:tcPr>
            <w:tcW w:type="dxa" w:w="1810"/>
            <w:vAlign w:val="center"/>
            <w:tcMar>
              <w:top w:w="90" w:type="dxa"/>
              <w:bottom w:w="90" w:type="dxa"/>
              <w:start w:w="120" w:type="dxa"/>
              <w:end w:w="120" w:type="dxa"/>
            </w:tcMar>
          </w:tcPr>
          <w:p>
            <w:pPr>
              <w:spacing w:before="0" w:after="0" w:line="252" w:lineRule="auto"/>
              <w:jc w:val="center"/>
            </w:pPr>
            <w:r/>
            <w:r>
              <w:rPr>
                <w:rFonts w:ascii="Calibri" w:hAnsi="Calibri"/>
                <w:b w:val="0"/>
                <w:color w:val="000000"/>
                <w:sz w:val="15"/>
              </w:rPr>
              <w:t>0.901</w:t>
            </w:r>
          </w:p>
        </w:tc>
      </w:tr>
      <w:tr>
        <w:trPr/>
        <w:tc>
          <w:tcPr>
            <w:tcW w:type="dxa" w:w="7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MT</w:t>
            </w:r>
          </w:p>
        </w:tc>
        <w:tc>
          <w:tcPr>
            <w:tcW w:type="dxa" w:w="1250"/>
            <w:vAlign w:val="center"/>
            <w:shd w:fill="FAFBFC" w:val="clear"/>
            <w:tcMar>
              <w:top w:w="90" w:type="dxa"/>
              <w:bottom w:w="90" w:type="dxa"/>
              <w:start w:w="120" w:type="dxa"/>
              <w:end w:w="120" w:type="dxa"/>
            </w:tcMar>
          </w:tcPr>
          <w:p>
            <w:pPr>
              <w:spacing w:before="0" w:after="0" w:line="252" w:lineRule="auto"/>
              <w:jc w:val="left"/>
            </w:pPr>
            <w:r/>
            <w:r>
              <w:rPr>
                <w:rFonts w:ascii="Calibri" w:hAnsi="Calibri"/>
                <w:b w:val="0"/>
                <w:color w:val="000000"/>
                <w:sz w:val="15"/>
              </w:rPr>
              <w:t>Stereo</w:t>
            </w:r>
          </w:p>
        </w:tc>
        <w:tc>
          <w:tcPr>
            <w:tcW w:type="dxa" w:w="6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90</w:t>
            </w:r>
          </w:p>
        </w:tc>
        <w:tc>
          <w:tcPr>
            <w:tcW w:type="dxa" w:w="22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0.823 +/- 0.869</w:t>
            </w:r>
          </w:p>
        </w:tc>
        <w:tc>
          <w:tcPr>
            <w:tcW w:type="dxa" w:w="125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0.344</w:t>
            </w:r>
          </w:p>
        </w:tc>
        <w:tc>
          <w:tcPr>
            <w:tcW w:type="dxa" w:w="150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-0.218</w:t>
            </w:r>
          </w:p>
        </w:tc>
        <w:tc>
          <w:tcPr>
            <w:tcW w:type="dxa" w:w="1810"/>
            <w:vAlign w:val="center"/>
            <w:shd w:fill="FAFBFC" w:val="clear"/>
            <w:tcMar>
              <w:top w:w="90" w:type="dxa"/>
              <w:bottom w:w="90" w:type="dxa"/>
              <w:start w:w="120" w:type="dxa"/>
              <w:end w:w="120" w:type="dxa"/>
            </w:tcMar>
          </w:tcPr>
          <w:p>
            <w:pPr>
              <w:spacing w:before="0" w:after="0" w:line="252" w:lineRule="auto"/>
              <w:jc w:val="center"/>
            </w:pPr>
            <w:r/>
            <w:r>
              <w:rPr>
                <w:rFonts w:ascii="Calibri" w:hAnsi="Calibri"/>
                <w:b w:val="0"/>
                <w:color w:val="000000"/>
                <w:sz w:val="15"/>
              </w:rPr>
              <w:t>0.901</w:t>
            </w:r>
          </w:p>
        </w:tc>
      </w:tr>
    </w:tbl>
    <w:p>
      <w:pPr>
        <w:spacing w:before="0" w:after="60"/>
      </w:pPr>
    </w:p>
    <w:p>
      <w:pPr>
        <w:pStyle w:val="SourceNote"/>
      </w:pPr>
      <w:r>
        <w:t>LME q values are FDR-corrected across the four cue definitions within each ROI and test family.</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B6573"/>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5B6573"/>
        <w:sz w:val="16"/>
      </w:rPr>
      <w:t>TECHNICAL ANALYSIS REPORT  |  VERTICAL MS AND CHOICE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20" w:after="160" w:line="252" w:lineRule="auto"/>
    </w:pPr>
    <w:rPr>
      <w:rFonts w:ascii="Calibri" w:hAnsi="Calibri"/>
      <w:i/>
      <w:color w:val="5B6573"/>
      <w:sz w:val="18"/>
    </w:rPr>
  </w:style>
  <w:style w:type="paragraph" w:customStyle="1" w:styleId="SourceNote">
    <w:name w:val="Source Note"/>
    <w:pPr>
      <w:spacing w:before="80" w:after="120" w:line="252" w:lineRule="auto"/>
    </w:pPr>
    <w:rPr>
      <w:rFonts w:ascii="Calibri" w:hAnsi="Calibri"/>
      <w:i/>
      <w:color w:val="5B6573"/>
      <w:sz w:val="17"/>
    </w:rPr>
  </w:style>
  <w:style w:type="paragraph" w:customStyle="1" w:styleId="Code">
    <w:name w:val="Code"/>
    <w:pPr>
      <w:spacing w:before="20" w:after="40" w:line="240" w:lineRule="auto"/>
      <w:ind w:left="259"/>
    </w:pPr>
    <w:rPr>
      <w:rFonts w:ascii="Consolas" w:hAnsi="Consolas"/>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EM-Driven Vertical Microsaccades Account for Up/Down Choices?</dc:title>
  <dc:subject>Microsaccade mediation and EM modulation analysis</dc:subject>
  <dc:creator>Microsaccade analysis repository</dc:creator>
  <cp:keywords>microsaccades, electrical microstimulation, choice, mediation, MT, FST</cp:keywords>
  <dc:description>Generated from the completed 12 ms no-smoothing population analysis.</dc:description>
  <cp:lastModifiedBy/>
  <cp:revision>1</cp:revision>
  <dcterms:created xsi:type="dcterms:W3CDTF">2013-12-23T23:15:00Z</dcterms:created>
  <dcterms:modified xsi:type="dcterms:W3CDTF">2013-12-23T23:15:00Z</dcterms:modified>
  <cp:category/>
</cp:coreProperties>
</file>