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80" w:after="40"/>
      </w:pPr>
      <w:r>
        <w:rPr>
          <w:rFonts w:ascii="Calibri" w:hAnsi="Calibri"/>
          <w:b/>
          <w:color w:val="2E74B5"/>
          <w:sz w:val="18"/>
        </w:rPr>
        <w:t>ANALYSIS SUMMARY</w:t>
      </w:r>
    </w:p>
    <w:p>
      <w:pPr>
        <w:pStyle w:val="Title"/>
      </w:pPr>
      <w:r>
        <w:t>Does electrical stimulation change the link between microsaccades and choice?</w:t>
      </w:r>
    </w:p>
    <w:p>
      <w:pPr>
        <w:pStyle w:val="Subtitle"/>
      </w:pPr>
      <w:r>
        <w:t>Trial-level and pooled monkey-by-area results using the 12 ms detector without smoothing</w:t>
      </w:r>
    </w:p>
    <w:p>
      <w:pPr>
        <w:keepNext/>
        <w:spacing w:before="0" w:after="240"/>
      </w:pPr>
      <w:r>
        <w:rPr>
          <w:rFonts w:ascii="Calibri" w:hAnsi="Calibri"/>
          <w:color w:val="5F6368"/>
          <w:sz w:val="19"/>
        </w:rPr>
        <w:t>Prepared from repository analyses and saved outputs | 28 July 2026</w:t>
      </w:r>
    </w:p>
    <w:p>
      <w:pPr>
        <w:keepLines/>
        <w:spacing w:before="0" w:after="200" w:line="259" w:lineRule="auto"/>
        <w:ind w:left="216" w:right="173"/>
        <w:shd w:fill="F4F6F9"/>
        <w:pBdr>
          <w:left w:val="single" w:sz="18" w:space="8" w:color="2E74B5"/>
        </w:pBdr>
      </w:pPr>
      <w:r>
        <w:rPr>
          <w:rFonts w:ascii="Calibri" w:hAnsi="Calibri"/>
          <w:b/>
          <w:color w:val="2E74B5"/>
          <w:sz w:val="18"/>
        </w:rPr>
        <w:t xml:space="preserve">BOTTOM LINE  </w:t>
      </w:r>
      <w:r>
        <w:rPr>
          <w:rFonts w:ascii="Calibri" w:hAnsi="Calibri"/>
          <w:color w:val="202124"/>
          <w:sz w:val="21"/>
        </w:rPr>
        <w:t>Across 77,742 trials containing at least one microsaccade, electrical stimulation neither measurably altered how trial-mean MS displacement predicted choice nor left a useful vertical-MS signature of Stim versus NonStim trials. The only detectable reverse-model association (Clay-FST) had near-chance held-out discrimination.</w:t>
      </w:r>
    </w:p>
    <w:p>
      <w:pPr>
        <w:pStyle w:val="Heading1"/>
      </w:pPr>
      <w:r>
        <w:t>Analysis in brief</w:t>
      </w:r>
    </w:p>
    <w:p>
      <w:pPr>
        <w:keepLines/>
        <w:spacing w:after="120"/>
      </w:pPr>
      <w:r>
        <w:rPr>
          <w:rFonts w:ascii="Calibri" w:hAnsi="Calibri"/>
          <w:b/>
          <w:color w:val="1F4D78"/>
        </w:rPr>
        <w:t xml:space="preserve">Data. </w:t>
      </w:r>
      <w:r>
        <w:t>The pipeline screened 254 recording sessions. A total of 253 sessions contributed 77,742 usable MS-containing trials to the pooled analysis (39,161 NonStim; 38,581 Stim); 246 sessions supported complete standalone fits. Seven had too few trials for a session fit and one had no usable MS trial.</w:t>
      </w:r>
    </w:p>
    <w:p>
      <w:pPr>
        <w:keepLines/>
        <w:spacing w:after="120"/>
      </w:pPr>
      <w:r>
        <w:rPr>
          <w:rFonts w:ascii="Calibri" w:hAnsi="Calibri"/>
          <w:b/>
          <w:color w:val="1F4D78"/>
        </w:rPr>
        <w:t xml:space="preserve">MS measure. </w:t>
      </w:r>
      <w:r>
        <w:t>Events were detected during the visual-stimulus interval (EID 118 to 130) with a 12 ms minimum duration, no extra smoothing, and the merged/unmatched-eye event rule. For each trial with at least one event, event displacement vectors were averaged; vertical displacement (MS_y) was standardized within session.</w:t>
      </w:r>
    </w:p>
    <w:p>
      <w:pPr>
        <w:keepLines/>
        <w:spacing w:after="80"/>
      </w:pPr>
      <w:r>
        <w:rPr>
          <w:rFonts w:ascii="Calibri" w:hAnsi="Calibri"/>
          <w:b/>
          <w:color w:val="1F4D78"/>
        </w:rPr>
        <w:t xml:space="preserve">Outcome and primary test. </w:t>
      </w:r>
      <w:r>
        <w:t>The outcome was the saved binary response (Choice = 1 versus 0). The MS_y x StimCondition coefficient directly tests whether stimulation changes the MS-choice slope, while motion evidence, visual condition, and session-specific stimulation terms absorb major behavioral structure.</w:t>
      </w:r>
    </w:p>
    <w:p>
      <w:pPr>
        <w:keepLines/>
        <w:spacing w:before="40" w:after="160" w:line="240" w:lineRule="auto"/>
        <w:ind w:left="259" w:right="259"/>
        <w:shd w:fill="F7F8FA"/>
      </w:pPr>
      <w:r>
        <w:rPr>
          <w:rFonts w:ascii="Consolas" w:hAnsi="Consolas"/>
          <w:color w:val="202124"/>
          <w:sz w:val="18"/>
        </w:rPr>
        <w:t>Choice ~ SessionID * StimCondition + SignedCoherence * VisualCondition + MS_y * StimCondition</w:t>
      </w:r>
    </w:p>
    <w:p>
      <w:pPr>
        <w:keepLines/>
        <w:spacing w:after="0"/>
      </w:pPr>
      <w:r>
        <w:rPr>
          <w:rFonts w:ascii="Calibri" w:hAnsi="Calibri"/>
          <w:b/>
          <w:color w:val="1F4D78"/>
        </w:rPr>
        <w:t xml:space="preserve">Robustness. </w:t>
      </w:r>
      <w:r>
        <w:t>We compared simple and stimulus-adjusted vertical models, fit a joint horizontal/vertical sensitivity model, repeated tests session by session with Holm correction, and checked the earlier paired session-mean bias analysis. Logistic fits used Jeffreys-prior bias reduction to limit separation from sparse choice cells.</w:t>
      </w:r>
    </w:p>
    <w:p>
      <w:r>
        <w:br w:type="page"/>
      </w:r>
    </w:p>
    <w:p>
      <w:pPr>
        <w:pStyle w:val="Heading1"/>
      </w:pPr>
      <w:r>
        <w:t>Pooled monkey-by-area results</w:t>
      </w:r>
    </w:p>
    <w:p>
      <w:pPr>
        <w:keepLines/>
      </w:pPr>
      <w:r>
        <w:t>The pooled models are the clearest population-level answer: they use all usable trials while preserving within-session MS scaling and separate NonStim/Stim baselines for each recording.</w:t>
      </w:r>
    </w:p>
    <w:p>
      <w:pPr>
        <w:keepLines/>
        <w:spacing w:before="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2273276"/>
            <wp:docPr id="1" name="Picture 1" title="grouped-ms-stimulation-summary" descr="Two-panel forest plot. Left: adjusted vertical microsaccade slopes in NonStim and Stim conditions for Jim-MT, Jim-FST, Clay-MT, and Clay-FST. Right: Stim minus NonStim interaction coefficients with 95 percent confidence intervals. Every interaction interval crosses zero and all Holm p values are at least 0.98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ed-ms-stimulation-summ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73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1. Condition-specific adjusted MS_y slopes and their difference (Stim - NonStim). Coefficients are log-odds changes in Choice = 1 per one within-session SD of vertical MS displacement; bars are 95% Wald confidence intervals.</w:t>
      </w:r>
    </w:p>
    <w:p>
      <w:pPr>
        <w:keepNext/>
        <w:spacing w:before="40" w:after="80"/>
      </w:pPr>
      <w:r>
        <w:rPr>
          <w:rFonts w:ascii="Calibri" w:hAnsi="Calibri"/>
          <w:b/>
          <w:color w:val="1F4D78"/>
          <w:sz w:val="19"/>
        </w:rPr>
        <w:t>Table 1. Adjusted vertical MS x stimulation tests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5DAE1"/>
          <w:left w:val="single" w:sz="4" w:space="0" w:color="D5DAE1"/>
          <w:bottom w:val="single" w:sz="4" w:space="0" w:color="D5DAE1"/>
          <w:right w:val="single" w:sz="4" w:space="0" w:color="D5DAE1"/>
          <w:insideH w:val="single" w:sz="4" w:space="0" w:color="D5DAE1"/>
          <w:insideV w:val="single" w:sz="4" w:space="0" w:color="D5DAE1"/>
        </w:tblBorders>
      </w:tblPr>
      <w:tblGrid>
        <w:gridCol w:w="1450"/>
        <w:gridCol w:w="1870"/>
        <w:gridCol w:w="3300"/>
        <w:gridCol w:w="1320"/>
        <w:gridCol w:w="1420"/>
      </w:tblGrid>
      <w:tr>
        <w:trPr>
          <w:tblHeader w:val="true"/>
        </w:trPr>
        <w:tc>
          <w:tcPr>
            <w:tcW w:type="dxa" w:w="14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202124"/>
                <w:sz w:val="18"/>
              </w:rPr>
              <w:t>Group</w:t>
            </w:r>
          </w:p>
        </w:tc>
        <w:tc>
          <w:tcPr>
            <w:tcW w:type="dxa" w:w="187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202124"/>
                <w:sz w:val="18"/>
              </w:rPr>
              <w:t>Sessions / trials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202124"/>
                <w:sz w:val="18"/>
              </w:rPr>
              <w:t>Interaction (95% CI)</w:t>
            </w:r>
          </w:p>
        </w:tc>
        <w:tc>
          <w:tcPr>
            <w:tcW w:type="dxa" w:w="13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202124"/>
                <w:sz w:val="18"/>
              </w:rPr>
              <w:t>Raw p</w:t>
            </w:r>
          </w:p>
        </w:tc>
        <w:tc>
          <w:tcPr>
            <w:tcW w:type="dxa" w:w="14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202124"/>
                <w:sz w:val="18"/>
              </w:rPr>
              <w:t>Holm p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8"/>
              </w:rPr>
              <w:t>Jim-MT</w:t>
            </w:r>
          </w:p>
        </w:tc>
        <w:tc>
          <w:tcPr>
            <w:tcW w:type="dxa" w:w="18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2124"/>
                <w:sz w:val="18"/>
              </w:rPr>
              <w:t>56 / 13,346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8"/>
              </w:rPr>
              <w:t>-0.043 (-0.128, +0.042)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2124"/>
                <w:sz w:val="18"/>
              </w:rPr>
              <w:t>.322</w:t>
            </w:r>
          </w:p>
        </w:tc>
        <w:tc>
          <w:tcPr>
            <w:tcW w:type="dxa" w:w="1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2124"/>
                <w:sz w:val="18"/>
              </w:rPr>
              <w:t>.980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8"/>
              </w:rPr>
              <w:t>Jim-FST</w:t>
            </w:r>
          </w:p>
        </w:tc>
        <w:tc>
          <w:tcPr>
            <w:tcW w:type="dxa" w:w="18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2124"/>
                <w:sz w:val="18"/>
              </w:rPr>
              <w:t>94 / 18,144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8"/>
              </w:rPr>
              <w:t>-0.012 (-0.087, +0.062)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2124"/>
                <w:sz w:val="18"/>
              </w:rPr>
              <w:t>.748</w:t>
            </w:r>
          </w:p>
        </w:tc>
        <w:tc>
          <w:tcPr>
            <w:tcW w:type="dxa" w:w="1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2124"/>
                <w:sz w:val="18"/>
              </w:rPr>
              <w:t>1.000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8"/>
              </w:rPr>
              <w:t>Clay-MT</w:t>
            </w:r>
          </w:p>
        </w:tc>
        <w:tc>
          <w:tcPr>
            <w:tcW w:type="dxa" w:w="18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2124"/>
                <w:sz w:val="18"/>
              </w:rPr>
              <w:t>38 / 16,462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8"/>
              </w:rPr>
              <w:t>-0.045 (-0.122, +0.031)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2124"/>
                <w:sz w:val="18"/>
              </w:rPr>
              <w:t>.245</w:t>
            </w:r>
          </w:p>
        </w:tc>
        <w:tc>
          <w:tcPr>
            <w:tcW w:type="dxa" w:w="1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2124"/>
                <w:sz w:val="18"/>
              </w:rPr>
              <w:t>.980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8"/>
              </w:rPr>
              <w:t>Clay-FST</w:t>
            </w:r>
          </w:p>
        </w:tc>
        <w:tc>
          <w:tcPr>
            <w:tcW w:type="dxa" w:w="18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2124"/>
                <w:sz w:val="18"/>
              </w:rPr>
              <w:t>65 / 29,790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8"/>
              </w:rPr>
              <w:t>-0.011 (-0.068, +0.046)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2124"/>
                <w:sz w:val="18"/>
              </w:rPr>
              <w:t>.701</w:t>
            </w:r>
          </w:p>
        </w:tc>
        <w:tc>
          <w:tcPr>
            <w:tcW w:type="dxa" w:w="1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2124"/>
                <w:sz w:val="18"/>
              </w:rPr>
              <w:t>1.000</w:t>
            </w:r>
          </w:p>
        </w:tc>
      </w:tr>
    </w:tbl>
    <w:p>
      <w:pPr>
        <w:spacing w:before="80" w:after="140" w:line="240" w:lineRule="auto"/>
      </w:pPr>
      <w:r>
        <w:rPr>
          <w:rFonts w:ascii="Calibri" w:hAnsi="Calibri"/>
          <w:color w:val="5F6368"/>
          <w:sz w:val="17"/>
        </w:rPr>
        <w:t>Note: Interaction = Stim slope - NonStim slope. Holm correction was applied across the four monkey-area groups within the adjusted vertical interaction family.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Result. </w:t>
      </w:r>
      <w:r>
        <w:t>All four point estimates were mildly negative, describing weaker MS_y slopes during stimulation, but every confidence interval included zero. Raw interaction p values ranged from .245 to .748 and Holm p values from .980 to 1.000. The joint X/Y interaction was also null in every group (raw p = .454 to .813; Holm p = 1.000).</w:t>
      </w:r>
    </w:p>
    <w:p>
      <w:r>
        <w:br w:type="page"/>
      </w:r>
    </w:p>
    <w:p>
      <w:pPr>
        <w:pStyle w:val="Heading1"/>
      </w:pPr>
      <w:r>
        <w:t>Can vertical MS identify a Stim trial?</w:t>
      </w:r>
    </w:p>
    <w:p>
      <w:pPr>
        <w:keepLines/>
      </w:pPr>
      <w:r>
        <w:t>Reverse model: trial-average vertical MS was standardized within session. We fit Stim ~ SessionID + MeanMSY_Z for association and Stim ~ MeanMSY_Z for prediction, evaluated by leave-one-session-out AUC. Holm correction covered the four monkey-area groups.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57635"/>
            <wp:docPr id="3" name="Picture 3" descr="Held-out session AUCs and session-adjusted logistic coefficients for predicting Stim versus NonStim from vertical microsaccade displacem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im_from_vertical_ms_summa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7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2. Trial-level discrimination of Stim versus NonStim from vertical MS. Left: mean held-out-session AUC. Right: session-adjusted log-odds slope per within-session SD. Bars are 95% confidence intervals.</w:t>
      </w:r>
    </w:p>
    <w:p>
      <w:pPr>
        <w:keepNext/>
        <w:spacing w:before="40" w:after="80"/>
      </w:pPr>
      <w:r>
        <w:rPr>
          <w:rFonts w:ascii="Calibri" w:hAnsi="Calibri"/>
          <w:b/>
          <w:color w:val="1F4D78"/>
          <w:sz w:val="19"/>
        </w:rPr>
        <w:t>Table 2. Stim classification from vertical MS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5DAE1"/>
          <w:left w:val="single" w:sz="4" w:space="0" w:color="D5DAE1"/>
          <w:bottom w:val="single" w:sz="4" w:space="0" w:color="D5DAE1"/>
          <w:right w:val="single" w:sz="4" w:space="0" w:color="D5DAE1"/>
          <w:insideH w:val="single" w:sz="4" w:space="0" w:color="D5DAE1"/>
          <w:insideV w:val="single" w:sz="4" w:space="0" w:color="D5DAE1"/>
        </w:tblBorders>
      </w:tblPr>
      <w:tblGrid>
        <w:gridCol w:w="1450"/>
        <w:gridCol w:w="1870"/>
        <w:gridCol w:w="3300"/>
        <w:gridCol w:w="1320"/>
        <w:gridCol w:w="1420"/>
      </w:tblGrid>
      <w:tr>
        <w:trPr>
          <w:tblHeader w:val="true"/>
        </w:trPr>
        <w:tc>
          <w:tcPr>
            <w:tcW w:type="dxa" w:w="14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202124"/>
                <w:sz w:val="18"/>
              </w:rPr>
              <w:t>Group</w:t>
            </w:r>
          </w:p>
        </w:tc>
        <w:tc>
          <w:tcPr>
            <w:tcW w:type="dxa" w:w="187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202124"/>
                <w:sz w:val="18"/>
              </w:rPr>
              <w:t>Sessions / trials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202124"/>
                <w:sz w:val="18"/>
              </w:rPr>
              <w:t>Slope (Holm p)</w:t>
            </w:r>
          </w:p>
        </w:tc>
        <w:tc>
          <w:tcPr>
            <w:tcW w:type="dxa" w:w="13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202124"/>
                <w:sz w:val="18"/>
              </w:rPr>
              <w:t>Held-out AUC (95% CI)</w:t>
            </w:r>
          </w:p>
        </w:tc>
        <w:tc>
          <w:tcPr>
            <w:tcW w:type="dxa" w:w="14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202124"/>
                <w:sz w:val="18"/>
              </w:rPr>
              <w:t>Balanced acc.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8"/>
              </w:rPr>
              <w:t>Jim-MT</w:t>
            </w:r>
          </w:p>
        </w:tc>
        <w:tc>
          <w:tcPr>
            <w:tcW w:type="dxa" w:w="18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2124"/>
                <w:sz w:val="18"/>
              </w:rPr>
              <w:t>56 / 13,346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8"/>
              </w:rPr>
              <w:t>-0.011 (1.000)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2124"/>
                <w:sz w:val="18"/>
              </w:rPr>
              <w:t>.507 (.487-.528)</w:t>
            </w:r>
          </w:p>
        </w:tc>
        <w:tc>
          <w:tcPr>
            <w:tcW w:type="dxa" w:w="1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2124"/>
                <w:sz w:val="18"/>
              </w:rPr>
              <w:t>.488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8"/>
              </w:rPr>
              <w:t>Jim-FST</w:t>
            </w:r>
          </w:p>
        </w:tc>
        <w:tc>
          <w:tcPr>
            <w:tcW w:type="dxa" w:w="18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2124"/>
                <w:sz w:val="18"/>
              </w:rPr>
              <w:t>94 / 18,144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8"/>
              </w:rPr>
              <w:t>-0.002 (1.000)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2124"/>
                <w:sz w:val="18"/>
              </w:rPr>
              <w:t>.474 (.460-.488)</w:t>
            </w:r>
          </w:p>
        </w:tc>
        <w:tc>
          <w:tcPr>
            <w:tcW w:type="dxa" w:w="1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2124"/>
                <w:sz w:val="18"/>
              </w:rPr>
              <w:t>.500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8"/>
              </w:rPr>
              <w:t>Clay-MT</w:t>
            </w:r>
          </w:p>
        </w:tc>
        <w:tc>
          <w:tcPr>
            <w:tcW w:type="dxa" w:w="18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2124"/>
                <w:sz w:val="18"/>
              </w:rPr>
              <w:t>38 / 16,462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8"/>
              </w:rPr>
              <w:t>-0.011 (1.000)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2124"/>
                <w:sz w:val="18"/>
              </w:rPr>
              <w:t>.506 (.486-.527)</w:t>
            </w:r>
          </w:p>
        </w:tc>
        <w:tc>
          <w:tcPr>
            <w:tcW w:type="dxa" w:w="1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2124"/>
                <w:sz w:val="18"/>
              </w:rPr>
              <w:t>.499</w:t>
            </w:r>
          </w:p>
        </w:tc>
      </w:tr>
      <w:tr>
        <w:trPr/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8"/>
              </w:rPr>
              <w:t>Clay-FST</w:t>
            </w:r>
          </w:p>
        </w:tc>
        <w:tc>
          <w:tcPr>
            <w:tcW w:type="dxa" w:w="18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2124"/>
                <w:sz w:val="18"/>
              </w:rPr>
              <w:t>65 / 29,790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2124"/>
                <w:sz w:val="18"/>
              </w:rPr>
              <w:t>-0.040 (.0026)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2124"/>
                <w:sz w:val="18"/>
              </w:rPr>
              <w:t>.514 (.495-.533)</w:t>
            </w:r>
          </w:p>
        </w:tc>
        <w:tc>
          <w:tcPr>
            <w:tcW w:type="dxa" w:w="14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2124"/>
                <w:sz w:val="18"/>
              </w:rPr>
              <w:t>.505</w:t>
            </w:r>
          </w:p>
        </w:tc>
      </w:tr>
    </w:tbl>
    <w:p>
      <w:pPr>
        <w:spacing w:before="80" w:after="140" w:line="240" w:lineRule="auto"/>
      </w:pPr>
      <w:r>
        <w:rPr>
          <w:rFonts w:ascii="Calibri" w:hAnsi="Calibri"/>
          <w:color w:val="5F6368"/>
          <w:sz w:val="17"/>
        </w:rPr>
        <w:t>Note: Slope is the session-adjusted log-odds coefficient per within-session SD; p values are Holm-adjusted. AUC = 0.5 is chance.</w:t>
      </w:r>
    </w:p>
    <w:p>
      <w:pPr>
        <w:keepLines/>
      </w:pPr>
      <w:r>
        <w:rPr>
          <w:rFonts w:ascii="Calibri" w:hAnsi="Calibri"/>
          <w:b/>
          <w:color w:val="1F4D78"/>
        </w:rPr>
        <w:t xml:space="preserve">Result. </w:t>
      </w:r>
      <w:r>
        <w:t>Vertical MS did not usefully distinguish individual Stim from NonStim trials. Clay-FST had a detectable but tiny association (slope = -0.0396; odds ratio = 0.961; raw difference = -0.0046 degrees), yet held-out AUC was 0.514 and balanced accuracy was 0.505. Jim-FST's below-chance AUC indicates an unstable direction across sessions, not a useful classifier.</w:t>
      </w:r>
    </w:p>
    <w:p>
      <w:pPr>
        <w:pStyle w:val="Heading1"/>
      </w:pPr>
      <w:r>
        <w:t>Session-level checks and interpretation</w:t>
      </w:r>
    </w:p>
    <w:p>
      <w:pPr>
        <w:keepLines/>
        <w:spacing w:before="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2273276"/>
            <wp:docPr id="2" name="Picture 2" title="session-ms-stimulation-summary" descr="Two-panel session-level diagnostic. Left: 246 simple interaction coefficients plotted against stimulus-adjusted coefficients with close agreement. Right: histogram of raw adjusted interaction p values; eight are below 0.05 and none remain significant after Holm corre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ssion-ms-stimulation-summ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73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3. Each point is an estimable recording session. The simple and stimulus-adjusted interaction coefficients were strongly aligned (r = 0.943). The right panel uses .05-wide p-value bins; the horizontal line is the expected count per bin under a uniform null distribution.</w:t>
      </w:r>
    </w:p>
    <w:p>
      <w:pPr>
        <w:keepLines/>
        <w:spacing w:after="120"/>
      </w:pPr>
      <w:r>
        <w:rPr>
          <w:rFonts w:ascii="Calibri" w:hAnsi="Calibri"/>
          <w:b/>
          <w:color w:val="1F4D78"/>
        </w:rPr>
        <w:t xml:space="preserve">Independent session fits. </w:t>
      </w:r>
      <w:r>
        <w:t>Before correction, 10 of 246 simple vertical interactions and 8 of 246 stimulus-adjusted vertical interactions had p &lt; .05; 8 of 246 vector interactions had raw p &lt; .05. None survived Holm correction in any interaction family. The adjusted p-value histogram showed no excess of small values (8 observed below .05 versus 12.3 expected under a uniform null).</w:t>
      </w:r>
    </w:p>
    <w:p>
      <w:pPr>
        <w:keepLines/>
        <w:spacing w:after="120"/>
      </w:pPr>
      <w:r>
        <w:rPr>
          <w:rFonts w:ascii="Calibri" w:hAnsi="Calibri"/>
          <w:b/>
          <w:color w:val="1F4D78"/>
        </w:rPr>
        <w:t xml:space="preserve">Converging session-mean analysis. </w:t>
      </w:r>
      <w:r>
        <w:t>The earlier paired mixed-effects models tested Bias ~ MS_y * condition + (1 | SessionKey) across MT/FST and four cue definitions. No MS_y x condition interaction was supported after FDR correction (q = .762 to .901), consistent with the trial-level result. Main MS-bias or condition effects in that analysis do not establish modulation of the slope.</w:t>
      </w:r>
    </w:p>
    <w:p>
      <w:pPr>
        <w:pStyle w:val="Heading2"/>
      </w:pPr>
      <w:r>
        <w:t>Interpretation</w:t>
      </w:r>
    </w:p>
    <w:p>
      <w:pPr>
        <w:keepLines/>
        <w:spacing w:after="120"/>
      </w:pPr>
      <w:r>
        <w:rPr>
          <w:rFonts w:ascii="Calibri" w:hAnsi="Calibri"/>
          <w:b/>
          <w:color w:val="1F4D78"/>
        </w:rPr>
        <w:t xml:space="preserve">Inference. </w:t>
      </w:r>
      <w:r>
        <w:t>These analyses do not support the claim that electrical stimulation changes the coupling between MS displacement and choice. Across the four pooled confidence intervals, the most extreme bounds were -0.128 and +0.062 log odds per SD (interaction odds ratios about 0.88 to 1.06). Vertical MS also did not reliably identify whether stimulation was present on an individual trial.</w:t>
      </w:r>
    </w:p>
    <w:p>
      <w:pPr>
        <w:keepLines/>
        <w:spacing w:after="160"/>
      </w:pPr>
      <w:r>
        <w:rPr>
          <w:rFonts w:ascii="Calibri" w:hAnsi="Calibri"/>
          <w:b/>
          <w:color w:val="1F4D78"/>
        </w:rPr>
        <w:t xml:space="preserve">Scope. </w:t>
      </w:r>
      <w:r>
        <w:t>The result is conditional on trials that contained at least one MS and uses the trial-mean displacement over the full visual interval. It does not test whether stimulation changes MS occurrence, nor whether fine-grained MS timing predicts choice. A pre-specified hierarchical model of MS presence and timing would be the most informative follow-up if those mechanisms are of interest.</w:t>
      </w:r>
    </w:p>
    <w:p>
      <w:pPr>
        <w:keepLines/>
        <w:spacing w:before="40" w:after="0" w:line="240" w:lineRule="auto"/>
      </w:pPr>
      <w:r>
        <w:rPr>
          <w:rFonts w:ascii="Calibri" w:hAnsi="Calibri"/>
          <w:color w:val="5F6368"/>
          <w:sz w:val="16"/>
        </w:rPr>
        <w:t>Analysis sources: README.md; analyze_microsaccades.m; analyze_trialwise_ms_choice.m; analyze_grouped_ms_choice.m; analyze_paired_ms_bias_lme.m; analyze_stim_from_vertical_ms.m; and saved session/group/classifier summary CSV files under C:\EM\Microsac\population_merged_12ms_no_smoothing\population_analysis.</w:t>
      </w:r>
    </w:p>
    <w:sectPr w:rsidR="00FC693F" w:rsidRPr="0006063C" w:rsidSect="00034616">
      <w:footerReference w:type="default" r:id="rId9"/>
      <w:footerReference w:type="even" r:id="rId10"/>
      <w:footerReference w:type="first" r:id="rId11"/>
      <w:headerReference w:type="default" r:id="rId14"/>
      <w:headerReference w:type="even" r:id="rId15"/>
      <w:headerReference w:type="firs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F6368"/>
        <w:sz w:val="17"/>
      </w:rPr>
      <w:t xml:space="preserve">MS x stimulation | </w:t>
    </w:r>
    <w:r>
      <w:rPr>
        <w:rFonts w:ascii="Calibri" w:hAnsi="Calibri"/>
        <w:color w:val="5F6368"/>
        <w:sz w:val="17"/>
      </w:rPr>
      <w:t xml:space="preserve">Page </w:t>
    </w:r>
    <w:r>
      <w:rPr>
        <w:rFonts w:ascii="Calibri" w:hAnsi="Calibri"/>
        <w:color w:val="5F6368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F6368"/>
        <w:sz w:val="17"/>
      </w:rPr>
      <w:t xml:space="preserve">MS x stimulation | </w:t>
    </w:r>
    <w:r>
      <w:rPr>
        <w:rFonts w:ascii="Calibri" w:hAnsi="Calibri"/>
        <w:color w:val="5F6368"/>
        <w:sz w:val="17"/>
      </w:rPr>
      <w:t xml:space="preserve">Page </w:t>
    </w:r>
    <w:r>
      <w:rPr>
        <w:rFonts w:ascii="Calibri" w:hAnsi="Calibri"/>
        <w:color w:val="5F6368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F6368"/>
        <w:sz w:val="17"/>
      </w:rPr>
      <w:t xml:space="preserve">MS x stimulation | </w:t>
    </w:r>
    <w:r>
      <w:rPr>
        <w:rFonts w:ascii="Calibri" w:hAnsi="Calibri"/>
        <w:color w:val="5F6368"/>
        <w:sz w:val="17"/>
      </w:rPr>
      <w:t xml:space="preserve">Page </w:t>
    </w:r>
    <w:r>
      <w:rPr>
        <w:rFonts w:ascii="Calibri" w:hAnsi="Calibri"/>
        <w:color w:val="5F6368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  <w:jc w:val="left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 w:line="252" w:lineRule="auto"/>
    </w:pPr>
    <w:rPr>
      <w:rFonts w:asciiTheme="majorHAnsi" w:eastAsiaTheme="majorEastAsia" w:hAnsiTheme="majorHAnsi" w:cstheme="majorBidi" w:ascii="Calibri" w:hAnsi="Calibri"/>
      <w:i w:val="0"/>
      <w:iCs/>
      <w:color w:val="42464B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52" w:lineRule="auto" w:before="60" w:after="140"/>
    </w:pPr>
    <w:rPr>
      <w:rFonts w:ascii="Calibri" w:hAnsi="Calibri"/>
      <w:b w:val="0"/>
      <w:bCs/>
      <w:i w:val="0"/>
      <w:color w:val="5F636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header" Target="header3.xml"/><Relationship Id="rId1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Microsaccades, stimulation, and choice</dc:title>
  <dc:subject>Concise summary of MS x stimulation choice analyses</dc:subject>
  <dc:creator>OpenAI</dc:creator>
  <cp:keywords>microsaccades; stimulation; choice; monkey; interaction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