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20261004 链路联调 CSV 销售分析报告</w:t>
      </w:r>
    </w:p>
    <w:p>
      <w:pPr>
        <w:pStyle w:val="Heading2"/>
      </w:pPr>
      <w:r>
        <w:t>数据概览</w:t>
      </w:r>
    </w:p>
    <w:p>
      <w:pPr>
        <w:pStyle w:val="ListBullet"/>
      </w:pPr>
      <w:r>
        <w:t>数据来源：`链路联调材料.csv`（工作表：链路联调材料），共 1 个工作表、4 个完整数据行、4 列。</w:t>
      </w:r>
    </w:p>
    <w:p>
      <w:pPr>
        <w:pStyle w:val="ListBullet"/>
      </w:pPr>
      <w:r>
        <w:t>统计口径：空值与非数字已排除；离群值仍计入统计；环比在基期缺失或为 0 时记为 null。</w:t>
      </w:r>
    </w:p>
    <w:p>
      <w:pPr>
        <w:pStyle w:val="ListBullet"/>
      </w:pPr>
      <w:r>
        <w:t>数值字段：销售额、订单数，均无缺失值、无非法值。</w:t>
      </w:r>
    </w:p>
    <w:p>
      <w:pPr>
        <w:pStyle w:val="ListBullet"/>
      </w:pPr>
      <w:r>
        <w:t>说明：本次汇总求和仅为程序计算结果，**不等于业务口径已确认**；比率类指标为未加权均值，不代表整体加权比率。</w:t>
      </w:r>
    </w:p>
    <w:p>
      <w:pPr>
        <w:pStyle w:val="Heading2"/>
      </w:pPr>
      <w:r>
        <w:t>关键发现</w:t>
      </w:r>
    </w:p>
    <w:p>
      <w:pPr>
        <w:pStyle w:val="ListNumber"/>
      </w:pPr>
      <w:r>
        <w:t>**销售额合计 900.0**，共 4 条记录，未加权均值 225.0，最小 100.0，最大 400.0（来源：链路联调材料.csv / 链路联调材料）。</w:t>
      </w:r>
    </w:p>
    <w:p>
      <w:pPr>
        <w:pStyle w:val="ListNumber"/>
      </w:pPr>
      <w:r>
        <w:t>**订单数合计 18.0**，未加权均值 4.5，最小 2.0，最大 8.0（同上）。</w:t>
      </w:r>
    </w:p>
    <w:p>
      <w:pPr>
        <w:pStyle w:val="ListNumber"/>
      </w:pPr>
      <w:r>
        <w:t>**区域分布**：华南销售额 600.0（2 条记录），华东销售额 300.0（2 条记录），华南为华东的 2 倍（来源：程序分组结果）。</w:t>
      </w:r>
    </w:p>
    <w:p>
      <w:pPr>
        <w:pStyle w:val="ListNumber"/>
      </w:pPr>
      <w:r>
        <w:t>**月度趋势**：2026-01 销售额 300.0，2026-02 销售额 600.0，环比 +100.0%；订单数同步由 6.0 增至 12.0，环比 +100.0%（来源：程序月度汇总）。</w:t>
      </w:r>
    </w:p>
    <w:p>
      <w:pPr>
        <w:pStyle w:val="ListNumber"/>
      </w:pPr>
      <w:r>
        <w:t>同比（yoy）因缺少可用基期，均为 —（缺少可用基期）。</w:t>
      </w:r>
    </w:p>
    <w:p>
      <w:pPr>
        <w:pStyle w:val="Heading2"/>
      </w:pPr>
      <w:r>
        <w:t>图表解读</w:t>
      </w:r>
    </w:p>
    <w:p>
      <w:r>
        <w:t>本次实际生成 2 张图表：</w:t>
      </w:r>
    </w:p>
    <w:p>
      <w:pPr>
        <w:pStyle w:val="ListBullet"/>
      </w:pPr>
      <w:r>
        <w:t>**销售额 · 按区域汇总**：对应区域分组结果，华南 600.0、华东 300.0，直观显示华南贡献更高。</w:t>
      </w:r>
    </w:p>
    <w:p>
      <w:pPr>
        <w:pStyle w:val="ListBullet"/>
      </w:pPr>
      <w:r>
        <w:t>**销售额 · 月度趋势**：对应月度汇总，2026-01 为 300.0、2026-02 为 600.0，呈上升走势。</w:t>
      </w:r>
    </w:p>
    <w:p>
      <w:r>
        <w:t>以上图表仅覆盖销售额指标；订单数、环比等未单独成图，相关结论以程序计算数值为准。</w:t>
      </w:r>
    </w:p>
    <w:p>
      <w:pPr>
        <w:pStyle w:val="Heading2"/>
      </w:pPr>
      <w:r>
        <w:t>异常与待核实</w:t>
      </w:r>
    </w:p>
    <w:p>
      <w:pPr>
        <w:pStyle w:val="ListBullet"/>
      </w:pPr>
      <w:r>
        <w:t>异常总数 2 处，均位于第 5 行：</w:t>
      </w:r>
    </w:p>
    <w:p>
      <w:r>
        <w:t xml:space="preserve">  - 销售额 = 400，超出四分位距 1.5 倍范围，请核对；仍计入统计。</w:t>
      </w:r>
    </w:p>
    <w:p>
      <w:r>
        <w:t xml:space="preserve">  - 订单数 = 8，超出四分位距 1.5 倍范围，请核对；仍计入统计。</w:t>
      </w:r>
    </w:p>
    <w:p>
      <w:pPr>
        <w:pStyle w:val="ListBullet"/>
      </w:pPr>
      <w:r>
        <w:t>待核实：汇总求和是否与业务口径一致尚未确认；同比基期缺失，无法计算同比。</w:t>
      </w:r>
    </w:p>
    <w:p>
      <w:pPr>
        <w:pStyle w:val="ListBullet"/>
      </w:pPr>
      <w:r>
        <w:t>说明：4 行样本量较小，离群值对合计与均值影响较大，解读时需谨慎。</w:t>
      </w:r>
    </w:p>
    <w:p>
      <w:pPr>
        <w:pStyle w:val="Heading2"/>
      </w:pPr>
      <w:r>
        <w:t>建议动作</w:t>
      </w:r>
    </w:p>
    <w:p>
      <w:pPr>
        <w:pStyle w:val="ListNumber"/>
      </w:pPr>
      <w:r>
        <w:t>核对第 5 行记录（销售额 400、订单数 8）是否为真实业务数据，确认后决定是否保留。</w:t>
      </w:r>
    </w:p>
    <w:p>
      <w:pPr>
        <w:pStyle w:val="ListNumber"/>
      </w:pPr>
      <w:r>
        <w:t>与业务方确认销售额、订单数的统计口径（是否含退款、是否含税等），再对外使用合计值。</w:t>
      </w:r>
    </w:p>
    <w:p>
      <w:pPr>
        <w:pStyle w:val="ListNumber"/>
      </w:pPr>
      <w:r>
        <w:t>补充 2025 年同期数据，以便计算同比；当前同比均为 —（缺少可用基期）。</w:t>
      </w:r>
    </w:p>
    <w:p>
      <w:pPr>
        <w:pStyle w:val="ListNumber"/>
      </w:pPr>
      <w:r>
        <w:t>如需区域或月度更细分析，建议扩充样本量，降低离群值对结论的干扰。</w:t>
      </w:r>
    </w:p>
    <w:p>
      <w:pPr>
        <w:pStyle w:val="Heading2"/>
      </w:pPr>
      <w:r>
        <w:t>参考来源</w:t>
      </w:r>
    </w:p>
    <w:p>
      <w:pPr>
        <w:pStyle w:val="ListBullet"/>
      </w:pPr>
      <w:r>
        <w:t>用户材料：`链路联调材料.csv`（工作表：链路联调材料）</w:t>
      </w:r>
    </w:p>
    <w:p>
      <w:pPr>
        <w:pStyle w:val="ListBullet"/>
      </w:pPr>
      <w:r>
        <w:t>程序计算：本次汇总、分组、月度环比及异常检测结果</w:t>
      </w:r>
    </w:p>
    <w:p>
      <w:pPr>
        <w:pStyle w:val="ListBullet"/>
      </w:pPr>
      <w:r>
        <w:t>图表：销售额 · 按区域汇总；销售额 · 月度趋势（本次实际生成）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