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совершать матричные преобразования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подгонку полиномиальной кривой, совершить матричные преобразования: вращение, отражение, дилатация.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Ввела матрицу данных в Octave и извлекла вектора 𝑥 и 𝑦. Точки построила на графике, который показан на Рисунке 1 (рис - fig. 1), как и выполненные для его получения команды.</w:t>
      </w:r>
    </w:p>
    <w:p>
      <w:pPr>
        <w:pStyle w:val="CaptionedFigure"/>
      </w:pPr>
      <w:bookmarkStart w:id="25" w:name="fig:001"/>
      <w:r>
        <w:drawing>
          <wp:inline>
            <wp:extent cx="5334000" cy="2928688"/>
            <wp:effectExtent b="0" l="0" r="0" t="0"/>
            <wp:docPr descr="Figure 1: Ввод данных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Ввод данных</w:t>
      </w:r>
    </w:p>
    <w:p>
      <w:pPr>
        <w:pStyle w:val="BodyText"/>
      </w:pPr>
      <w:r>
        <w:t xml:space="preserve">Уравнение вида</w:t>
      </w:r>
      <w:r>
        <w:t xml:space="preserve"> </w:t>
      </w:r>
      <m:oMath>
        <m:r>
          <m:t>𝑦</m:t>
        </m:r>
        <m:r>
          <m:rPr>
            <m:sty m:val="p"/>
          </m:rPr>
          <m:t>=</m:t>
        </m:r>
        <m:r>
          <m:t>𝑎</m:t>
        </m:r>
        <m:sSup>
          <m:e>
            <m:r>
              <m:t>𝑥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𝑏</m:t>
        </m:r>
        <m:r>
          <m:t>𝑥</m:t>
        </m:r>
        <m:r>
          <m:rPr>
            <m:sty m:val="p"/>
          </m:rPr>
          <m:t>+</m:t>
        </m:r>
        <m:r>
          <m:t>𝑐</m:t>
        </m:r>
      </m:oMath>
      <w:r>
        <w:t xml:space="preserve"> </w:t>
      </w:r>
      <w:r>
        <w:t xml:space="preserve">с исходными данными предстает в виде системы линейных уравнений. Нашла решение по методу наименьших квадратов (рис - fig. 2) и использовала его для решения задачи методом Гаусса, построила график, представленный на Рисунке 3 (рис - fig. 3).</w:t>
      </w:r>
    </w:p>
    <w:p>
      <w:pPr>
        <w:pStyle w:val="CaptionedFigure"/>
      </w:pPr>
      <w:bookmarkStart w:id="29" w:name="fig:002"/>
      <w:r>
        <w:drawing>
          <wp:inline>
            <wp:extent cx="5334000" cy="4732215"/>
            <wp:effectExtent b="0" l="0" r="0" t="0"/>
            <wp:docPr descr="Figure 2: Решение системы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Решение системы</w:t>
      </w:r>
    </w:p>
    <w:p>
      <w:pPr>
        <w:pStyle w:val="CaptionedFigure"/>
      </w:pPr>
      <w:bookmarkStart w:id="33" w:name="fig:003"/>
      <w:r>
        <w:drawing>
          <wp:inline>
            <wp:extent cx="5334000" cy="2896609"/>
            <wp:effectExtent b="0" l="0" r="0" t="0"/>
            <wp:docPr descr="Figure 3: Решение задачи и график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Решение задачи и график</w:t>
      </w:r>
    </w:p>
    <w:p>
      <w:pPr>
        <w:pStyle w:val="BodyText"/>
      </w:pPr>
      <w:r>
        <w:t xml:space="preserve">Для подгонки полинома также можно использовать встроенную функцию polyfit, что продемонстрированно на Рисунке 4 (рис - fig. 4). Был получен подгоночный полином, рассчитаны его значения в точках, а исходные и подгоночные данные представлены на графике.</w:t>
      </w:r>
    </w:p>
    <w:p>
      <w:pPr>
        <w:pStyle w:val="CaptionedFigure"/>
      </w:pPr>
      <w:bookmarkStart w:id="37" w:name="fig:004"/>
      <w:r>
        <w:drawing>
          <wp:inline>
            <wp:extent cx="5334000" cy="2654681"/>
            <wp:effectExtent b="0" l="0" r="0" t="0"/>
            <wp:docPr descr="Figure 4: Подгонка встроенной функцией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Подгонка встроенной функцией</w:t>
      </w:r>
    </w:p>
    <w:bookmarkEnd w:id="38"/>
    <w:bookmarkStart w:id="51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Задала матрицу, содержащую в качестве столбцов точку графа. Изображение этого графа представлено на Рисунке 5 (рис - fig. 5).</w:t>
      </w:r>
    </w:p>
    <w:p>
      <w:pPr>
        <w:pStyle w:val="CaptionedFigure"/>
      </w:pPr>
      <w:bookmarkStart w:id="42" w:name="fig:005"/>
      <w:r>
        <w:drawing>
          <wp:inline>
            <wp:extent cx="5334000" cy="3010557"/>
            <wp:effectExtent b="0" l="0" r="0" t="0"/>
            <wp:docPr descr="Figure 5: Граф-домик" title="" id="40" name="Picture"/>
            <a:graphic>
              <a:graphicData uri="http://schemas.openxmlformats.org/drawingml/2006/picture">
                <pic:pic>
                  <pic:nvPicPr>
                    <pic:cNvPr descr="image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Граф-домик</w:t>
      </w:r>
    </w:p>
    <w:p>
      <w:pPr>
        <w:pStyle w:val="BodyText"/>
      </w:pPr>
      <w:r>
        <w:t xml:space="preserve">Для вращения использовала метод умножения на специальную матрицу. Для поворота графа дома на 90∘ и 225∘ вначале перевела угол в радианы, а затем произвела умножение координат. Для угла в 90∘ команды показаны на Рисунке 6 (рис - fig. 6). Для угла в 225∘ все команды и построенный график показан на Рисунке 7 (рис - fig. 7).</w:t>
      </w:r>
    </w:p>
    <w:p>
      <w:pPr>
        <w:pStyle w:val="CaptionedFigure"/>
      </w:pPr>
      <w:bookmarkStart w:id="46" w:name="fig:006"/>
      <w:r>
        <w:drawing>
          <wp:inline>
            <wp:extent cx="5334000" cy="2765777"/>
            <wp:effectExtent b="0" l="0" r="0" t="0"/>
            <wp:docPr descr="Figure 6: Поворот на 90∘" title="" id="44" name="Picture"/>
            <a:graphic>
              <a:graphicData uri="http://schemas.openxmlformats.org/drawingml/2006/picture">
                <pic:pic>
                  <pic:nvPicPr>
                    <pic:cNvPr descr="images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Поворот на 90∘</w:t>
      </w:r>
    </w:p>
    <w:p>
      <w:pPr>
        <w:pStyle w:val="CaptionedFigure"/>
      </w:pPr>
      <w:bookmarkStart w:id="50" w:name="fig:007"/>
      <w:r>
        <w:drawing>
          <wp:inline>
            <wp:extent cx="5334000" cy="2462537"/>
            <wp:effectExtent b="0" l="0" r="0" t="0"/>
            <wp:docPr descr="Figure 7: Поворот на 225∘ и график" title="" id="48" name="Picture"/>
            <a:graphic>
              <a:graphicData uri="http://schemas.openxmlformats.org/drawingml/2006/picture">
                <pic:pic>
                  <pic:nvPicPr>
                    <pic:cNvPr descr="images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Поворот на 225∘ и график</w:t>
      </w:r>
    </w:p>
    <w:bookmarkEnd w:id="51"/>
    <w:bookmarkStart w:id="56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отражения графа относительно прямой y=x использовала специальную матрицу. Получившийся график показан на Рисунке 8 (рис - fig. 8).</w:t>
      </w:r>
    </w:p>
    <w:p>
      <w:pPr>
        <w:pStyle w:val="CaptionedFigure"/>
      </w:pPr>
      <w:bookmarkStart w:id="55" w:name="fig:008"/>
      <w:r>
        <w:drawing>
          <wp:inline>
            <wp:extent cx="5334000" cy="3152763"/>
            <wp:effectExtent b="0" l="0" r="0" t="0"/>
            <wp:docPr descr="Figure 8: Отражение графа" title="" id="53" name="Picture"/>
            <a:graphic>
              <a:graphicData uri="http://schemas.openxmlformats.org/drawingml/2006/picture">
                <pic:pic>
                  <pic:nvPicPr>
                    <pic:cNvPr descr="images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Отражение графа</w:t>
      </w:r>
    </w:p>
    <w:bookmarkEnd w:id="56"/>
    <w:bookmarkStart w:id="61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Для дилатации также использовала умножение исходной матрицы на особую. На Рисунке 9 (рис - fig. 9) показано увеличение графа в два раза.</w:t>
      </w:r>
    </w:p>
    <w:p>
      <w:pPr>
        <w:pStyle w:val="CaptionedFigure"/>
      </w:pPr>
      <w:bookmarkStart w:id="60" w:name="fig:009"/>
      <w:r>
        <w:drawing>
          <wp:inline>
            <wp:extent cx="5334000" cy="3234941"/>
            <wp:effectExtent b="0" l="0" r="0" t="0"/>
            <wp:docPr descr="Figure 9: Дилатация графа" title="" id="58" name="Picture"/>
            <a:graphic>
              <a:graphicData uri="http://schemas.openxmlformats.org/drawingml/2006/picture">
                <pic:pic>
                  <pic:nvPicPr>
                    <pic:cNvPr descr="images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9: Дилатация графа</w:t>
      </w:r>
    </w:p>
    <w:bookmarkEnd w:id="61"/>
    <w:bookmarkEnd w:id="62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тем, как выполнить подгонку полиномиальной кривой, совершить матричные преобразования - вращение, отражение, дилатация - в Octave . Результаты работы находятся в</w:t>
      </w:r>
      <w:r>
        <w:t xml:space="preserve"> </w:t>
      </w:r>
      <w:hyperlink r:id="rId63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64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63" Target="https://github.com/ZlataDyachenko" TargetMode="External" /><Relationship Type="http://schemas.openxmlformats.org/officeDocument/2006/relationships/hyperlink" Id="rId64" Target="https://www.youtube.com/watch?v=UZ8wE8ylG9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github.com/ZlataDyachenko" TargetMode="External" /><Relationship Type="http://schemas.openxmlformats.org/officeDocument/2006/relationships/hyperlink" Id="rId64" Target="https://www.youtube.com/watch?v=UZ8wE8ylG9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Выполнила Дяченко Злата Константиновна, НПМмд-02-22</dc:creator>
  <dc:language>ru-RU</dc:language>
  <cp:keywords/>
  <dcterms:created xsi:type="dcterms:W3CDTF">2022-11-12T18:06:49Z</dcterms:created>
  <dcterms:modified xsi:type="dcterms:W3CDTF">2022-11-12T18:06:49Z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