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5.png" ContentType="image/png"/>
  <Override PartName="/word/media/rId41.png" ContentType="image/png"/>
  <Override PartName="/word/media/rId49.png" ContentType="image/png"/>
  <Override PartName="/word/media/rId58.png" ContentType="image/png"/>
  <Override PartName="/word/media/rId67.png" ContentType="image/png"/>
  <Override PartName="/word/media/rId75.png" ContentType="image/png"/>
  <Override PartName="/word/media/rId62.png" ContentType="image/png"/>
  <Override PartName="/word/media/rId71.png" ContentType="image/png"/>
  <Override PartName="/word/media/rId79.png" ContentType="image/png"/>
  <Override PartName="/word/media/rId45.png" ContentType="image/png"/>
  <Override PartName="/word/media/rId5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различные графики, работать с комплексными числами и специальными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параметрический график, график в полярных координатах, график неявной функции, график в комплексной плоскости, график специальной функции.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Включила журналирование. Построила график трех периодов циклоиды радиуса 2. Соответствующие команды показаны на Рисунке 1 (рис - fig. 1).</w:t>
      </w:r>
    </w:p>
    <w:p>
      <w:pPr>
        <w:pStyle w:val="CaptionedFigure"/>
      </w:pPr>
      <w:bookmarkStart w:id="25" w:name="fig:001"/>
      <w:r>
        <w:drawing>
          <wp:inline>
            <wp:extent cx="5334000" cy="1710455"/>
            <wp:effectExtent b="0" l="0" r="0" t="0"/>
            <wp:docPr descr="Figure 1: Три периода циклоиды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Три периода циклоиды</w:t>
      </w:r>
    </w:p>
    <w:bookmarkEnd w:id="26"/>
    <w:bookmarkStart w:id="40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Построила улитку Паскаля в декартовых координатах (команды показаны на Рисунке 2 (рис - fig. 2), график на Рисунке 3 (рис - fig. 3)) и полярных координатах (команды показаны на Рисунке 4 (рис - fig. 4), график на Рисунке 3 (рис - fig. 5)).</w:t>
      </w:r>
    </w:p>
    <w:p>
      <w:pPr>
        <w:pStyle w:val="CaptionedFigure"/>
      </w:pPr>
      <w:bookmarkStart w:id="30" w:name="fig:002"/>
      <w:r>
        <w:drawing>
          <wp:inline>
            <wp:extent cx="3473183" cy="1121868"/>
            <wp:effectExtent b="0" l="0" r="0" t="0"/>
            <wp:docPr descr="Figure 2: Построение улитки Паскаля в декартовых координатах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Построение улитки Паскаля в декартовых координатах</w:t>
      </w:r>
    </w:p>
    <w:p>
      <w:pPr>
        <w:pStyle w:val="CaptionedFigure"/>
      </w:pPr>
      <w:bookmarkStart w:id="34" w:name="fig:003"/>
      <w:r>
        <w:drawing>
          <wp:inline>
            <wp:extent cx="5334000" cy="3961150"/>
            <wp:effectExtent b="0" l="0" r="0" t="0"/>
            <wp:docPr descr="Figure 3: График улитки Паскаля в декартовых координатах" title="" id="32" name="Picture"/>
            <a:graphic>
              <a:graphicData uri="http://schemas.openxmlformats.org/drawingml/2006/picture">
                <pic:pic>
                  <pic:nvPicPr>
                    <pic:cNvPr descr="images/limaco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улитки Паскаля в декартовых координатах</w:t>
      </w:r>
    </w:p>
    <w:p>
      <w:pPr>
        <w:pStyle w:val="CaptionedFigure"/>
      </w:pPr>
      <w:bookmarkStart w:id="38" w:name="fig:004"/>
      <w:r>
        <w:drawing>
          <wp:inline>
            <wp:extent cx="2812356" cy="806823"/>
            <wp:effectExtent b="0" l="0" r="0" t="0"/>
            <wp:docPr descr="Figure 4: Построение улитки Паскаля в полярных координатах" title="" id="36" name="Picture"/>
            <a:graphic>
              <a:graphicData uri="http://schemas.openxmlformats.org/drawingml/2006/picture">
                <pic:pic>
                  <pic:nvPicPr>
                    <pic:cNvPr descr="images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Построение улитки Паскаля в полярных координатах</w:t>
      </w:r>
    </w:p>
    <w:p>
      <w:pPr>
        <w:pStyle w:val="BodyText"/>
      </w:pPr>
      <w:bookmarkStart w:id="39" w:name="fig:005"/>
      <w:r>
        <w:t xml:space="preserve">Figure 5: График улитки Паскаля в полярных координатах</w:t>
      </w:r>
      <w:bookmarkEnd w:id="39"/>
    </w:p>
    <w:bookmarkEnd w:id="40"/>
    <w:bookmarkStart w:id="57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Построила график неявной функции с помощью команды ezplot (рис - fig. 6 и - fig. 7).</w:t>
      </w:r>
    </w:p>
    <w:p>
      <w:pPr>
        <w:pStyle w:val="CaptionedFigure"/>
      </w:pPr>
      <w:bookmarkStart w:id="44" w:name="fig:006"/>
      <w:r>
        <w:drawing>
          <wp:inline>
            <wp:extent cx="3158137" cy="960504"/>
            <wp:effectExtent b="0" l="0" r="0" t="0"/>
            <wp:docPr descr="Figure 6: Построение графика неявной функции" title="" id="42" name="Picture"/>
            <a:graphic>
              <a:graphicData uri="http://schemas.openxmlformats.org/drawingml/2006/picture">
                <pic:pic>
                  <pic:nvPicPr>
                    <pic:cNvPr descr="images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Построение графика неявной функции</w:t>
      </w:r>
    </w:p>
    <w:p>
      <w:pPr>
        <w:pStyle w:val="CaptionedFigure"/>
      </w:pPr>
      <w:bookmarkStart w:id="48" w:name="fig:007"/>
      <w:r>
        <w:drawing>
          <wp:inline>
            <wp:extent cx="5334000" cy="4095626"/>
            <wp:effectExtent b="0" l="0" r="0" t="0"/>
            <wp:docPr descr="Figure 7: График неявной функции" title="" id="46" name="Picture"/>
            <a:graphic>
              <a:graphicData uri="http://schemas.openxmlformats.org/drawingml/2006/picture">
                <pic:pic>
                  <pic:nvPicPr>
                    <pic:cNvPr descr="images/impl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График неявной функции</w:t>
      </w:r>
    </w:p>
    <w:p>
      <w:pPr>
        <w:pStyle w:val="BodyText"/>
      </w:pPr>
      <w:r>
        <w:t xml:space="preserve">Также использовала неявную функцию для построения круга и касательной к нему (рис - fig. 8 и - fig. 9).</w:t>
      </w:r>
    </w:p>
    <w:p>
      <w:pPr>
        <w:pStyle w:val="CaptionedFigure"/>
      </w:pPr>
      <w:bookmarkStart w:id="52" w:name="fig:008"/>
      <w:r>
        <w:drawing>
          <wp:inline>
            <wp:extent cx="2658675" cy="1006608"/>
            <wp:effectExtent b="0" l="0" r="0" t="0"/>
            <wp:docPr descr="Figure 8: Построение графика касательной к кругу" title="" id="50" name="Picture"/>
            <a:graphic>
              <a:graphicData uri="http://schemas.openxmlformats.org/drawingml/2006/picture">
                <pic:pic>
                  <pic:nvPicPr>
                    <pic:cNvPr descr="images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Построение графика касательной к кругу</w:t>
      </w:r>
    </w:p>
    <w:p>
      <w:pPr>
        <w:pStyle w:val="CaptionedFigure"/>
      </w:pPr>
      <w:bookmarkStart w:id="56" w:name="fig:009"/>
      <w:r>
        <w:drawing>
          <wp:inline>
            <wp:extent cx="5334000" cy="4044078"/>
            <wp:effectExtent b="0" l="0" r="0" t="0"/>
            <wp:docPr descr="Figure 9: График касательной к окружности" title="" id="54" name="Picture"/>
            <a:graphic>
              <a:graphicData uri="http://schemas.openxmlformats.org/drawingml/2006/picture">
                <pic:pic>
                  <pic:nvPicPr>
                    <pic:cNvPr descr="images/impl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График касательной к окружности</w:t>
      </w:r>
    </w:p>
    <w:bookmarkEnd w:id="57"/>
    <w:bookmarkStart w:id="66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Произвела основные арифметические операции с двумя комплексными числами и построила графики в комплексной плоскости с помощью команды compass (рис - fig. 10). График представлен на Рисунке 11 (рис - fig. 11).</w:t>
      </w:r>
    </w:p>
    <w:p>
      <w:pPr>
        <w:pStyle w:val="CaptionedFigure"/>
      </w:pPr>
      <w:bookmarkStart w:id="61" w:name="fig:010"/>
      <w:r>
        <w:drawing>
          <wp:inline>
            <wp:extent cx="4303058" cy="2474258"/>
            <wp:effectExtent b="0" l="0" r="0" t="0"/>
            <wp:docPr descr="Figure 10: Операции с комплексными числами и построение графика на комплексной плоскости" title="" id="59" name="Picture"/>
            <a:graphic>
              <a:graphicData uri="http://schemas.openxmlformats.org/drawingml/2006/picture">
                <pic:pic>
                  <pic:nvPicPr>
                    <pic:cNvPr descr="images/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Операции с комплексными числами и построение графика на комплексной плоскости</w:t>
      </w:r>
    </w:p>
    <w:p>
      <w:pPr>
        <w:pStyle w:val="CaptionedFigure"/>
      </w:pPr>
      <w:bookmarkStart w:id="65" w:name="fig:011"/>
      <w:r>
        <w:drawing>
          <wp:inline>
            <wp:extent cx="5334000" cy="4044078"/>
            <wp:effectExtent b="0" l="0" r="0" t="0"/>
            <wp:docPr descr="Figure 11: График в комплексной плоскости" title="" id="63" name="Picture"/>
            <a:graphic>
              <a:graphicData uri="http://schemas.openxmlformats.org/drawingml/2006/picture">
                <pic:pic>
                  <pic:nvPicPr>
                    <pic:cNvPr descr="images/complex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График в комплексной плоскости</w:t>
      </w:r>
    </w:p>
    <w:bookmarkEnd w:id="66"/>
    <w:bookmarkStart w:id="83" w:name="шаг-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Шаг 5</w:t>
      </w:r>
    </w:p>
    <w:p>
      <w:pPr>
        <w:pStyle w:val="FirstParagraph"/>
      </w:pPr>
      <w:r>
        <w:t xml:space="preserve">Построила графики функций</w:t>
      </w:r>
      <w:r>
        <w:t xml:space="preserve"> </w:t>
      </w:r>
      <m:oMath>
        <m:r>
          <m:t>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и</m:t>
        </m:r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 - fig. 12 и рис - fig. 13).</w:t>
      </w:r>
    </w:p>
    <w:p>
      <w:pPr>
        <w:pStyle w:val="CaptionedFigure"/>
      </w:pPr>
      <w:bookmarkStart w:id="70" w:name="fig:012"/>
      <w:r>
        <w:drawing>
          <wp:inline>
            <wp:extent cx="3534655" cy="1129552"/>
            <wp:effectExtent b="0" l="0" r="0" t="0"/>
            <wp:docPr descr="Figure 12: Построение функции гамма и факториала на одном графике" title="" id="68" name="Picture"/>
            <a:graphic>
              <a:graphicData uri="http://schemas.openxmlformats.org/drawingml/2006/picture">
                <pic:pic>
                  <pic:nvPicPr>
                    <pic:cNvPr descr="images/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Построение функции гамма и факториала на одном графике</w:t>
      </w:r>
    </w:p>
    <w:p>
      <w:pPr>
        <w:pStyle w:val="CaptionedFigure"/>
      </w:pPr>
      <w:bookmarkStart w:id="74" w:name="fig:013"/>
      <w:r>
        <w:drawing>
          <wp:inline>
            <wp:extent cx="5334000" cy="4044078"/>
            <wp:effectExtent b="0" l="0" r="0" t="0"/>
            <wp:docPr descr="Figure 13: График функции гамма и факториала" title="" id="72" name="Picture"/>
            <a:graphic>
              <a:graphicData uri="http://schemas.openxmlformats.org/drawingml/2006/picture">
                <pic:pic>
                  <pic:nvPicPr>
                    <pic:cNvPr descr="images/gamma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График функции гамма и факториала</w:t>
      </w:r>
    </w:p>
    <w:p>
      <w:pPr>
        <w:pStyle w:val="BodyText"/>
      </w:pPr>
      <w:r>
        <w:t xml:space="preserve">Вертикальные асимптоты на графике в районе отрицательных чисел не являются истинными частями графика - это артефакты вычисления. Чтобы избавиться от них, разделила область значений на отдельные интервалы (рис - fig. 14). Получившийся график представлен на Рисунке 15 (рис - fig. 15).</w:t>
      </w:r>
    </w:p>
    <w:p>
      <w:pPr>
        <w:pStyle w:val="CaptionedFigure"/>
      </w:pPr>
      <w:bookmarkStart w:id="78" w:name="fig:014"/>
      <w:r>
        <w:drawing>
          <wp:inline>
            <wp:extent cx="3665284" cy="2020900"/>
            <wp:effectExtent b="0" l="0" r="0" t="0"/>
            <wp:docPr descr="Figure 14: Построение функции гамма и факториала с разбиением на интервалы" title="" id="76" name="Picture"/>
            <a:graphic>
              <a:graphicData uri="http://schemas.openxmlformats.org/drawingml/2006/picture">
                <pic:pic>
                  <pic:nvPicPr>
                    <pic:cNvPr descr="images/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Построение функции гамма и факториала с разбиением на интервалы</w:t>
      </w:r>
    </w:p>
    <w:p>
      <w:pPr>
        <w:pStyle w:val="CaptionedFigure"/>
      </w:pPr>
      <w:bookmarkStart w:id="82" w:name="fig:015"/>
      <w:r>
        <w:drawing>
          <wp:inline>
            <wp:extent cx="5334000" cy="4044078"/>
            <wp:effectExtent b="0" l="0" r="0" t="0"/>
            <wp:docPr descr="Figure 15: График функции гамма и факториала без артефактов" title="" id="80" name="Picture"/>
            <a:graphic>
              <a:graphicData uri="http://schemas.openxmlformats.org/drawingml/2006/picture">
                <pic:pic>
                  <pic:nvPicPr>
                    <pic:cNvPr descr="images/gamma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График функции гамма и факториала без артефактов</w:t>
      </w:r>
    </w:p>
    <w:bookmarkEnd w:id="83"/>
    <w:bookmarkEnd w:id="84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строить параметрический график, график в полярных координатах, график неявной функции, график в комплексной плоскости, график специальной функции с помощью Octave. Результаты работы находятся в</w:t>
      </w:r>
      <w:r>
        <w:t xml:space="preserve"> </w:t>
      </w:r>
      <w:hyperlink r:id="rId85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86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31" Target="media/rId31.png" /><Relationship Type="http://schemas.openxmlformats.org/officeDocument/2006/relationships/hyperlink" Id="rId85" Target="https://github.com/ZlataDyachenko" TargetMode="External" /><Relationship Type="http://schemas.openxmlformats.org/officeDocument/2006/relationships/hyperlink" Id="rId86" Target="https://www.youtube.com/watch?v=-cnIgjUwAm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github.com/ZlataDyachenko" TargetMode="External" /><Relationship Type="http://schemas.openxmlformats.org/officeDocument/2006/relationships/hyperlink" Id="rId86" Target="https://www.youtube.com/watch?v=-cnIgjUwAm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Выполнила Дяченко Злата Константиновна, НПМмд-02-22</dc:creator>
  <dc:language>ru-RU</dc:language>
  <cp:keywords/>
  <dcterms:created xsi:type="dcterms:W3CDTF">2022-12-10T17:03:56Z</dcterms:created>
  <dcterms:modified xsi:type="dcterms:W3CDTF">2022-12-10T17:03:56Z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