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все пункты из файла с указаниями к данной лабораторной работе.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guest2 и задала пароль для этого пользователя, что видно на Рисунке 1 (рис. 1)</w:t>
      </w:r>
    </w:p>
    <w:p>
      <w:pPr>
        <w:pStyle w:val="CaptionedFigure"/>
      </w:pPr>
      <w:bookmarkStart w:id="23" w:name="fig:001"/>
      <w:r>
        <w:drawing>
          <wp:inline>
            <wp:extent cx="5334000" cy="1848924"/>
            <wp:effectExtent b="0" l="0" r="0" t="0"/>
            <wp:docPr descr="Figure 1: Создание пользователя guest2 и парол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пользователя guest2 и пароля</w:t>
      </w:r>
    </w:p>
    <w:bookmarkEnd w:id="24"/>
    <w:bookmarkStart w:id="27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Добавила пользователя guest2 в группу guest (рис. 2).</w:t>
      </w:r>
    </w:p>
    <w:p>
      <w:pPr>
        <w:pStyle w:val="CaptionedFigure"/>
      </w:pPr>
      <w:bookmarkStart w:id="26" w:name="fig:002"/>
      <w:r>
        <w:drawing>
          <wp:inline>
            <wp:extent cx="5334000" cy="1841326"/>
            <wp:effectExtent b="0" l="0" r="0" t="0"/>
            <wp:docPr descr="Figure 2: Добавление в группу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Добавление в группу</w:t>
      </w:r>
    </w:p>
    <w:bookmarkEnd w:id="27"/>
    <w:bookmarkStart w:id="30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 (рис. 3).</w:t>
      </w:r>
    </w:p>
    <w:p>
      <w:pPr>
        <w:pStyle w:val="CaptionedFigure"/>
      </w:pPr>
      <w:bookmarkStart w:id="29" w:name="fig:003"/>
      <w:r>
        <w:drawing>
          <wp:inline>
            <wp:extent cx="5334000" cy="4673244"/>
            <wp:effectExtent b="0" l="0" r="0" t="0"/>
            <wp:docPr descr="Figure 3: Вход в систему с двух консолей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Вход в систему с двух консолей</w:t>
      </w:r>
    </w:p>
    <w:bookmarkEnd w:id="30"/>
    <w:bookmarkStart w:id="33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Для обоих пользователей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определила директорию, в которой нахожусь (рис. 4). Вывод не совпадает с приглашением командной строки до знака @ - это не домашние папки этих пользователей.</w:t>
      </w:r>
    </w:p>
    <w:p>
      <w:pPr>
        <w:pStyle w:val="CaptionedFigure"/>
      </w:pPr>
      <w:bookmarkStart w:id="32" w:name="fig:004"/>
      <w:r>
        <w:drawing>
          <wp:inline>
            <wp:extent cx="5334000" cy="1965157"/>
            <wp:effectExtent b="0" l="0" r="0" t="0"/>
            <wp:docPr descr="Figure 4: Определение домашней директор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Определение домашней директории</w:t>
      </w:r>
    </w:p>
    <w:bookmarkEnd w:id="33"/>
    <w:bookmarkStart w:id="36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Определила командами</w:t>
      </w:r>
      <w:r>
        <w:t xml:space="preserve"> </w:t>
      </w:r>
      <w:r>
        <w:rPr>
          <w:iCs/>
          <w:i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groups guest2</w:t>
      </w:r>
      <w:r>
        <w:t xml:space="preserve">, в какие группы входят пользователи guest и guest2 (рис. 5). Пользователь guest входит в группу guest, а пользователь guest2 входит в группы guest2 и guest. Команда</w:t>
      </w:r>
      <w:r>
        <w:t xml:space="preserve"> </w:t>
      </w:r>
      <w:r>
        <w:rPr>
          <w:iCs/>
          <w:i/>
        </w:rPr>
        <w:t xml:space="preserve">id -Gn</w:t>
      </w:r>
      <w:r>
        <w:t xml:space="preserve"> </w:t>
      </w:r>
      <w:r>
        <w:t xml:space="preserve">выводит названия групп, в которые входит пользователь, а команда</w:t>
      </w:r>
      <w:r>
        <w:t xml:space="preserve"> </w:t>
      </w:r>
      <w:r>
        <w:rPr>
          <w:iCs/>
          <w:i/>
        </w:rPr>
        <w:t xml:space="preserve">id -G</w:t>
      </w:r>
      <w:r>
        <w:t xml:space="preserve"> </w:t>
      </w:r>
      <w:r>
        <w:t xml:space="preserve">выводит id этих групп.</w:t>
      </w:r>
    </w:p>
    <w:p>
      <w:pPr>
        <w:pStyle w:val="CaptionedFigure"/>
      </w:pPr>
      <w:bookmarkStart w:id="35" w:name="fig:005"/>
      <w:r>
        <w:drawing>
          <wp:inline>
            <wp:extent cx="5334000" cy="1489075"/>
            <wp:effectExtent b="0" l="0" r="0" t="0"/>
            <wp:docPr descr="Figure 5: Группы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Группы пользователей</w:t>
      </w:r>
    </w:p>
    <w:bookmarkEnd w:id="36"/>
    <w:bookmarkStart w:id="39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С помощью команды cat /etc/group просмотрела файл /etc/group (рис. 6). Там указаны названия групп guest и guest2, id этих групп и пользователи, которые входят в группу. Все совпадает с выводом команд на предыдущем шага.</w:t>
      </w:r>
    </w:p>
    <w:p>
      <w:pPr>
        <w:pStyle w:val="CaptionedFigure"/>
      </w:pPr>
      <w:bookmarkStart w:id="38" w:name="fig:006"/>
      <w:r>
        <w:drawing>
          <wp:inline>
            <wp:extent cx="5334000" cy="2293954"/>
            <wp:effectExtent b="0" l="0" r="0" t="0"/>
            <wp:docPr descr="Figure 6: Просмотр файла /etc/group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Просмотр файла /etc/group</w:t>
      </w:r>
    </w:p>
    <w:bookmarkEnd w:id="39"/>
    <w:bookmarkStart w:id="42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От имени пользователя guest2 выполнила регистрацию пользователя guest2 в группе guest командой</w:t>
      </w:r>
      <w:r>
        <w:t xml:space="preserve"> </w:t>
      </w:r>
      <w:r>
        <w:rPr>
          <w:iCs/>
          <w:i/>
        </w:rPr>
        <w:t xml:space="preserve">newgrp guest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1" w:name="fig:007"/>
      <w:r>
        <w:drawing>
          <wp:inline>
            <wp:extent cx="3319502" cy="353465"/>
            <wp:effectExtent b="0" l="0" r="0" t="0"/>
            <wp:docPr descr="Figure 7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Регистрация пользователя guest2 в группе guest</w:t>
      </w:r>
    </w:p>
    <w:bookmarkEnd w:id="42"/>
    <w:bookmarkStart w:id="45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От имени пользователя guest изменила права директории /home/guest, разрешив все действия для пользователей группы и сняла с директории /home/guest/dir1 все атрибуты (рис. 8). Теперь невозможно просмотреть содержимое директории dir1.</w:t>
      </w:r>
    </w:p>
    <w:p>
      <w:pPr>
        <w:pStyle w:val="CaptionedFigure"/>
      </w:pPr>
      <w:bookmarkStart w:id="44" w:name="fig:008"/>
      <w:r>
        <w:drawing>
          <wp:inline>
            <wp:extent cx="4057169" cy="1421546"/>
            <wp:effectExtent b="0" l="0" r="0" t="0"/>
            <wp:docPr descr="Figure 8: 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Изменение прав директории</w:t>
      </w:r>
    </w:p>
    <w:bookmarkEnd w:id="45"/>
    <w:bookmarkStart w:id="58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t xml:space="preserve">Создала в папке dir1 file1(рис. 9). Меняя атрибуты у директории dir1 и файла file1 от имени пользователя guest и делая проверку от пользователя guest2 (рис. 10), заполнила Таблицу 3 (рис. 11 - рис. –fig. 14), определив опытным путём, какие операции разрешены, а какие нет. Таблицы из данной лабораторной работы и предыдущей идентичны, за исключением последнего столбца - у меня не получилось изменять права доступа на файл file1 через пользователя guest2.</w:t>
      </w:r>
    </w:p>
    <w:p>
      <w:pPr>
        <w:pStyle w:val="CaptionedFigure"/>
      </w:pPr>
      <w:bookmarkStart w:id="47" w:name="fig:009"/>
      <w:r>
        <w:drawing>
          <wp:inline>
            <wp:extent cx="4979253" cy="1959428"/>
            <wp:effectExtent b="0" l="0" r="0" t="0"/>
            <wp:docPr descr="Figure 9: Подготовка к выполнению проверок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9: Подготовка к выполнению проверок</w:t>
      </w:r>
    </w:p>
    <w:p>
      <w:pPr>
        <w:pStyle w:val="CaptionedFigure"/>
      </w:pPr>
      <w:bookmarkStart w:id="49" w:name="fig:010"/>
      <w:r>
        <w:drawing>
          <wp:inline>
            <wp:extent cx="5334000" cy="3407019"/>
            <wp:effectExtent b="0" l="0" r="0" t="0"/>
            <wp:docPr descr="Figure 10: Процесс проверки" title="" id="1" name="Picture"/>
            <a:graphic>
              <a:graphicData uri="http://schemas.openxmlformats.org/drawingml/2006/picture">
                <pic:pic>
                  <pic:nvPicPr>
                    <pic:cNvPr descr="images/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10: Процесс проверки</w:t>
      </w:r>
    </w:p>
    <w:p>
      <w:pPr>
        <w:pStyle w:val="CaptionedFigure"/>
      </w:pPr>
      <w:bookmarkStart w:id="51" w:name="fig:011"/>
      <w:r>
        <w:drawing>
          <wp:inline>
            <wp:extent cx="5334000" cy="3270058"/>
            <wp:effectExtent b="0" l="0" r="0" t="0"/>
            <wp:docPr descr="Figure 11: Таблица 1" title="" id="1" name="Picture"/>
            <a:graphic>
              <a:graphicData uri="http://schemas.openxmlformats.org/drawingml/2006/picture">
                <pic:pic>
                  <pic:nvPicPr>
                    <pic:cNvPr descr="images/t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11: Таблица 1</w:t>
      </w:r>
    </w:p>
    <w:p>
      <w:pPr>
        <w:pStyle w:val="CaptionedFigure"/>
      </w:pPr>
      <w:bookmarkStart w:id="53" w:name="fig:012"/>
      <w:r>
        <w:drawing>
          <wp:inline>
            <wp:extent cx="5334000" cy="3173310"/>
            <wp:effectExtent b="0" l="0" r="0" t="0"/>
            <wp:docPr descr="Figure 12: Таблица 1" title="" id="1" name="Picture"/>
            <a:graphic>
              <a:graphicData uri="http://schemas.openxmlformats.org/drawingml/2006/picture">
                <pic:pic>
                  <pic:nvPicPr>
                    <pic:cNvPr descr="images/t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12: Таблица 1</w:t>
      </w:r>
    </w:p>
    <w:p>
      <w:pPr>
        <w:pStyle w:val="CaptionedFigure"/>
      </w:pPr>
      <w:bookmarkStart w:id="55" w:name="fig:013"/>
      <w:r>
        <w:drawing>
          <wp:inline>
            <wp:extent cx="5334000" cy="3115262"/>
            <wp:effectExtent b="0" l="0" r="0" t="0"/>
            <wp:docPr descr="Figure 13: Таблица 1" title="" id="1" name="Picture"/>
            <a:graphic>
              <a:graphicData uri="http://schemas.openxmlformats.org/drawingml/2006/picture">
                <pic:pic>
                  <pic:nvPicPr>
                    <pic:cNvPr descr="images/t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13: Таблица 1</w:t>
      </w:r>
    </w:p>
    <w:p>
      <w:pPr>
        <w:pStyle w:val="CaptionedFigure"/>
      </w:pPr>
      <w:bookmarkStart w:id="57" w:name="fig:014"/>
      <w:r>
        <w:drawing>
          <wp:inline>
            <wp:extent cx="5334000" cy="3131949"/>
            <wp:effectExtent b="0" l="0" r="0" t="0"/>
            <wp:docPr descr="Figure 14: Таблица 1" title="" id="1" name="Picture"/>
            <a:graphic>
              <a:graphicData uri="http://schemas.openxmlformats.org/drawingml/2006/picture">
                <pic:pic>
                  <pic:nvPicPr>
                    <pic:cNvPr descr="images/t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14: Таблица 1</w:t>
      </w:r>
    </w:p>
    <w:bookmarkEnd w:id="58"/>
    <w:bookmarkStart w:id="61" w:name="шаг-11"/>
    <w:p>
      <w:pPr>
        <w:pStyle w:val="Heading2"/>
      </w:pPr>
      <w:r>
        <w:t xml:space="preserve">Шаг 11</w:t>
      </w:r>
    </w:p>
    <w:p>
      <w:pPr>
        <w:pStyle w:val="FirstParagraph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 и заполнила Таблицу 2 (рис. 15)</w:t>
      </w:r>
    </w:p>
    <w:p>
      <w:pPr>
        <w:pStyle w:val="CaptionedFigure"/>
      </w:pPr>
      <w:bookmarkStart w:id="60" w:name="fig:015"/>
      <w:r>
        <w:drawing>
          <wp:inline>
            <wp:extent cx="5334000" cy="1897144"/>
            <wp:effectExtent b="0" l="0" r="0" t="0"/>
            <wp:docPr descr="Figure 15: Таблица 2" title="" id="1" name="Picture"/>
            <a:graphic>
              <a:graphicData uri="http://schemas.openxmlformats.org/drawingml/2006/picture">
                <pic:pic>
                  <pic:nvPicPr>
                    <pic:cNvPr descr="images/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15: Таблица 2</w:t>
      </w:r>
    </w:p>
    <w:bookmarkEnd w:id="61"/>
    <w:bookmarkEnd w:id="62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групп, опытным путем выяснила минимальные права на директорию и файлы для совершения операций. Результаты работы находятся в</w:t>
      </w:r>
      <w:r>
        <w:t xml:space="preserve"> </w:t>
      </w:r>
      <w:hyperlink r:id="rId63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64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63" Target="https://github.com/ZlataDyachenko/workD" TargetMode="External" /><Relationship Type="http://schemas.openxmlformats.org/officeDocument/2006/relationships/hyperlink" Id="rId64" Target="https://www.youtube.com/watch?v=BUGFHr9tvG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github.com/ZlataDyachenko/workD" TargetMode="External" /><Relationship Type="http://schemas.openxmlformats.org/officeDocument/2006/relationships/hyperlink" Id="rId64" Target="https://www.youtube.com/watch?v=BUGFHr9tv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 Дяченко Злата Константиновна, НФИбд-03-18</dc:creator>
  <dc:language>ru-RU</dc:language>
  <cp:keywords/>
  <dcterms:created xsi:type="dcterms:W3CDTF">2021-10-16T15:44:49Z</dcterms:created>
  <dcterms:modified xsi:type="dcterms:W3CDTF">2021-10-16T15:44:49Z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Преподаватель: 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