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png" ContentType="image/png"/>
  <Override PartName="/word/media/image4.png" ContentType="image/png"/>
  <Override PartName="/word/media/image12.png" ContentType="image/png"/>
  <Override PartName="/word/media/image7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3.1 Introduction to Determinants</w:t>
      </w:r>
    </w:p>
    <w:p>
      <w:pPr>
        <w:pStyle w:val="TextBody"/>
        <w:bidi w:val="0"/>
        <w:jc w:val="left"/>
        <w:rPr/>
      </w:pPr>
      <w:r>
        <w:rPr/>
        <w:t xml:space="preserve">For any square matrix </w:t>
      </w:r>
      <w:r>
        <w:rPr>
          <w:i/>
          <w:iCs/>
        </w:rPr>
        <w:t>A</w:t>
      </w:r>
      <w:r>
        <w:rPr>
          <w:i w:val="false"/>
          <w:iCs w:val="false"/>
        </w:rPr>
        <w:t xml:space="preserve">, let </w:t>
      </w:r>
      <w:r>
        <w:rPr>
          <w:i/>
          <w:iCs/>
        </w:rPr>
        <w:t>A</w:t>
      </w:r>
      <w:r>
        <w:rPr>
          <w:i/>
          <w:iCs/>
          <w:vertAlign w:val="subscript"/>
        </w:rPr>
        <w:t>ij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 denote the submatrix formed by </w:t>
      </w:r>
      <w:r>
        <w:rPr>
          <w:i w:val="false"/>
          <w:iCs w:val="false"/>
          <w:color w:val="C9211E"/>
          <w:position w:val="0"/>
          <w:sz w:val="24"/>
          <w:sz w:val="24"/>
          <w:vertAlign w:val="baseline"/>
        </w:rPr>
        <w:t>deleting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 the</w:t>
      </w:r>
      <w:r>
        <w:rPr>
          <w:i/>
          <w:iCs/>
          <w:position w:val="0"/>
          <w:sz w:val="24"/>
          <w:sz w:val="24"/>
          <w:vertAlign w:val="baseline"/>
        </w:rPr>
        <w:t xml:space="preserve"> i 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th row and </w:t>
      </w:r>
      <w:r>
        <w:rPr>
          <w:i/>
          <w:iCs/>
          <w:position w:val="0"/>
          <w:sz w:val="24"/>
          <w:sz w:val="24"/>
          <w:vertAlign w:val="baseline"/>
        </w:rPr>
        <w:t xml:space="preserve">j 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th column of 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i w:val="false"/>
          <w:iCs w:val="false"/>
          <w:position w:val="0"/>
          <w:sz w:val="24"/>
          <w:sz w:val="24"/>
          <w:vertAlign w:val="baseline"/>
        </w:rPr>
        <w:t>. For instance, if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7370" cy="9150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position w:val="0"/>
          <w:sz w:val="24"/>
          <w:sz w:val="24"/>
          <w:vertAlign w:val="baseline"/>
        </w:rPr>
        <w:t>t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hen 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i/>
          <w:iCs/>
          <w:vertAlign w:val="subscript"/>
        </w:rPr>
        <w:t>32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 is obtained by </w:t>
      </w:r>
      <w:r>
        <w:rPr>
          <w:i w:val="false"/>
          <w:iCs w:val="false"/>
          <w:color w:val="C9211E"/>
          <w:position w:val="0"/>
          <w:sz w:val="24"/>
          <w:sz w:val="24"/>
          <w:vertAlign w:val="baseline"/>
        </w:rPr>
        <w:t xml:space="preserve">crossing out </w:t>
      </w:r>
      <w:r>
        <w:rPr>
          <w:i w:val="false"/>
          <w:iCs w:val="false"/>
          <w:position w:val="0"/>
          <w:sz w:val="24"/>
          <w:sz w:val="24"/>
          <w:vertAlign w:val="baseline"/>
        </w:rPr>
        <w:t>row 3 and column 2,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5245" cy="885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position w:val="0"/>
          <w:sz w:val="24"/>
          <w:sz w:val="24"/>
          <w:vertAlign w:val="baseline"/>
        </w:rPr>
        <w:t>s</w:t>
      </w:r>
      <w:r>
        <w:rPr>
          <w:i w:val="false"/>
          <w:iCs w:val="false"/>
          <w:position w:val="0"/>
          <w:sz w:val="24"/>
          <w:sz w:val="24"/>
          <w:vertAlign w:val="baseline"/>
        </w:rPr>
        <w:t>o that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6890" cy="7626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efinition: Determinant</w:t>
      </w:r>
    </w:p>
    <w:p>
      <w:pPr>
        <w:pStyle w:val="TextBody"/>
        <w:bidi w:val="0"/>
        <w:jc w:val="left"/>
        <w:rPr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0220" cy="1711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Cofactor Expansion</w:t>
      </w:r>
    </w:p>
    <w:p>
      <w:pPr>
        <w:pStyle w:val="TextBody"/>
        <w:bidi w:val="0"/>
        <w:jc w:val="left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Given 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 = [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i/>
          <w:iCs/>
          <w:vertAlign w:val="subscript"/>
        </w:rPr>
        <w:t>ij</w:t>
      </w:r>
      <w:r>
        <w:rPr>
          <w:i w:val="false"/>
          <w:iCs w:val="false"/>
          <w:position w:val="0"/>
          <w:sz w:val="24"/>
          <w:sz w:val="24"/>
          <w:vertAlign w:val="baseline"/>
        </w:rPr>
        <w:t>], the (</w:t>
      </w:r>
      <w:r>
        <w:rPr>
          <w:i/>
          <w:iCs/>
          <w:position w:val="0"/>
          <w:sz w:val="24"/>
          <w:sz w:val="24"/>
          <w:vertAlign w:val="baseline"/>
        </w:rPr>
        <w:t>i, j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)-cofactor of </w:t>
      </w:r>
      <w:r>
        <w:rPr>
          <w:i/>
          <w:iCs/>
          <w:position w:val="0"/>
          <w:sz w:val="24"/>
          <w:sz w:val="24"/>
          <w:vertAlign w:val="baseline"/>
        </w:rPr>
        <w:t>A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 is the number </w:t>
      </w:r>
      <w:r>
        <w:rPr>
          <w:i/>
          <w:iCs/>
          <w:position w:val="0"/>
          <w:sz w:val="24"/>
          <w:sz w:val="24"/>
          <w:vertAlign w:val="baseline"/>
        </w:rPr>
        <w:t>C</w:t>
      </w:r>
      <w:r>
        <w:rPr>
          <w:i/>
          <w:iCs/>
          <w:vertAlign w:val="subscript"/>
        </w:rPr>
        <w:t xml:space="preserve">ij </w:t>
      </w:r>
      <w:r>
        <w:rPr>
          <w:i w:val="false"/>
          <w:iCs w:val="false"/>
          <w:position w:val="0"/>
          <w:sz w:val="24"/>
          <w:sz w:val="24"/>
          <w:vertAlign w:val="baseline"/>
        </w:rPr>
        <w:t>given by</w:t>
      </w:r>
    </w:p>
    <w:p>
      <w:pPr>
        <w:pStyle w:val="TextBody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 xml:space="preserve">ij </w:t>
      </w:r>
      <w:r>
        <w:rPr>
          <w:i/>
          <w:iCs/>
          <w:position w:val="0"/>
          <w:sz w:val="28"/>
          <w:sz w:val="28"/>
          <w:szCs w:val="28"/>
          <w:vertAlign w:val="baseline"/>
        </w:rPr>
        <w:t xml:space="preserve">=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(-1)</w:t>
      </w:r>
      <w:r>
        <w:rPr>
          <w:i/>
          <w:iCs/>
          <w:sz w:val="28"/>
          <w:szCs w:val="28"/>
          <w:vertAlign w:val="superscript"/>
        </w:rPr>
        <w:t xml:space="preserve">i+j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det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/>
          <w:iCs/>
          <w:sz w:val="28"/>
          <w:szCs w:val="28"/>
          <w:vertAlign w:val="subscript"/>
        </w:rPr>
        <w:t>ij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Then</w:t>
      </w:r>
    </w:p>
    <w:p>
      <w:pPr>
        <w:pStyle w:val="TextBody"/>
        <w:bidi w:val="0"/>
        <w:jc w:val="center"/>
        <w:rPr>
          <w:i w:val="false"/>
          <w:i w:val="false"/>
          <w:iCs w:val="false"/>
          <w:position w:val="0"/>
          <w:sz w:val="24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det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 w:val="false"/>
          <w:iCs w:val="false"/>
          <w:sz w:val="28"/>
          <w:szCs w:val="28"/>
          <w:vertAlign w:val="subscript"/>
        </w:rPr>
        <w:t>11</w:t>
      </w: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>11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+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/>
          <w:iCs/>
          <w:sz w:val="28"/>
          <w:szCs w:val="28"/>
          <w:vertAlign w:val="subscript"/>
        </w:rPr>
        <w:t>12</w:t>
      </w: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>12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+ … +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/>
          <w:iCs/>
          <w:sz w:val="28"/>
          <w:szCs w:val="28"/>
          <w:vertAlign w:val="subscript"/>
        </w:rPr>
        <w:t>1n</w:t>
      </w: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>1n</w:t>
      </w:r>
    </w:p>
    <w:p>
      <w:pPr>
        <w:pStyle w:val="TextBody"/>
        <w:bidi w:val="0"/>
        <w:jc w:val="left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This formula is called a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cofactor expansion across the first row </w:t>
      </w:r>
      <w:r>
        <w:rPr>
          <w:i w:val="false"/>
          <w:iCs w:val="false"/>
          <w:position w:val="0"/>
          <w:sz w:val="24"/>
          <w:sz w:val="24"/>
          <w:vertAlign w:val="baseline"/>
        </w:rPr>
        <w:t>of A.</w:t>
      </w:r>
    </w:p>
    <w:p>
      <w:pPr>
        <w:pStyle w:val="TextBody"/>
        <w:bidi w:val="0"/>
        <w:jc w:val="left"/>
        <w:rPr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7845" cy="171577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1</w:t>
      </w:r>
    </w:p>
    <w:p>
      <w:pPr>
        <w:pStyle w:val="TextBody"/>
        <w:bidi w:val="0"/>
        <w:jc w:val="left"/>
        <w:rPr/>
      </w:pPr>
      <w:r>
        <w:rPr/>
        <w:t xml:space="preserve">If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is a triangular matrix, then det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the product of the entries on the main diagonal of </w:t>
      </w:r>
      <w:r>
        <w:rPr>
          <w:i/>
          <w:iCs/>
        </w:rPr>
        <w:t>A</w:t>
      </w:r>
      <w:r>
        <w:rPr>
          <w:i w:val="false"/>
          <w:iCs w:val="false"/>
        </w:rPr>
        <w:t>.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3.2 Properties of Determinants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Row Operations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3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421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 xml:space="preserve">For a </w:t>
      </w:r>
      <w:r>
        <w:rPr>
          <w:b/>
          <w:bCs/>
        </w:rPr>
        <w:t xml:space="preserve">square matrix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 w:val="false"/>
          <w:iCs w:val="false"/>
        </w:rPr>
        <w:t>,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5355" cy="10439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4</w:t>
      </w:r>
    </w:p>
    <w:p>
      <w:pPr>
        <w:pStyle w:val="TextBody"/>
        <w:bidi w:val="0"/>
        <w:jc w:val="left"/>
        <w:rPr/>
      </w:pPr>
      <w:r>
        <w:rPr/>
        <w:t xml:space="preserve">A </w:t>
      </w:r>
      <w:r>
        <w:rPr>
          <w:b/>
          <w:bCs/>
        </w:rPr>
        <w:t>square</w:t>
      </w:r>
      <w:r>
        <w:rPr/>
        <w:t xml:space="preserve"> matrix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invertible if and only if det </w:t>
      </w:r>
      <w:r>
        <w:rPr>
          <w:i/>
          <w:iCs/>
        </w:rPr>
        <w:t xml:space="preserve">A </w:t>
      </w:r>
      <w:r>
        <w:rPr>
          <w:rFonts w:eastAsia="Liberation Serif" w:cs="Liberation Serif"/>
          <w:i/>
          <w:iCs/>
        </w:rPr>
        <w:t>≠</w:t>
      </w:r>
      <w:r>
        <w:rPr>
          <w:rFonts w:eastAsia="Noto Serif CJK SC" w:cs="Lohit Devanagari"/>
          <w:i/>
          <w:iCs/>
        </w:rPr>
        <w:t xml:space="preserve"> </w:t>
      </w:r>
      <w:r>
        <w:rPr>
          <w:rFonts w:eastAsia="Noto Serif CJK SC" w:cs="Lohit Devanagari"/>
          <w:i w:val="false"/>
          <w:iCs w:val="false"/>
        </w:rPr>
        <w:t>0.</w:t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Column Operations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5</w:t>
      </w:r>
    </w:p>
    <w:p>
      <w:pPr>
        <w:pStyle w:val="TextBody"/>
        <w:bidi w:val="0"/>
        <w:jc w:val="left"/>
        <w:rPr/>
      </w:pPr>
      <w:r>
        <w:rPr/>
        <w:t xml:space="preserve">If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an </w:t>
      </w:r>
      <w:r>
        <w:rPr>
          <w:b/>
          <w:bCs/>
          <w:i/>
          <w:iCs/>
        </w:rPr>
        <w:t xml:space="preserve">n </w:t>
      </w:r>
      <w:r>
        <w:rPr>
          <w:b/>
          <w:bCs/>
          <w:i w:val="false"/>
          <w:iCs w:val="false"/>
        </w:rPr>
        <w:t xml:space="preserve">x </w:t>
      </w:r>
      <w:r>
        <w:rPr>
          <w:b/>
          <w:bCs/>
          <w:i/>
          <w:iCs/>
        </w:rPr>
        <w:t>n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matrix, then det </w:t>
      </w:r>
      <w:r>
        <w:rPr>
          <w:i/>
          <w:iCs/>
        </w:rPr>
        <w:t>A</w:t>
      </w:r>
      <w:r>
        <w:rPr>
          <w:i/>
          <w:iCs/>
          <w:vertAlign w:val="superscript"/>
        </w:rPr>
        <w:t xml:space="preserve">T </w:t>
      </w:r>
      <w:r>
        <w:rPr>
          <w:i/>
          <w:iCs/>
          <w:position w:val="0"/>
          <w:sz w:val="24"/>
          <w:sz w:val="24"/>
          <w:vertAlign w:val="baseline"/>
        </w:rPr>
        <w:t xml:space="preserve">= 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det </w:t>
      </w:r>
      <w:r>
        <w:rPr>
          <w:i/>
          <w:iCs/>
          <w:position w:val="0"/>
          <w:sz w:val="24"/>
          <w:sz w:val="24"/>
          <w:vertAlign w:val="baseline"/>
        </w:rPr>
        <w:t>A.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6</w:t>
      </w:r>
    </w:p>
    <w:p>
      <w:pPr>
        <w:pStyle w:val="TextBody"/>
        <w:bidi w:val="0"/>
        <w:jc w:val="left"/>
        <w:rPr/>
      </w:pPr>
      <w:r>
        <w:rPr/>
        <w:t xml:space="preserve">If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B</w:t>
      </w:r>
      <w:r>
        <w:rPr>
          <w:i w:val="false"/>
          <w:iCs w:val="false"/>
        </w:rPr>
        <w:t xml:space="preserve"> are </w:t>
      </w:r>
      <w:r>
        <w:rPr>
          <w:b/>
          <w:bCs/>
          <w:i/>
          <w:iCs/>
        </w:rPr>
        <w:t xml:space="preserve">n </w:t>
      </w:r>
      <w:r>
        <w:rPr>
          <w:b/>
          <w:bCs/>
          <w:i w:val="false"/>
          <w:iCs w:val="false"/>
        </w:rPr>
        <w:t xml:space="preserve">x </w:t>
      </w:r>
      <w:r>
        <w:rPr>
          <w:b/>
          <w:bCs/>
          <w:i/>
          <w:iCs/>
        </w:rPr>
        <w:t>n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matrices, then det </w:t>
      </w:r>
      <w:r>
        <w:rPr>
          <w:i/>
          <w:iCs/>
        </w:rPr>
        <w:t>AB =</w:t>
      </w:r>
      <w:r>
        <w:rPr>
          <w:i w:val="false"/>
          <w:iCs w:val="false"/>
        </w:rPr>
        <w:t xml:space="preserve"> (det </w:t>
      </w:r>
      <w:r>
        <w:rPr>
          <w:i/>
          <w:iCs/>
        </w:rPr>
        <w:t>A</w:t>
      </w:r>
      <w:r>
        <w:rPr>
          <w:i w:val="false"/>
          <w:iCs w:val="false"/>
        </w:rPr>
        <w:t xml:space="preserve">)(det </w:t>
      </w:r>
      <w:r>
        <w:rPr>
          <w:i/>
          <w:iCs/>
        </w:rPr>
        <w:t>B</w:t>
      </w:r>
      <w:r>
        <w:rPr>
          <w:i w:val="false"/>
          <w:iCs w:val="false"/>
        </w:rPr>
        <w:t>).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3.3 Cramer’s rule, Volume, and Linear Transformations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Cramer’s rule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7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775" cy="26657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A Formula for </w:t>
      </w:r>
      <w:r>
        <w:rPr>
          <w:i/>
          <w:iCs/>
        </w:rPr>
        <w:t>A</w:t>
      </w:r>
      <w:r>
        <w:rPr>
          <w:i/>
          <w:iCs/>
          <w:vertAlign w:val="superscript"/>
        </w:rPr>
        <w:t>-1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Adjugate of </w:t>
      </w:r>
      <w:r>
        <w:rPr>
          <w:i/>
          <w:iCs/>
        </w:rPr>
        <w:t xml:space="preserve">A, </w:t>
      </w:r>
      <w:r>
        <w:rPr>
          <w:i w:val="false"/>
          <w:iCs w:val="false"/>
        </w:rPr>
        <w:t xml:space="preserve">classical adjoint of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(adj </w:t>
      </w:r>
      <w:r>
        <w:rPr>
          <w:i/>
          <w:iCs/>
        </w:rPr>
        <w:t>A</w:t>
      </w:r>
      <w:r>
        <w:rPr>
          <w:i w:val="false"/>
          <w:iCs w:val="false"/>
        </w:rPr>
        <w:t>)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4395" cy="1130300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</w:t>
      </w:r>
      <w:r>
        <w:rPr/>
        <w:t>面方括号</w:t>
      </w:r>
      <w:r>
        <w:rPr/>
        <w:t>[ ]</w:t>
      </w:r>
      <w:r>
        <w:rPr/>
        <w:t xml:space="preserve">中的部分即为 </w:t>
      </w:r>
      <w:r>
        <w:rPr/>
        <w:t xml:space="preserve">adj </w:t>
      </w:r>
      <w:r>
        <w:rPr>
          <w:i/>
          <w:iCs/>
        </w:rPr>
        <w:t>A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i w:val="false"/>
          <w:iCs w:val="false"/>
        </w:rPr>
        <w:t>Theorem 8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915" cy="110426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Determinants as Area or Volume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9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9010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Linear Transformations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Theorem 10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5150" cy="149796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580</TotalTime>
  <Application>LibreOffice/6.3.4.2$Linux_X86_64 LibreOffice_project/30$Build-2</Application>
  <Pages>4</Pages>
  <Words>233</Words>
  <Characters>904</Characters>
  <CharactersWithSpaces>1090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2020-01-20T10:21:19Z</dcterms:created>
  <dc:creator/>
  <dc:description/>
  <dc:language>en-US</dc:language>
  <cp:lastModifiedBy/>
  <dcterms:modified xsi:type="dcterms:W3CDTF">2020-01-21T11:02:26Z</dcterms:modified>
  <cp:revision>30</cp:revision>
  <dc:subject/>
  <dc:title/>
</cp:coreProperties>
</file>