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>
          <w:rFonts w:ascii="Arial" w:hAnsi="Arial"/>
        </w:rPr>
      </w:pPr>
      <w:r>
        <w:rPr>
          <w:rFonts w:ascii="Arial" w:hAnsi="Arial"/>
        </w:rPr>
        <w:t>5.1 Eigenvectors and Eigenvalues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Definition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715" cy="6305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Theorem 1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The eigenvalues of a triangular matrix are the entries on its main diagonal.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Theorem 2</w:t>
      </w:r>
    </w:p>
    <w:p>
      <w:pPr>
        <w:pStyle w:val="TextBody"/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838835</wp:posOffset>
            </wp:positionH>
            <wp:positionV relativeFrom="paragraph">
              <wp:posOffset>59055</wp:posOffset>
            </wp:positionV>
            <wp:extent cx="4654550" cy="4552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  <w:t>5.2 The Characteristic Equation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Determinants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Page 277</w:t>
      </w:r>
    </w:p>
    <w:p>
      <w:pPr>
        <w:pStyle w:val="Heading3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0065" cy="8604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Theorem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005" cy="9112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Theorem 3 from (Chapter 3)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2945" cy="188023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Arial" w:hAnsi="Arial"/>
        </w:rPr>
      </w:pPr>
      <w:r>
        <w:rPr>
          <w:rFonts w:ascii="Arial" w:hAnsi="Arial"/>
        </w:rPr>
        <w:t>The Characteristic Equation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The scalar equation det ( </w:t>
      </w:r>
      <w:r>
        <w:rPr>
          <w:rFonts w:ascii="Arial" w:hAnsi="Arial"/>
          <w:i/>
          <w:iCs/>
        </w:rPr>
        <w:t xml:space="preserve">A – </w:t>
      </w:r>
      <w:r>
        <w:rPr>
          <w:rFonts w:eastAsia="Noto Serif CJK SC" w:cs="Lohit Devanagari" w:ascii="Arial" w:hAnsi="Arial"/>
          <w:i w:val="false"/>
          <w:iCs w:val="false"/>
        </w:rPr>
        <w:t>λ</w:t>
      </w:r>
      <w:r>
        <w:rPr>
          <w:rFonts w:eastAsia="Noto Serif CJK SC" w:cs="Lohit Devanagari" w:ascii="Arial" w:hAnsi="Arial"/>
          <w:i/>
          <w:iCs/>
        </w:rPr>
        <w:t xml:space="preserve">I </w:t>
      </w:r>
      <w:r>
        <w:rPr>
          <w:rFonts w:eastAsia="Noto Serif CJK SC" w:cs="Lohit Devanagari" w:ascii="Arial" w:hAnsi="Arial"/>
          <w:i w:val="false"/>
          <w:iCs w:val="false"/>
        </w:rPr>
        <w:t xml:space="preserve">) = 0 is called the </w:t>
      </w:r>
      <w:r>
        <w:rPr>
          <w:rFonts w:eastAsia="Noto Serif CJK SC" w:cs="Lohit Devanagari" w:ascii="Arial" w:hAnsi="Arial"/>
          <w:b/>
          <w:bCs/>
          <w:i w:val="false"/>
          <w:iCs w:val="false"/>
        </w:rPr>
        <w:t>characteristic equation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</w:rPr>
        <w:t xml:space="preserve"> of </w:t>
      </w:r>
      <w:r>
        <w:rPr>
          <w:rFonts w:eastAsia="Noto Serif CJK SC" w:cs="Lohit Devanagari" w:ascii="Arial" w:hAnsi="Arial"/>
          <w:b w:val="false"/>
          <w:bCs w:val="false"/>
          <w:i/>
          <w:iCs/>
        </w:rPr>
        <w:t>A.</w:t>
      </w:r>
    </w:p>
    <w:p>
      <w:pPr>
        <w:pStyle w:val="TextBody"/>
        <w:rPr>
          <w:rFonts w:eastAsia="Noto Serif CJK SC" w:cs="Lohit Devanagari"/>
          <w:b w:val="false"/>
          <w:b w:val="false"/>
          <w:bCs w:val="false"/>
        </w:rPr>
      </w:pPr>
      <w:r>
        <w:rPr>
          <w:rFonts w:ascii="Arial" w:hAnsi="Arial"/>
          <w:i w:val="false"/>
          <w:i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5727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eastAsia="Noto Serif CJK SC" w:cs="Lohit Devanagari"/>
          <w:b w:val="false"/>
          <w:b w:val="false"/>
          <w:b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TextBody"/>
        <w:rPr>
          <w:rFonts w:eastAsia="Noto Serif CJK SC" w:cs="Lohit Devanagari"/>
          <w:b w:val="false"/>
          <w:b w:val="false"/>
          <w:b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TextBody"/>
        <w:rPr>
          <w:rFonts w:ascii="Arial" w:hAnsi="Arial"/>
          <w:i w:val="false"/>
          <w:i w:val="false"/>
          <w:iCs w:val="false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iCs w:val="false"/>
        </w:rPr>
        <w:t xml:space="preserve">If </w:t>
      </w:r>
      <w:r>
        <w:rPr>
          <w:rFonts w:eastAsia="Noto Serif CJK SC" w:cs="Lohit Devanagari" w:ascii="Arial" w:hAnsi="Arial"/>
          <w:b w:val="false"/>
          <w:bCs w:val="false"/>
          <w:i/>
          <w:iCs/>
        </w:rPr>
        <w:t xml:space="preserve">A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</w:rPr>
        <w:t xml:space="preserve">is an </w:t>
      </w:r>
      <w:r>
        <w:rPr>
          <w:rFonts w:eastAsia="Noto Serif CJK SC" w:cs="Lohit Devanagari" w:ascii="Arial" w:hAnsi="Arial"/>
          <w:b w:val="false"/>
          <w:bCs w:val="false"/>
          <w:i/>
          <w:iCs/>
        </w:rPr>
        <w:t xml:space="preserve"> n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</w:rPr>
        <w:t xml:space="preserve"> x </w:t>
      </w:r>
      <w:r>
        <w:rPr>
          <w:rFonts w:eastAsia="Noto Serif CJK SC" w:cs="Lohit Devanagari" w:ascii="Arial" w:hAnsi="Arial"/>
          <w:b w:val="false"/>
          <w:bCs w:val="false"/>
          <w:i/>
          <w:iCs/>
        </w:rPr>
        <w:t>n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</w:rPr>
        <w:t xml:space="preserve"> matrix, then det ( </w:t>
      </w:r>
      <w:r>
        <w:rPr>
          <w:rFonts w:eastAsia="Noto Serif CJK SC" w:cs="Lohit Devanagari" w:ascii="Arial" w:hAnsi="Arial"/>
          <w:b w:val="false"/>
          <w:bCs w:val="false"/>
          <w:i/>
          <w:iCs/>
        </w:rPr>
        <w:t xml:space="preserve">A –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</w:rPr>
        <w:t>λ</w:t>
      </w:r>
      <w:r>
        <w:rPr>
          <w:rFonts w:eastAsia="Noto Serif CJK SC" w:cs="Lohit Devanagari" w:ascii="Arial" w:hAnsi="Arial"/>
          <w:b w:val="false"/>
          <w:bCs w:val="false"/>
          <w:i/>
          <w:iCs/>
        </w:rPr>
        <w:t xml:space="preserve">I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</w:rPr>
        <w:t xml:space="preserve">) si a polynomial of degree </w:t>
      </w:r>
      <w:r>
        <w:rPr>
          <w:rFonts w:eastAsia="Noto Serif CJK SC" w:cs="Lohit Devanagari" w:ascii="Arial" w:hAnsi="Arial"/>
          <w:b w:val="false"/>
          <w:bCs w:val="false"/>
          <w:i/>
          <w:iCs/>
        </w:rPr>
        <w:t xml:space="preserve">n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</w:rPr>
        <w:t xml:space="preserve">called the </w:t>
      </w:r>
      <w:r>
        <w:rPr>
          <w:rFonts w:eastAsia="Noto Serif CJK SC" w:cs="Lohit Devanagari" w:ascii="Arial" w:hAnsi="Arial"/>
          <w:b/>
          <w:bCs/>
          <w:i w:val="false"/>
          <w:iCs w:val="false"/>
        </w:rPr>
        <w:t xml:space="preserve">characteristic polynomial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</w:rPr>
        <w:t xml:space="preserve">of </w:t>
      </w:r>
      <w:r>
        <w:rPr>
          <w:rFonts w:eastAsia="Noto Serif CJK SC" w:cs="Lohit Devanagari" w:ascii="Arial" w:hAnsi="Arial"/>
          <w:b w:val="false"/>
          <w:bCs w:val="false"/>
          <w:i/>
          <w:iCs/>
        </w:rPr>
        <w:t>A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</w:rPr>
        <w:t>.</w:t>
      </w:r>
    </w:p>
    <w:p>
      <w:pPr>
        <w:pStyle w:val="TextBody"/>
        <w:rPr>
          <w:rFonts w:eastAsia="Noto Serif CJK SC" w:cs="Lohit Devanagari"/>
          <w:b w:val="false"/>
          <w:b w:val="false"/>
          <w:b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Heading2"/>
        <w:rPr/>
      </w:pPr>
      <w:r>
        <w:rPr/>
        <w:t xml:space="preserve">Similarity </w:t>
      </w:r>
    </w:p>
    <w:p>
      <w:pPr>
        <w:pStyle w:val="TextBody"/>
        <w:rPr>
          <w:i/>
          <w:i/>
          <w:iCs/>
        </w:rPr>
      </w:pPr>
      <w:r>
        <w:rPr>
          <w:i w:val="false"/>
          <w:iCs w:val="false"/>
        </w:rPr>
        <w:t xml:space="preserve">If </w:t>
      </w:r>
      <w:r>
        <w:rPr>
          <w:i/>
          <w:iCs/>
        </w:rPr>
        <w:t xml:space="preserve">A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B</w:t>
      </w:r>
      <w:r>
        <w:rPr>
          <w:i w:val="false"/>
          <w:iCs w:val="false"/>
        </w:rPr>
        <w:t xml:space="preserve"> are </w:t>
      </w:r>
      <w:r>
        <w:rPr>
          <w:i/>
          <w:iCs/>
        </w:rPr>
        <w:t xml:space="preserve">n </w:t>
      </w:r>
      <w:r>
        <w:rPr>
          <w:i w:val="false"/>
          <w:iCs w:val="false"/>
        </w:rPr>
        <w:t xml:space="preserve">x </w:t>
      </w:r>
      <w:r>
        <w:rPr>
          <w:i/>
          <w:iCs/>
        </w:rPr>
        <w:t xml:space="preserve">n matrices, </w:t>
      </w:r>
      <w:r>
        <w:rPr>
          <w:i w:val="false"/>
          <w:iCs w:val="false"/>
        </w:rPr>
        <w:t xml:space="preserve">then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is similar to </w:t>
      </w:r>
      <w:r>
        <w:rPr>
          <w:i/>
          <w:iCs/>
        </w:rPr>
        <w:t>B</w:t>
      </w:r>
      <w:r>
        <w:rPr>
          <w:i w:val="false"/>
          <w:iCs w:val="false"/>
        </w:rPr>
        <w:t xml:space="preserve"> if there is an invertible matrix </w:t>
      </w:r>
      <w:r>
        <w:rPr>
          <w:i/>
          <w:iCs/>
        </w:rPr>
        <w:t>P</w:t>
      </w:r>
      <w:r>
        <w:rPr>
          <w:i w:val="false"/>
          <w:iCs w:val="false"/>
        </w:rPr>
        <w:t xml:space="preserve"> such that </w:t>
      </w:r>
      <w:r>
        <w:rPr>
          <w:i/>
          <w:iCs/>
        </w:rPr>
        <w:t>P</w:t>
      </w:r>
      <w:r>
        <w:rPr>
          <w:i w:val="false"/>
          <w:iCs w:val="false"/>
          <w:vertAlign w:val="superscript"/>
        </w:rPr>
        <w:t>-1</w:t>
      </w:r>
      <w:r>
        <w:rPr>
          <w:i/>
          <w:iCs/>
          <w:position w:val="0"/>
          <w:sz w:val="24"/>
          <w:vertAlign w:val="baseline"/>
        </w:rPr>
        <w:t>AP</w:t>
      </w:r>
      <w:r>
        <w:rPr>
          <w:i w:val="false"/>
          <w:iCs w:val="false"/>
          <w:position w:val="0"/>
          <w:sz w:val="24"/>
          <w:vertAlign w:val="baseline"/>
        </w:rPr>
        <w:t xml:space="preserve"> = </w:t>
      </w:r>
      <w:r>
        <w:rPr>
          <w:i/>
          <w:iCs/>
          <w:position w:val="0"/>
          <w:sz w:val="24"/>
          <w:vertAlign w:val="baseline"/>
        </w:rPr>
        <w:t>B</w:t>
      </w:r>
      <w:r>
        <w:rPr>
          <w:i w:val="false"/>
          <w:iCs w:val="false"/>
          <w:position w:val="0"/>
          <w:sz w:val="24"/>
          <w:vertAlign w:val="baseline"/>
        </w:rPr>
        <w:t xml:space="preserve">, or, equivalently, </w:t>
      </w:r>
      <w:r>
        <w:rPr>
          <w:i/>
          <w:iCs/>
          <w:position w:val="0"/>
          <w:sz w:val="24"/>
          <w:vertAlign w:val="baseline"/>
        </w:rPr>
        <w:t>A</w:t>
      </w:r>
      <w:r>
        <w:rPr>
          <w:i w:val="false"/>
          <w:iCs w:val="false"/>
          <w:position w:val="0"/>
          <w:sz w:val="24"/>
          <w:vertAlign w:val="baseline"/>
        </w:rPr>
        <w:t xml:space="preserve"> = </w:t>
      </w:r>
      <w:r>
        <w:rPr>
          <w:i/>
          <w:iCs/>
          <w:position w:val="0"/>
          <w:sz w:val="24"/>
          <w:vertAlign w:val="baseline"/>
        </w:rPr>
        <w:t>PBP</w:t>
      </w:r>
      <w:r>
        <w:rPr>
          <w:i w:val="false"/>
          <w:iCs w:val="false"/>
          <w:vertAlign w:val="superscript"/>
        </w:rPr>
        <w:t>-1</w:t>
      </w:r>
      <w:r>
        <w:rPr>
          <w:i w:val="false"/>
          <w:iCs w:val="false"/>
          <w:position w:val="0"/>
          <w:sz w:val="24"/>
          <w:vertAlign w:val="baseline"/>
        </w:rPr>
        <w:t xml:space="preserve">. Writing </w:t>
      </w:r>
      <w:r>
        <w:rPr>
          <w:i/>
          <w:iCs/>
          <w:position w:val="0"/>
          <w:sz w:val="24"/>
          <w:vertAlign w:val="baseline"/>
        </w:rPr>
        <w:t>Q</w:t>
      </w:r>
      <w:r>
        <w:rPr>
          <w:i w:val="false"/>
          <w:iCs w:val="false"/>
          <w:position w:val="0"/>
          <w:sz w:val="24"/>
          <w:vertAlign w:val="baseline"/>
        </w:rPr>
        <w:t xml:space="preserve"> for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P</w:t>
      </w:r>
      <w:r>
        <w:rPr>
          <w:i w:val="false"/>
          <w:iCs w:val="false"/>
          <w:sz w:val="24"/>
          <w:szCs w:val="24"/>
          <w:vertAlign w:val="superscript"/>
        </w:rPr>
        <w:t>-1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we have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Q</w:t>
      </w:r>
      <w:r>
        <w:rPr>
          <w:i w:val="false"/>
          <w:iCs w:val="false"/>
          <w:sz w:val="24"/>
          <w:szCs w:val="24"/>
          <w:vertAlign w:val="superscript"/>
        </w:rPr>
        <w:t>-1</w:t>
      </w:r>
      <w:r>
        <w:rPr>
          <w:i/>
          <w:iCs/>
          <w:position w:val="0"/>
          <w:sz w:val="24"/>
          <w:sz w:val="24"/>
          <w:szCs w:val="24"/>
          <w:vertAlign w:val="baseline"/>
        </w:rPr>
        <w:t>BQ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=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A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. So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B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is also similar to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A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and we say simply that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A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and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B</w:t>
      </w:r>
      <w:r>
        <w:rPr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are similar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 Changing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 A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to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 P</w:t>
      </w:r>
      <w:r>
        <w:rPr>
          <w:b w:val="false"/>
          <w:bCs w:val="false"/>
          <w:i/>
          <w:iCs/>
          <w:sz w:val="24"/>
          <w:szCs w:val="24"/>
          <w:vertAlign w:val="superscript"/>
        </w:rPr>
        <w:t>-1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AP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is called a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similarity transformation.</w:t>
      </w:r>
    </w:p>
    <w:p>
      <w:pPr>
        <w:pStyle w:val="TextBody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>
          <w:i/>
          <w:iCs/>
        </w:rPr>
      </w:r>
    </w:p>
    <w:p>
      <w:pPr>
        <w:pStyle w:val="Heading3"/>
        <w:rPr/>
      </w:pP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Theorem 4</w:t>
      </w:r>
    </w:p>
    <w:p>
      <w:pPr>
        <w:pStyle w:val="Heading3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4165" cy="4794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4"/>
          <w:szCs w:val="24"/>
          <w:vertAlign w:val="superscript"/>
        </w:rPr>
        <w:t xml:space="preserve">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TextBody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TextBody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TextBody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9520" cy="16592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TextBody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TextBody"/>
        <w:rPr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Heading1"/>
        <w:rPr/>
      </w:pPr>
      <w:r>
        <w:rPr/>
        <w:t xml:space="preserve">5.3 </w:t>
      </w:r>
      <w:r>
        <w:rPr/>
        <w:t>Diagonalization</w:t>
      </w:r>
    </w:p>
    <w:p>
      <w:pPr>
        <w:pStyle w:val="TextBody"/>
        <w:rPr/>
      </w:pPr>
      <w:r>
        <w:rPr/>
        <w:t xml:space="preserve">A square matrix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is said to be </w:t>
      </w:r>
      <w:r>
        <w:rPr>
          <w:b/>
          <w:bCs/>
          <w:i w:val="false"/>
          <w:iCs w:val="false"/>
        </w:rPr>
        <w:t xml:space="preserve">diagonalizable </w:t>
      </w:r>
      <w:r>
        <w:rPr>
          <w:b w:val="false"/>
          <w:bCs w:val="false"/>
          <w:i w:val="false"/>
          <w:iCs w:val="false"/>
        </w:rPr>
        <w:t xml:space="preserve">if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  <w:i w:val="false"/>
          <w:iCs w:val="false"/>
        </w:rPr>
        <w:t xml:space="preserve"> is similar to a diagonal matrix, that is, if </w:t>
      </w:r>
      <w:r>
        <w:rPr>
          <w:b w:val="false"/>
          <w:bCs w:val="false"/>
          <w:i/>
          <w:iCs/>
        </w:rPr>
        <w:t>A = PDP</w:t>
      </w:r>
      <w:r>
        <w:rPr>
          <w:b w:val="false"/>
          <w:bCs w:val="false"/>
          <w:i w:val="false"/>
          <w:iCs w:val="false"/>
          <w:vertAlign w:val="superscript"/>
        </w:rPr>
        <w:t xml:space="preserve">-1 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for some invertible matrix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P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and some diagonal matrix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D.</w:t>
      </w:r>
    </w:p>
    <w:p>
      <w:pPr>
        <w:pStyle w:val="TextBody"/>
        <w:rPr>
          <w:b w:val="false"/>
          <w:b w:val="false"/>
          <w:bCs w:val="false"/>
          <w:i/>
          <w:i/>
          <w:iCs/>
          <w:position w:val="0"/>
          <w:sz w:val="24"/>
          <w:vertAlign w:val="baseline"/>
        </w:rPr>
      </w:pPr>
      <w:r>
        <w:rPr/>
      </w:r>
    </w:p>
    <w:p>
      <w:pPr>
        <w:pStyle w:val="Heading3"/>
        <w:rPr/>
      </w:pPr>
      <w:r>
        <w:rPr/>
        <w:t>Theorem 5 – The Diagonalization Theorem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2490" cy="105156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In other words, </w:t>
      </w:r>
      <w:r>
        <w:rPr>
          <w:i/>
          <w:iCs/>
        </w:rPr>
        <w:t>A</w:t>
      </w:r>
      <w:r>
        <w:rPr>
          <w:i w:val="false"/>
          <w:iCs w:val="false"/>
        </w:rPr>
        <w:t xml:space="preserve"> is diagonalizable if and only if there are enough eigenvectors to form a basis of </w:t>
      </w:r>
      <w:r>
        <w:rPr>
          <w:i w:val="false"/>
          <w:iCs w:val="false"/>
        </w:rPr>
        <w:t>ℝ</w:t>
      </w:r>
      <w:r>
        <w:rPr>
          <w:i w:val="false"/>
          <w:iCs w:val="false"/>
          <w:vertAlign w:val="superscript"/>
        </w:rPr>
        <w:t>n</w:t>
      </w:r>
      <w:r>
        <w:rPr>
          <w:i w:val="false"/>
          <w:iCs w:val="false"/>
          <w:position w:val="0"/>
          <w:sz w:val="24"/>
          <w:vertAlign w:val="baseline"/>
        </w:rPr>
        <w:t>. We call such a basis an eigenvector basis of ℝ</w:t>
      </w:r>
      <w:r>
        <w:rPr>
          <w:i w:val="false"/>
          <w:iCs w:val="false"/>
          <w:vertAlign w:val="superscript"/>
        </w:rPr>
        <w:t>n</w:t>
      </w:r>
      <w:r>
        <w:rPr>
          <w:i w:val="false"/>
          <w:iCs w:val="false"/>
          <w:position w:val="0"/>
          <w:sz w:val="24"/>
          <w:vertAlign w:val="baseline"/>
        </w:rPr>
        <w:t>.</w:t>
      </w:r>
    </w:p>
    <w:p>
      <w:pPr>
        <w:pStyle w:val="TextBody"/>
        <w:rPr>
          <w:i w:val="false"/>
          <w:i w:val="false"/>
          <w:iCs w:val="false"/>
          <w:position w:val="0"/>
          <w:sz w:val="24"/>
          <w:vertAlign w:val="baseline"/>
        </w:rPr>
      </w:pPr>
      <w:r>
        <w:rPr/>
      </w:r>
    </w:p>
    <w:p>
      <w:pPr>
        <w:pStyle w:val="Heading2"/>
        <w:rPr/>
      </w:pPr>
      <w:r>
        <w:rPr>
          <w:i w:val="false"/>
          <w:iCs w:val="false"/>
          <w:position w:val="0"/>
          <w:sz w:val="32"/>
          <w:vertAlign w:val="baseline"/>
        </w:rPr>
        <w:t>D</w:t>
      </w:r>
      <w:r>
        <w:rPr>
          <w:i w:val="false"/>
          <w:iCs w:val="false"/>
          <w:position w:val="0"/>
          <w:sz w:val="32"/>
          <w:vertAlign w:val="baseline"/>
        </w:rPr>
        <w:t>iagonalizing Matrices</w:t>
      </w:r>
    </w:p>
    <w:p>
      <w:pPr>
        <w:pStyle w:val="TextBody"/>
        <w:rPr/>
      </w:pPr>
      <w:r>
        <w:rPr>
          <w:i w:val="false"/>
          <w:iCs w:val="false"/>
          <w:position w:val="0"/>
          <w:sz w:val="24"/>
          <w:vertAlign w:val="baseline"/>
        </w:rPr>
        <w:t>See example 3 on page 285.</w:t>
      </w:r>
    </w:p>
    <w:p>
      <w:pPr>
        <w:pStyle w:val="TextBody"/>
        <w:rPr>
          <w:i w:val="false"/>
          <w:i w:val="false"/>
          <w:iCs w:val="false"/>
          <w:position w:val="0"/>
          <w:sz w:val="24"/>
          <w:vertAlign w:val="baseline"/>
        </w:rPr>
      </w:pPr>
      <w:r>
        <w:rPr/>
      </w:r>
    </w:p>
    <w:p>
      <w:pPr>
        <w:pStyle w:val="Heading3"/>
        <w:rPr/>
      </w:pPr>
      <w:r>
        <w:rPr>
          <w:i w:val="false"/>
          <w:iCs w:val="false"/>
          <w:position w:val="0"/>
          <w:sz w:val="28"/>
          <w:vertAlign w:val="baseline"/>
        </w:rPr>
        <w:t>T</w:t>
      </w:r>
      <w:r>
        <w:rPr>
          <w:i w:val="false"/>
          <w:iCs w:val="false"/>
          <w:position w:val="0"/>
          <w:sz w:val="28"/>
          <w:vertAlign w:val="baseline"/>
        </w:rPr>
        <w:t>heorem 6</w:t>
      </w:r>
    </w:p>
    <w:p>
      <w:pPr>
        <w:pStyle w:val="TextBody"/>
        <w:rPr/>
      </w:pPr>
      <w:r>
        <w:rPr>
          <w:i w:val="false"/>
          <w:iCs w:val="false"/>
          <w:position w:val="0"/>
          <w:sz w:val="24"/>
          <w:vertAlign w:val="baseline"/>
        </w:rPr>
        <w:t xml:space="preserve">An </w:t>
      </w:r>
      <w:r>
        <w:rPr>
          <w:i/>
          <w:iCs/>
          <w:position w:val="0"/>
          <w:sz w:val="24"/>
          <w:vertAlign w:val="baseline"/>
        </w:rPr>
        <w:t xml:space="preserve">n </w:t>
      </w:r>
      <w:r>
        <w:rPr>
          <w:i w:val="false"/>
          <w:iCs w:val="false"/>
          <w:position w:val="0"/>
          <w:sz w:val="24"/>
          <w:vertAlign w:val="baseline"/>
        </w:rPr>
        <w:t xml:space="preserve">x </w:t>
      </w:r>
      <w:r>
        <w:rPr>
          <w:i/>
          <w:iCs/>
          <w:position w:val="0"/>
          <w:sz w:val="24"/>
          <w:vertAlign w:val="baseline"/>
        </w:rPr>
        <w:t xml:space="preserve">n </w:t>
      </w:r>
      <w:r>
        <w:rPr>
          <w:i w:val="false"/>
          <w:iCs w:val="false"/>
          <w:position w:val="0"/>
          <w:sz w:val="24"/>
          <w:vertAlign w:val="baseline"/>
        </w:rPr>
        <w:t xml:space="preserve">matrix with </w:t>
      </w:r>
      <w:r>
        <w:rPr>
          <w:i/>
          <w:iCs/>
          <w:position w:val="0"/>
          <w:sz w:val="24"/>
          <w:vertAlign w:val="baseline"/>
        </w:rPr>
        <w:t xml:space="preserve">n </w:t>
      </w:r>
      <w:r>
        <w:rPr>
          <w:i w:val="false"/>
          <w:iCs w:val="false"/>
          <w:position w:val="0"/>
          <w:sz w:val="24"/>
          <w:vertAlign w:val="baseline"/>
        </w:rPr>
        <w:t>distinct eigenvalues is diagonalizable.</w:t>
      </w:r>
    </w:p>
    <w:p>
      <w:pPr>
        <w:pStyle w:val="TextBody"/>
        <w:rPr/>
      </w:pPr>
      <w:r>
        <w:rPr>
          <w:i w:val="false"/>
          <w:iCs w:val="false"/>
          <w:position w:val="0"/>
          <w:sz w:val="24"/>
          <w:vertAlign w:val="baseline"/>
        </w:rPr>
        <w:t xml:space="preserve">Note: It is </w:t>
      </w:r>
      <w:r>
        <w:rPr>
          <w:i/>
          <w:iCs/>
          <w:color w:val="C9211E"/>
          <w:position w:val="0"/>
          <w:sz w:val="24"/>
          <w:vertAlign w:val="baseline"/>
        </w:rPr>
        <w:t>not necessary</w:t>
      </w:r>
      <w:r>
        <w:rPr>
          <w:i w:val="false"/>
          <w:iCs w:val="false"/>
          <w:position w:val="0"/>
          <w:sz w:val="24"/>
          <w:vertAlign w:val="baseline"/>
        </w:rPr>
        <w:t xml:space="preserve"> for an </w:t>
      </w:r>
      <w:r>
        <w:rPr>
          <w:i/>
          <w:iCs/>
          <w:position w:val="0"/>
          <w:sz w:val="24"/>
          <w:vertAlign w:val="baseline"/>
        </w:rPr>
        <w:t xml:space="preserve">n </w:t>
      </w:r>
      <w:r>
        <w:rPr>
          <w:i w:val="false"/>
          <w:iCs w:val="false"/>
          <w:position w:val="0"/>
          <w:sz w:val="24"/>
          <w:vertAlign w:val="baseline"/>
        </w:rPr>
        <w:t xml:space="preserve">x </w:t>
      </w:r>
      <w:r>
        <w:rPr>
          <w:i/>
          <w:iCs/>
          <w:position w:val="0"/>
          <w:sz w:val="24"/>
          <w:vertAlign w:val="baseline"/>
        </w:rPr>
        <w:t>n</w:t>
      </w:r>
      <w:r>
        <w:rPr>
          <w:i w:val="false"/>
          <w:iCs w:val="false"/>
          <w:position w:val="0"/>
          <w:sz w:val="24"/>
          <w:vertAlign w:val="baseline"/>
        </w:rPr>
        <w:t xml:space="preserve"> matrix to have </w:t>
      </w:r>
      <w:r>
        <w:rPr>
          <w:i/>
          <w:iCs/>
          <w:position w:val="0"/>
          <w:sz w:val="24"/>
          <w:vertAlign w:val="baseline"/>
        </w:rPr>
        <w:t>n</w:t>
      </w:r>
      <w:r>
        <w:rPr>
          <w:i w:val="false"/>
          <w:iCs w:val="false"/>
          <w:position w:val="0"/>
          <w:sz w:val="24"/>
          <w:vertAlign w:val="baseline"/>
        </w:rPr>
        <w:t xml:space="preserve"> distinct eigenvalues in order to be diagonalizable.</w:t>
      </w:r>
    </w:p>
    <w:p>
      <w:pPr>
        <w:pStyle w:val="TextBody"/>
        <w:rPr>
          <w:i w:val="false"/>
          <w:i w:val="false"/>
          <w:iCs w:val="false"/>
          <w:position w:val="0"/>
          <w:sz w:val="24"/>
          <w:vertAlign w:val="baseline"/>
        </w:rPr>
      </w:pPr>
      <w:r>
        <w:rPr/>
      </w:r>
    </w:p>
    <w:p>
      <w:pPr>
        <w:pStyle w:val="Heading2"/>
        <w:rPr/>
      </w:pPr>
      <w:r>
        <w:rPr/>
        <w:t>Matrices Whose Eigenvalues Are Not Distinct</w:t>
      </w:r>
    </w:p>
    <w:p>
      <w:pPr>
        <w:pStyle w:val="Heading3"/>
        <w:rPr/>
      </w:pPr>
      <w:r>
        <w:rPr/>
        <w:t>Theorem 7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3935" cy="192278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658</TotalTime>
  <Application>LibreOffice/6.3.4.2$Linux_X86_64 LibreOffice_project/30$Build-2</Application>
  <Pages>3</Pages>
  <Words>271</Words>
  <Characters>1173</Characters>
  <CharactersWithSpaces>1424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2020-02-04T16:36:53Z</dcterms:created>
  <dc:creator/>
  <dc:description/>
  <dc:language>en-US</dc:language>
  <cp:lastModifiedBy/>
  <dcterms:modified xsi:type="dcterms:W3CDTF">2020-02-05T23:01:52Z</dcterms:modified>
  <cp:revision>25</cp:revision>
  <dc:subject/>
  <dc:title/>
</cp:coreProperties>
</file>