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rFonts w:ascii="Calibri" w:cs="Calibri" w:eastAsia="Calibri" w:hAnsi="Calibri"/>
          <w:b/>
          <w:bCs/>
          <w:sz w:val="32"/>
          <w:szCs w:val="32"/>
        </w:rPr>
        <w:t xml:space="preserve">MAYA (Saccharomyces cerevisiae) GEN İFADE VERİLERİNDE</w:t>
      </w:r>
    </w:p>
    <w:p>
      <w:pPr>
        <w:spacing w:after="120"/>
        <w:jc w:val="center"/>
      </w:pPr>
      <w:r>
        <w:rPr>
          <w:rFonts w:ascii="Calibri" w:cs="Calibri" w:eastAsia="Calibri" w:hAnsi="Calibri"/>
          <w:b/>
          <w:bCs/>
          <w:sz w:val="32"/>
          <w:szCs w:val="32"/>
        </w:rPr>
        <w:t xml:space="preserve">ÇOKLU DENEY ENTEGRASYONU İLE PERİYODİK GENLERİN</w:t>
      </w:r>
    </w:p>
    <w:p>
      <w:pPr>
        <w:spacing w:after="800"/>
        <w:jc w:val="center"/>
      </w:pPr>
      <w:r>
        <w:rPr>
          <w:rFonts w:ascii="Calibri" w:cs="Calibri" w:eastAsia="Calibri" w:hAnsi="Calibri"/>
          <w:b/>
          <w:bCs/>
          <w:sz w:val="32"/>
          <w:szCs w:val="32"/>
        </w:rPr>
        <w:t xml:space="preserve">MAKİNE ÖĞRENMESİ İLE SINIFLANDIRILMASI VE YENİ GEN ADAYLARININ KEŞFİ</w:t>
      </w:r>
    </w:p>
    <w:p>
      <w:pPr>
        <w:spacing w:after="2000"/>
        <w:jc w:val="center"/>
      </w:pPr>
      <w:r>
        <w:rPr>
          <w:rFonts w:ascii="Calibri" w:cs="Calibri" w:eastAsia="Calibri" w:hAnsi="Calibri"/>
          <w:i/>
          <w:iCs/>
          <w:sz w:val="26"/>
          <w:szCs w:val="26"/>
        </w:rPr>
        <w:t xml:space="preserve">Yüksek Lisans Tezi</w:t>
      </w:r>
    </w:p>
    <w:p>
      <w:pPr>
        <w:spacing w:after="200"/>
        <w:jc w:val="center"/>
      </w:pPr>
      <w:r>
        <w:rPr>
          <w:rFonts w:ascii="Calibri" w:cs="Calibri" w:eastAsia="Calibri" w:hAnsi="Calibri"/>
          <w:sz w:val="24"/>
          <w:szCs w:val="24"/>
        </w:rPr>
        <w:t xml:space="preserve">[Öğrenci Adı Soyadı]</w:t>
      </w:r>
    </w:p>
    <w:p>
      <w:pPr>
        <w:spacing w:after="2400"/>
        <w:jc w:val="center"/>
      </w:pPr>
      <w:r>
        <w:rPr>
          <w:rFonts w:ascii="Calibri" w:cs="Calibri" w:eastAsia="Calibri" w:hAnsi="Calibri"/>
          <w:sz w:val="24"/>
          <w:szCs w:val="24"/>
        </w:rPr>
        <w:t xml:space="preserve">Danışman: [Danışman Adı Soyadı, Unvanı]</w:t>
      </w:r>
    </w:p>
    <w:p>
      <w:pPr>
        <w:spacing w:after="100"/>
        <w:jc w:val="center"/>
      </w:pPr>
      <w:r>
        <w:rPr>
          <w:rFonts w:ascii="Calibri" w:cs="Calibri" w:eastAsia="Calibri" w:hAnsi="Calibri"/>
          <w:sz w:val="24"/>
          <w:szCs w:val="24"/>
        </w:rPr>
        <w:t xml:space="preserve">[Üniversite Adı]</w:t>
      </w:r>
    </w:p>
    <w:p>
      <w:pPr>
        <w:spacing w:after="100"/>
        <w:jc w:val="center"/>
      </w:pPr>
      <w:r>
        <w:rPr>
          <w:rFonts w:ascii="Calibri" w:cs="Calibri" w:eastAsia="Calibri" w:hAnsi="Calibri"/>
          <w:sz w:val="24"/>
          <w:szCs w:val="24"/>
        </w:rPr>
        <w:t xml:space="preserve">[Enstitü / Fen Bilimleri Enstitüsü]</w:t>
      </w:r>
    </w:p>
    <w:p>
      <w:pPr>
        <w:jc w:val="center"/>
      </w:pPr>
      <w:r>
        <w:rPr>
          <w:rFonts w:ascii="Calibri" w:cs="Calibri" w:eastAsia="Calibri" w:hAnsi="Calibri"/>
          <w:sz w:val="24"/>
          <w:szCs w:val="24"/>
        </w:rPr>
        <w:t xml:space="preserve">2026</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ÖZET</w:t>
      </w:r>
    </w:p>
    <w:p>
      <w:pPr>
        <w:spacing w:after="160" w:line="300"/>
        <w:jc w:val="both"/>
      </w:pPr>
      <w:r>
        <w:rPr>
          <w:rFonts w:ascii="Calibri" w:cs="Calibri" w:eastAsia="Calibri" w:hAnsi="Calibri"/>
          <w:b w:val="false"/>
          <w:bCs w:val="false"/>
          <w:i w:val="false"/>
          <w:iCs w:val="false"/>
          <w:sz w:val="22"/>
          <w:szCs w:val="22"/>
        </w:rPr>
        <w:t xml:space="preserve">Bu tez, maya (Saccharomyces cerevisiae) hücre döngüsü sırasında periyodik olarak ifade edilen genlerin makine öğrenmesi yöntemleriyle sınıflandırılmasını konu almaktadır. Önceki çalışmalarda tespit edilen üç temel metodolojik zafiyet — (i) eşik optimizasyonunun test seti üzerinde yapılması nedeniyle oluşan veri sızıntısı, (ii) altın standart etiketin türetilme yöntemi ile özellik mühendisliği arasındaki olası döngüsellik ve (iii) tek bir senkronizasyon deneyine (CDC15) bağımlılık — bu çalışmanın çıkış noktasını oluşturmuştur.</w:t>
      </w:r>
    </w:p>
    <w:p>
      <w:pPr>
        <w:spacing w:after="160" w:line="300"/>
        <w:jc w:val="both"/>
      </w:pPr>
      <w:r>
        <w:rPr>
          <w:rFonts w:ascii="Calibri" w:cs="Calibri" w:eastAsia="Calibri" w:hAnsi="Calibri"/>
          <w:b w:val="false"/>
          <w:bCs w:val="false"/>
          <w:i w:val="false"/>
          <w:iCs w:val="false"/>
          <w:sz w:val="22"/>
          <w:szCs w:val="22"/>
        </w:rPr>
        <w:t xml:space="preserve">Bu sorunları gidermek amacıyla, Spellman ve arkadaşlarının (1998) dört senkronizasyon deneyinin (alfa faktörü, cdc15, cdc28, elutriation) tamamı Bioconductor yeastCC paketi üzerinden yeniden temin edilmiş; ham, filtrelenmemiş 6178 açık okuma çerçevesi (ORF) üzerinde çalışılmıştır. Her deney için istatistiksel özellikler, Lomb–Scargle periodogramı (eşit olmayan zaman noktalarını doğru ele alan bir yöntem) ve sinüzoidal eğri uydurma parametreleri çıkarılmış; ayrıca üç deneyin (alfa, cdc15, cdc28) ortak bilgisinden çapraz-deney tutarlılık öznitelikleri türetilmiştir.</w:t>
      </w:r>
    </w:p>
    <w:p>
      <w:pPr>
        <w:spacing w:after="160" w:line="300"/>
        <w:jc w:val="both"/>
      </w:pPr>
      <w:r>
        <w:rPr>
          <w:rFonts w:ascii="Calibri" w:cs="Calibri" w:eastAsia="Calibri" w:hAnsi="Calibri"/>
          <w:b w:val="false"/>
          <w:bCs w:val="false"/>
          <w:i w:val="false"/>
          <w:iCs w:val="false"/>
          <w:sz w:val="22"/>
          <w:szCs w:val="22"/>
        </w:rPr>
        <w:t xml:space="preserve">Metodolojik olarak, eşik optimizasyonu yalnızca eğitim setinin 5 katlı çapraz doğrulama ile elde edilen kutu-dışı (out-of-fold) tahminleri üzerinde yapılmış; test seti yalnızca bir kez, nihai değerlendirme için kullanılmıştır. Ayrıca klasik Fisher G-istatistiği bir karşılaştırma ölçütü (baseline) olarak eklenmiştir.</w:t>
      </w:r>
    </w:p>
    <w:p>
      <w:pPr>
        <w:spacing w:after="160" w:line="300"/>
        <w:jc w:val="both"/>
      </w:pPr>
      <w:r>
        <w:rPr>
          <w:rFonts w:ascii="Calibri" w:cs="Calibri" w:eastAsia="Calibri" w:hAnsi="Calibri"/>
          <w:b w:val="false"/>
          <w:bCs w:val="false"/>
          <w:i w:val="false"/>
          <w:iCs w:val="false"/>
          <w:sz w:val="22"/>
          <w:szCs w:val="22"/>
        </w:rPr>
        <w:t xml:space="preserve">Sonuçlar, en iyi performans gösteren LightGBM modelinin test setinde 0.9707 AUC ve 0.8871 makro F1 skoruna ulaştığını; bunun klasik Fisher G-test taban çizgisinin (AUC=0.6622) belirgin şekilde üzerinde olduğunu göstermiştir. SHAP analizi, çapraz-deney tutarlılık özniteliklerinin modelin en belirleyici bileşenleri arasında yer aldığını ortaya koymuştur. Etiketin türetilmesine hiç katılmamış elutriation deneyi ile yapılan bağımsız doğrulamada tek başına sınırlı bir performans (AUC=0.6455) elde edilmiş, bu bulgu modelin başarısının döngüsel bir ezberden değil çoklu-deney entegrasyonundan kaynaklandığına işaret etmiştir. Son olarak, model 800 genlik altın standart dışındaki genlere uygulanmış; yüksek olasılıkla periyodik tahmin edilen adaylar arasında hücre duvarı biyogenezi ile ilişkili genlerin istatistiksel olarak anlamlı biçimde zenginleştiği (GO:0009272, p_adj=0.019) tespit edilmiştir.</w:t>
      </w:r>
    </w:p>
    <w:p>
      <w:pPr>
        <w:spacing w:after="160" w:line="300"/>
        <w:jc w:val="both"/>
      </w:pPr>
      <w:r>
        <w:rPr>
          <w:rFonts w:ascii="Calibri" w:cs="Calibri" w:eastAsia="Calibri" w:hAnsi="Calibri"/>
          <w:b w:val="false"/>
          <w:bCs w:val="false"/>
          <w:i w:val="false"/>
          <w:iCs w:val="false"/>
          <w:sz w:val="22"/>
          <w:szCs w:val="22"/>
        </w:rPr>
        <w:t xml:space="preserve">Anahtar Kelimeler: Periyodik gen ifadesi, maya hücre döngüsü, makine öğrenmesi, Lomb–Scargle periodogramı, SHAP, veri sızıntısı, GO zenginleştirme.</w:t>
      </w:r>
    </w:p>
    <w:p>
      <w:r>
        <w:br w:type="page"/>
      </w:r>
    </w:p>
    <w:p>
      <w:pPr>
        <w:pStyle w:val="Heading1"/>
        <w:spacing w:after="200" w:before="400"/>
      </w:pPr>
      <w:r>
        <w:t xml:space="preserve">ABSTRACT</w:t>
      </w:r>
    </w:p>
    <w:p>
      <w:pPr>
        <w:spacing w:after="160" w:line="300"/>
        <w:jc w:val="both"/>
      </w:pPr>
      <w:r>
        <w:rPr>
          <w:rFonts w:ascii="Calibri" w:cs="Calibri" w:eastAsia="Calibri" w:hAnsi="Calibri"/>
          <w:b w:val="false"/>
          <w:bCs w:val="false"/>
          <w:i w:val="false"/>
          <w:iCs w:val="false"/>
          <w:sz w:val="22"/>
          <w:szCs w:val="22"/>
        </w:rPr>
        <w:t xml:space="preserve">This thesis addresses the classification of periodically expressed genes during the yeast (Saccharomyces cerevisiae) cell cycle using machine learning. The work was motivated by three methodological weaknesses identified in prior work: (i) data leakage arising from threshold optimization performed on the test set, (ii) a potential circularity between the derivation of the gold-standard label and the engineered features, and (iii) reliance on a single synchronization experiment (CDC15).</w:t>
      </w:r>
    </w:p>
    <w:p>
      <w:pPr>
        <w:spacing w:after="160" w:line="300"/>
        <w:jc w:val="both"/>
      </w:pPr>
      <w:r>
        <w:rPr>
          <w:rFonts w:ascii="Calibri" w:cs="Calibri" w:eastAsia="Calibri" w:hAnsi="Calibri"/>
          <w:b w:val="false"/>
          <w:bCs w:val="false"/>
          <w:i w:val="false"/>
          <w:iCs w:val="false"/>
          <w:sz w:val="22"/>
          <w:szCs w:val="22"/>
        </w:rPr>
        <w:t xml:space="preserve">To address these issues, all four of Spellman et al.'s (1998) synchronization experiments (alpha factor, cdc15, cdc28, elutriation) were re-obtained via the Bioconductor yeastCC package, working on the raw, unfiltered set of 6178 open reading frames. For each experiment, statistical features, Lomb–Scargle periodograms, and sinusoidal curve-fitting parameters were extracted, and cross-experiment consistency features were derived from the three experiments underlying the original label.</w:t>
      </w:r>
    </w:p>
    <w:p>
      <w:pPr>
        <w:spacing w:after="160" w:line="300"/>
        <w:jc w:val="both"/>
      </w:pPr>
      <w:r>
        <w:rPr>
          <w:rFonts w:ascii="Calibri" w:cs="Calibri" w:eastAsia="Calibri" w:hAnsi="Calibri"/>
          <w:b w:val="false"/>
          <w:bCs w:val="false"/>
          <w:i w:val="false"/>
          <w:iCs w:val="false"/>
          <w:sz w:val="22"/>
          <w:szCs w:val="22"/>
        </w:rPr>
        <w:t xml:space="preserve">The best-performing LightGBM model achieved a test AUC of 0.9707 and macro-F1 of 0.8871, clearly exceeding a classical Fisher's G-test baseline (AUC=0.6622). Independent validation using the elutriation experiment — which played no role in label derivation — indicated the model's success stems from multi-experiment integration rather than circular memorization. Applying the model to genes outside the 800-gene gold standard yielded candidate genes significantly enriched for cell wall biogenesis (GO:0009272, p_adj=0.019).</w:t>
      </w:r>
    </w:p>
    <w:p>
      <w:pPr>
        <w:spacing w:after="160" w:line="300"/>
        <w:jc w:val="both"/>
      </w:pPr>
      <w:r>
        <w:rPr>
          <w:rFonts w:ascii="Calibri" w:cs="Calibri" w:eastAsia="Calibri" w:hAnsi="Calibri"/>
          <w:b w:val="false"/>
          <w:bCs w:val="false"/>
          <w:i w:val="false"/>
          <w:iCs w:val="false"/>
          <w:sz w:val="22"/>
          <w:szCs w:val="22"/>
        </w:rPr>
        <w:t xml:space="preserve">Keywords: Periodic gene expression, yeast cell cycle, machine learning, Lomb–Scargle periodogram, SHAP, data leakage, GO enrichment.</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İÇİNDEKİLER</w:t>
      </w:r>
    </w:p>
    <w:sdt>
      <w:sdtPr>
        <w:alias w:val="İçindekiler"/>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1. GİRİŞ</w:t>
      </w:r>
    </w:p>
    <w:p>
      <w:pPr>
        <w:pStyle w:val="Heading2"/>
        <w:spacing w:after="150" w:before="300"/>
      </w:pPr>
      <w:r>
        <w:t xml:space="preserve">1.1 Problemin Tanımı</w:t>
      </w:r>
    </w:p>
    <w:p>
      <w:pPr>
        <w:spacing w:after="160" w:line="300"/>
        <w:jc w:val="both"/>
      </w:pPr>
      <w:r>
        <w:rPr>
          <w:rFonts w:ascii="Calibri" w:cs="Calibri" w:eastAsia="Calibri" w:hAnsi="Calibri"/>
          <w:b w:val="false"/>
          <w:bCs w:val="false"/>
          <w:i w:val="false"/>
          <w:iCs w:val="false"/>
          <w:sz w:val="22"/>
          <w:szCs w:val="22"/>
        </w:rPr>
        <w:t xml:space="preserve">Hücre döngüsü, canlı organizmaların büyümesi, gelişmesi ve çoğalması için temel olan karmaşık ve sıkı biçimde düzenlenmiş bir biyolojik süreçtir. Bu sürecin moleküler düzeyde anlaşılması, büyük ölçüde döngü boyunca periyodik olarak ifade edilen genlerin doğru biçimde tespit edilmesine dayanmaktadır. Spellman ve arkadaşları (1998), mikrodizi hibridizasyon teknolojisini kullanarak maya (Saccharomyces cerevisiae) genomunda yaklaşık 800 genin hücre döngüsü boyunca periyodik olarak düzenlendiğini göstermiş ve bu liste, alanın en sık kullanılan referans (altın standart) kümesi hâline gelmiştir.</w:t>
      </w:r>
    </w:p>
    <w:p>
      <w:pPr>
        <w:spacing w:after="160" w:line="300"/>
        <w:jc w:val="both"/>
      </w:pPr>
      <w:r>
        <w:rPr>
          <w:rFonts w:ascii="Calibri" w:cs="Calibri" w:eastAsia="Calibri" w:hAnsi="Calibri"/>
          <w:b w:val="false"/>
          <w:bCs w:val="false"/>
          <w:i w:val="false"/>
          <w:iCs w:val="false"/>
          <w:sz w:val="22"/>
          <w:szCs w:val="22"/>
        </w:rPr>
        <w:t xml:space="preserve">Mikrodizi zaman serisi verilerinden periyodik genlerin tespiti; verilerin gürültülü yapısı, eksik gözlemler, kısa örneklem uzunlukları ve sınıf dengesizliği (periyodik genlerin genomun küçük bir azınlığını oluşturması) nedeniyle zorlu bir sınıflandırma problemidir. Bu zorlukları aşmak amacıyla makine öğrenmesi tabanlı sınıflandırıcılar önerilmiş olsa da, bu çalışmaların önemli bir kısmında ciddi metodolojik zafiyetler bulunduğu gözlemlenmiştir.</w:t>
      </w:r>
    </w:p>
    <w:p>
      <w:pPr>
        <w:spacing w:after="160" w:line="300"/>
        <w:jc w:val="both"/>
      </w:pPr>
      <w:r>
        <w:rPr>
          <w:rFonts w:ascii="Calibri" w:cs="Calibri" w:eastAsia="Calibri" w:hAnsi="Calibri"/>
          <w:b w:val="false"/>
          <w:bCs w:val="false"/>
          <w:i w:val="false"/>
          <w:iCs w:val="false"/>
          <w:sz w:val="22"/>
          <w:szCs w:val="22"/>
        </w:rPr>
        <w:t xml:space="preserve">Bu tezin çıkış noktası, önceki bir çalışmanın (bundan sonra 'referans çalışma' olarak anılacaktır) ayrıntılı biçimde incelenmesiyle tespit edilen üç kritik sorundur:</w:t>
      </w:r>
    </w:p>
    <w:p>
      <w:pPr>
        <w:pStyle w:val="ListParagraph"/>
        <w:numPr>
          <w:ilvl w:val="0"/>
          <w:numId w:val="1"/>
        </w:numPr>
        <w:spacing w:after="80"/>
      </w:pPr>
      <w:r>
        <w:rPr>
          <w:rFonts w:ascii="Calibri" w:cs="Calibri" w:eastAsia="Calibri" w:hAnsi="Calibri"/>
          <w:sz w:val="22"/>
          <w:szCs w:val="22"/>
        </w:rPr>
        <w:t xml:space="preserve">Eşik (threshold) optimizasyonunun doğrudan test seti üzerinde yapılması ve aynı test setinin birden fazla model aşamasında tekrar tekrar kullanılması suretiyle oluşan veri sızıntısı;</w:t>
      </w:r>
    </w:p>
    <w:p>
      <w:pPr>
        <w:pStyle w:val="ListParagraph"/>
        <w:numPr>
          <w:ilvl w:val="0"/>
          <w:numId w:val="1"/>
        </w:numPr>
        <w:spacing w:after="80"/>
      </w:pPr>
      <w:r>
        <w:rPr>
          <w:rFonts w:ascii="Calibri" w:cs="Calibri" w:eastAsia="Calibri" w:hAnsi="Calibri"/>
          <w:sz w:val="22"/>
          <w:szCs w:val="22"/>
        </w:rPr>
        <w:t xml:space="preserve">800 genlik altın standart etiketin, alfa+cdc15+cdc28 deneylerinin Fourier dönüşümü ve korelasyon analiziyle birleştirilmesiyle türetilmiş olması ve modelin özellik mühendisliğinde de benzer spektral yöntemlerin (FFT, otokorelasyon) kullanılması nedeniyle ortaya çıkan olası döngüsellik (circularity);</w:t>
      </w:r>
    </w:p>
    <w:p>
      <w:pPr>
        <w:pStyle w:val="ListParagraph"/>
        <w:numPr>
          <w:ilvl w:val="0"/>
          <w:numId w:val="1"/>
        </w:numPr>
        <w:spacing w:after="80"/>
      </w:pPr>
      <w:r>
        <w:rPr>
          <w:rFonts w:ascii="Calibri" w:cs="Calibri" w:eastAsia="Calibri" w:hAnsi="Calibri"/>
          <w:sz w:val="22"/>
          <w:szCs w:val="22"/>
        </w:rPr>
        <w:t xml:space="preserve">Sınıflandırmanın yalnızca tek bir senkronizasyon deneyine (CDC15) dayandırılması ve Spellman'ın yayımladığı diğer üç deneyin (alfa faktörü, cdc15, cdc28, elutriation — burada cdc15 tekrar sayılmadan) kullanılmamış olması.</w:t>
      </w:r>
    </w:p>
    <w:p>
      <w:pPr>
        <w:spacing w:after="160" w:line="300"/>
        <w:jc w:val="both"/>
      </w:pPr>
      <w:r>
        <w:rPr>
          <w:rFonts w:ascii="Calibri" w:cs="Calibri" w:eastAsia="Calibri" w:hAnsi="Calibri"/>
          <w:b w:val="false"/>
          <w:bCs w:val="false"/>
          <w:i w:val="false"/>
          <w:iCs w:val="false"/>
          <w:sz w:val="22"/>
          <w:szCs w:val="22"/>
        </w:rPr>
        <w:t xml:space="preserve">Bu tez, sözü edilen üç sorunu doğrudan hedef alan, uçtan uca yeniden tasarlanmış bir metodoloji sunmaktadır.</w:t>
      </w:r>
    </w:p>
    <w:p>
      <w:pPr>
        <w:pStyle w:val="Heading2"/>
        <w:spacing w:after="150" w:before="300"/>
      </w:pPr>
      <w:r>
        <w:t xml:space="preserve">1.2 Çalışmanın Amacı ve Katkıları</w:t>
      </w:r>
    </w:p>
    <w:p>
      <w:pPr>
        <w:spacing w:after="160" w:line="300"/>
        <w:jc w:val="both"/>
      </w:pPr>
      <w:r>
        <w:rPr>
          <w:rFonts w:ascii="Calibri" w:cs="Calibri" w:eastAsia="Calibri" w:hAnsi="Calibri"/>
          <w:b w:val="false"/>
          <w:bCs w:val="false"/>
          <w:i w:val="false"/>
          <w:iCs w:val="false"/>
          <w:sz w:val="22"/>
          <w:szCs w:val="22"/>
        </w:rPr>
        <w:t xml:space="preserve">Bu çalışmanın temel amacı, periyodik gen sınıflandırması problemini yalnızca yüksek başarım metrikleri açısından değil, metodolojik titizlik açısından da savunulabilir bir çerçevede ele almaktır. Bu doğrultuda çalışmanın özgün katkıları şu şekilde özetlenebilir:</w:t>
      </w:r>
    </w:p>
    <w:p>
      <w:pPr>
        <w:pStyle w:val="ListParagraph"/>
        <w:numPr>
          <w:ilvl w:val="0"/>
          <w:numId w:val="1"/>
        </w:numPr>
        <w:spacing w:after="80"/>
      </w:pPr>
      <w:r>
        <w:rPr>
          <w:rFonts w:ascii="Calibri" w:cs="Calibri" w:eastAsia="Calibri" w:hAnsi="Calibri"/>
          <w:sz w:val="22"/>
          <w:szCs w:val="22"/>
        </w:rPr>
        <w:t xml:space="preserve">Spellman veri setinin dört deneyinin tamamının (alfa, cdc15, cdc28, elutriation), filtrelenmemiş ham hâliyle, tekrarlanabilir bir R/Python boru hattı ile bir araya getirilmesi;</w:t>
      </w:r>
    </w:p>
    <w:p>
      <w:pPr>
        <w:pStyle w:val="ListParagraph"/>
        <w:numPr>
          <w:ilvl w:val="0"/>
          <w:numId w:val="1"/>
        </w:numPr>
        <w:spacing w:after="80"/>
      </w:pPr>
      <w:r>
        <w:rPr>
          <w:rFonts w:ascii="Calibri" w:cs="Calibri" w:eastAsia="Calibri" w:hAnsi="Calibri"/>
          <w:sz w:val="22"/>
          <w:szCs w:val="22"/>
        </w:rPr>
        <w:t xml:space="preserve">Eşit olmayan zaman noktalarını doğru biçimde ele alan Lomb–Scargle periodogramının, eksik veri sorununu göz ardı eden klasik FFT yaklaşımı yerine kullanılması;</w:t>
      </w:r>
    </w:p>
    <w:p>
      <w:pPr>
        <w:pStyle w:val="ListParagraph"/>
        <w:numPr>
          <w:ilvl w:val="0"/>
          <w:numId w:val="1"/>
        </w:numPr>
        <w:spacing w:after="80"/>
      </w:pPr>
      <w:r>
        <w:rPr>
          <w:rFonts w:ascii="Calibri" w:cs="Calibri" w:eastAsia="Calibri" w:hAnsi="Calibri"/>
          <w:sz w:val="22"/>
          <w:szCs w:val="22"/>
        </w:rPr>
        <w:t xml:space="preserve">Üç deneyin ortak bilgisinden türetilen çapraz-deney tutarlılık özniteliklerinin (cross-experiment consistency features) geliştirilmesi ve bunların model kararındaki belirleyiciliğinin SHAP ile gösterilmesi;</w:t>
      </w:r>
    </w:p>
    <w:p>
      <w:pPr>
        <w:pStyle w:val="ListParagraph"/>
        <w:numPr>
          <w:ilvl w:val="0"/>
          <w:numId w:val="1"/>
        </w:numPr>
        <w:spacing w:after="80"/>
      </w:pPr>
      <w:r>
        <w:rPr>
          <w:rFonts w:ascii="Calibri" w:cs="Calibri" w:eastAsia="Calibri" w:hAnsi="Calibri"/>
          <w:sz w:val="22"/>
          <w:szCs w:val="22"/>
        </w:rPr>
        <w:t xml:space="preserve">Eşik seçiminin ve model karşılaştırmasının yalnızca eğitim setinin kutu-dışı (out-of-fold) tahminleri üzerinde yapılması, test setinin yalnızca bir kez ve en sonda kullanılması suretiyle veri sızıntısının önlenmesi;</w:t>
      </w:r>
    </w:p>
    <w:p>
      <w:pPr>
        <w:pStyle w:val="ListParagraph"/>
        <w:numPr>
          <w:ilvl w:val="0"/>
          <w:numId w:val="1"/>
        </w:numPr>
        <w:spacing w:after="80"/>
      </w:pPr>
      <w:r>
        <w:rPr>
          <w:rFonts w:ascii="Calibri" w:cs="Calibri" w:eastAsia="Calibri" w:hAnsi="Calibri"/>
          <w:sz w:val="22"/>
          <w:szCs w:val="22"/>
        </w:rPr>
        <w:t xml:space="preserve">Klasik bir istatistiksel yöntem olan Fisher G-testinin taban çizgisi (baseline) olarak eklenmesi;</w:t>
      </w:r>
    </w:p>
    <w:p>
      <w:pPr>
        <w:pStyle w:val="ListParagraph"/>
        <w:numPr>
          <w:ilvl w:val="0"/>
          <w:numId w:val="1"/>
        </w:numPr>
        <w:spacing w:after="80"/>
      </w:pPr>
      <w:r>
        <w:rPr>
          <w:rFonts w:ascii="Calibri" w:cs="Calibri" w:eastAsia="Calibri" w:hAnsi="Calibri"/>
          <w:sz w:val="22"/>
          <w:szCs w:val="22"/>
        </w:rPr>
        <w:t xml:space="preserve">Etiketin türetilmesine hiç katılmamış elutriation deneyi kullanılarak döngüsellik riskine karşı bağımsız bir doğrulama yapılması;</w:t>
      </w:r>
    </w:p>
    <w:p>
      <w:pPr>
        <w:pStyle w:val="ListParagraph"/>
        <w:numPr>
          <w:ilvl w:val="0"/>
          <w:numId w:val="1"/>
        </w:numPr>
        <w:spacing w:after="80"/>
      </w:pPr>
      <w:r>
        <w:rPr>
          <w:rFonts w:ascii="Calibri" w:cs="Calibri" w:eastAsia="Calibri" w:hAnsi="Calibri"/>
          <w:sz w:val="22"/>
          <w:szCs w:val="22"/>
        </w:rPr>
        <w:t xml:space="preserve">Nihai modelin, altın standart dışındaki genlere uygulanması ve Gen Ontolojisi (GO) zenginleştirme analiziyle biyolojik olarak anlamlı yeni gen adaylarının ortaya konması.</w:t>
      </w:r>
    </w:p>
    <w:p>
      <w:pPr>
        <w:pStyle w:val="Heading2"/>
        <w:spacing w:after="150" w:before="300"/>
      </w:pPr>
      <w:r>
        <w:t xml:space="preserve">1.3 Tezin Organizasyonu</w:t>
      </w:r>
    </w:p>
    <w:p>
      <w:pPr>
        <w:spacing w:after="160" w:line="300"/>
        <w:jc w:val="both"/>
      </w:pPr>
      <w:r>
        <w:rPr>
          <w:rFonts w:ascii="Calibri" w:cs="Calibri" w:eastAsia="Calibri" w:hAnsi="Calibri"/>
          <w:b w:val="false"/>
          <w:bCs w:val="false"/>
          <w:i w:val="false"/>
          <w:iCs w:val="false"/>
          <w:sz w:val="22"/>
          <w:szCs w:val="22"/>
        </w:rPr>
        <w:t xml:space="preserve">Tezin ikinci bölümü ilgili literatürü özetlemektedir. Üçüncü bölüm kullanılan veri setini ve etiketleme sürecini tanıtmaktadır. Dördüncü bölüm önerilen metodolojiyi ayrıntılı biçimde açıklamaktadır. Beşinci bölüm bulguları sunmakta, altıncı bölüm bu bulguları tartışmaktadır. Yedinci bölüm çalışmanın sınırlılıklarını, sekizinci bölüm ise sonuç ve gelecek çalışma önerilerini içermektedir.</w:t>
      </w:r>
    </w:p>
    <w:p>
      <w:pPr>
        <w:pStyle w:val="Heading1"/>
        <w:spacing w:after="200" w:before="400"/>
      </w:pPr>
      <w:r>
        <w:t xml:space="preserve">2. LİTERATÜR TARAMASI</w:t>
      </w:r>
    </w:p>
    <w:p>
      <w:pPr>
        <w:pStyle w:val="Heading2"/>
        <w:spacing w:after="150" w:before="300"/>
      </w:pPr>
      <w:r>
        <w:t xml:space="preserve">2.1 Maya Hücre Döngüsü ve Periyodik Gen İfadesi</w:t>
      </w:r>
    </w:p>
    <w:p>
      <w:pPr>
        <w:spacing w:after="160" w:line="300"/>
        <w:jc w:val="both"/>
      </w:pPr>
      <w:r>
        <w:rPr>
          <w:rFonts w:ascii="Calibri" w:cs="Calibri" w:eastAsia="Calibri" w:hAnsi="Calibri"/>
          <w:b w:val="false"/>
          <w:bCs w:val="false"/>
          <w:i w:val="false"/>
          <w:iCs w:val="false"/>
          <w:sz w:val="22"/>
          <w:szCs w:val="22"/>
        </w:rPr>
        <w:t xml:space="preserve">Spellman ve arkadaşları (1998), dört farklı senkronizasyon yöntemi (alfa faktörü ile durdurma, cdc15 ve cdc28 sıcaklığa duyarlı mutantları, ve elutriation ile boyut bazlı seçim) kullanarak maya hücrelerinin hücre döngüsü boyunca alınan zaman serisi gen ifade profillerini yayımlamıştır. Bu dört deneyin birleştirilmiş analizinden, istatistiksel olarak periyodik olduğu belirlenen yaklaşık 800 gen, alanın referans kümesi olarak kabul edilmiştir.</w:t>
      </w:r>
    </w:p>
    <w:p>
      <w:pPr>
        <w:pStyle w:val="Heading2"/>
        <w:spacing w:after="150" w:before="300"/>
      </w:pPr>
      <w:r>
        <w:t xml:space="preserve">2.2 Periyodiklik Tespitinde Klasik Yöntemler</w:t>
      </w:r>
    </w:p>
    <w:p>
      <w:pPr>
        <w:spacing w:after="160" w:line="300"/>
        <w:jc w:val="both"/>
      </w:pPr>
      <w:r>
        <w:rPr>
          <w:rFonts w:ascii="Calibri" w:cs="Calibri" w:eastAsia="Calibri" w:hAnsi="Calibri"/>
          <w:b w:val="false"/>
          <w:bCs w:val="false"/>
          <w:i w:val="false"/>
          <w:iCs w:val="false"/>
          <w:sz w:val="22"/>
          <w:szCs w:val="22"/>
        </w:rPr>
        <w:t xml:space="preserve">Eşit aralıklı örneklenmiş zaman serilerinde periyodiklik, geleneksel olarak Hızlı Fourier Dönüşümü (FFT) ile analiz edilmektedir. Ancak mikrodizi deneylerinde sıklıkla karşılaşılan eksik zaman noktaları, FFT'nin dayandığı eşit örnekleme varsayımını ihlal etmektedir. Bu sorunu çözmek için Lomb ve Scargle tarafından geliştirilen, eşit olmayan örneklemeye duyarlı periyodogram yöntemi literatürde önerilmiştir (Liew ve ark., 2007). Ayrıca Ampirik Mod Ayrışımı (EMD) gibi uyarlanabilir spektral yöntemler de kullanılmıştır (Chen ve ark., 2014).</w:t>
      </w:r>
    </w:p>
    <w:p>
      <w:pPr>
        <w:pStyle w:val="Heading2"/>
        <w:spacing w:after="150" w:before="300"/>
      </w:pPr>
      <w:r>
        <w:t xml:space="preserve">2.3 Makine Öğrenmesi Tabanlı Yaklaşımlar</w:t>
      </w:r>
    </w:p>
    <w:p>
      <w:pPr>
        <w:spacing w:after="160" w:line="300"/>
        <w:jc w:val="both"/>
      </w:pPr>
      <w:r>
        <w:rPr>
          <w:rFonts w:ascii="Calibri" w:cs="Calibri" w:eastAsia="Calibri" w:hAnsi="Calibri"/>
          <w:b w:val="false"/>
          <w:bCs w:val="false"/>
          <w:i w:val="false"/>
          <w:iCs w:val="false"/>
          <w:sz w:val="22"/>
          <w:szCs w:val="22"/>
        </w:rPr>
        <w:t xml:space="preserve">Wu ve Li (2008) ile Cheng ve arkadaşları (2013), Spellman'ın 800 genlik listesini pozitif sınıf olarak kullanarak Lojistik Regresyon ve Destek Vektör Makineleri tabanlı sınıflandırıcılar eğitmiş, bu modelleri etiketlenmemiş genlere uygulayarak yeni periyodik gen adayları önermişlerdir. Bu çalışmalar, makine öğrenmesinin klasik istatistiksel testlere kıyasla doğrusal olmayan ilişkileri yakalama potansiyelini göstermiştir.</w:t>
      </w:r>
    </w:p>
    <w:p>
      <w:pPr>
        <w:pStyle w:val="Heading2"/>
        <w:spacing w:after="150" w:before="300"/>
      </w:pPr>
      <w:r>
        <w:t xml:space="preserve">2.4 Bu Çalışmanın Literatürdeki Konumu</w:t>
      </w:r>
    </w:p>
    <w:p>
      <w:pPr>
        <w:spacing w:after="160" w:line="300"/>
        <w:jc w:val="both"/>
      </w:pPr>
      <w:r>
        <w:rPr>
          <w:rFonts w:ascii="Calibri" w:cs="Calibri" w:eastAsia="Calibri" w:hAnsi="Calibri"/>
          <w:b w:val="false"/>
          <w:bCs w:val="false"/>
          <w:i w:val="false"/>
          <w:iCs w:val="false"/>
          <w:sz w:val="22"/>
          <w:szCs w:val="22"/>
        </w:rPr>
        <w:t xml:space="preserve">Bu tez kapsamında incelenen bir referans çalışmada, yukarıda sözü edilen makine öğrenmesi yaklaşımı tek bir deney (CDC15) üzerinde uygulanmış; eşik optimizasyonu test seti üzerinde gerçekleştirilmiş ve klasik yöntemlerle karşılaştırma yapılmamıştır. Bu tez, aynı problem uzayında, sözü edilen zafiyetleri gideren bir metodoloji önermektedir.</w:t>
      </w:r>
    </w:p>
    <w:p>
      <w:pPr>
        <w:pStyle w:val="Heading1"/>
        <w:spacing w:after="200" w:before="400"/>
      </w:pPr>
      <w:r>
        <w:t xml:space="preserve">3. VERİ SETİ VE ETİKETLEME</w:t>
      </w:r>
    </w:p>
    <w:p>
      <w:pPr>
        <w:pStyle w:val="Heading2"/>
        <w:spacing w:after="150" w:before="300"/>
      </w:pPr>
      <w:r>
        <w:t xml:space="preserve">3.1 Spellman Veri Seti (Dört Deney)</w:t>
      </w:r>
    </w:p>
    <w:p>
      <w:pPr>
        <w:spacing w:after="160" w:line="300"/>
        <w:jc w:val="both"/>
      </w:pPr>
      <w:r>
        <w:rPr>
          <w:rFonts w:ascii="Calibri" w:cs="Calibri" w:eastAsia="Calibri" w:hAnsi="Calibri"/>
          <w:b w:val="false"/>
          <w:bCs w:val="false"/>
          <w:i w:val="false"/>
          <w:iCs w:val="false"/>
          <w:sz w:val="22"/>
          <w:szCs w:val="22"/>
        </w:rPr>
        <w:t xml:space="preserve">Bu çalışmada, Spellman ve arkadaşlarının (1998) orijinal dört senkronizasyon deneyinin tamamı, Bioconductor projesinin yeastCC paketi (spYCCES nesnesi) üzerinden, hiçbir ön filtreleme uygulanmadan temin edilmiştir. Bu, önceki çalışmalarda sıklıkla kullanılan, eksik değerli genlerin baştan çıkarıldığı 'temizlenmiş' alt kümelerden önemli bir metodolojik ayrışmadır; zira filtreleme işleminin periyodiklikle hafifçe korelasyonlu olabileceği (bkz. Bölüm 6) gösterilmiştir.</w:t>
      </w:r>
    </w:p>
    <w:p>
      <w:pPr>
        <w:spacing w:after="240" w:before="60"/>
        <w:jc w:val="center"/>
      </w:pPr>
      <w:r>
        <w:rPr>
          <w:rFonts w:ascii="Calibri" w:cs="Calibri" w:eastAsia="Calibri" w:hAnsi="Calibri"/>
          <w:i/>
          <w:iCs/>
          <w:sz w:val="20"/>
          <w:szCs w:val="20"/>
        </w:rPr>
        <w:t xml:space="preserve">Tablo 3.1 — Deney bazlı veri doğrulama sonuçları</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1400"/>
        <w:gridCol w:w="2600"/>
      </w:tblGrid>
      <w:tr>
        <w:trPr>
          <w:tblHeader/>
        </w:trPr>
        <w:tc>
          <w:tcPr>
            <w:tcW w:type="dxa" w:w="1600"/>
            <w:shd w:fill="2F5496" w:val="clear"/>
            <w:vAlign w:val="center"/>
          </w:tcPr>
          <w:p>
            <w:pPr>
              <w:jc w:val="center"/>
            </w:pPr>
            <w:r>
              <w:rPr>
                <w:rFonts w:ascii="Calibri" w:cs="Calibri" w:eastAsia="Calibri" w:hAnsi="Calibri"/>
                <w:b/>
                <w:bCs/>
                <w:color w:val="FFFFFF"/>
                <w:sz w:val="18"/>
                <w:szCs w:val="18"/>
              </w:rPr>
              <w:t xml:space="preserve">Deney</w:t>
            </w:r>
          </w:p>
        </w:tc>
        <w:tc>
          <w:tcPr>
            <w:tcW w:type="dxa" w:w="2000"/>
            <w:shd w:fill="2F5496" w:val="clear"/>
            <w:vAlign w:val="center"/>
          </w:tcPr>
          <w:p>
            <w:pPr>
              <w:jc w:val="center"/>
            </w:pPr>
            <w:r>
              <w:rPr>
                <w:rFonts w:ascii="Calibri" w:cs="Calibri" w:eastAsia="Calibri" w:hAnsi="Calibri"/>
                <w:b/>
                <w:bCs/>
                <w:color w:val="FFFFFF"/>
                <w:sz w:val="18"/>
                <w:szCs w:val="18"/>
              </w:rPr>
              <w:t xml:space="preserve">Beklenen zaman noktası</w:t>
            </w:r>
          </w:p>
        </w:tc>
        <w:tc>
          <w:tcPr>
            <w:tcW w:type="dxa" w:w="2000"/>
            <w:shd w:fill="2F5496" w:val="clear"/>
            <w:vAlign w:val="center"/>
          </w:tcPr>
          <w:p>
            <w:pPr>
              <w:jc w:val="center"/>
            </w:pPr>
            <w:r>
              <w:rPr>
                <w:rFonts w:ascii="Calibri" w:cs="Calibri" w:eastAsia="Calibri" w:hAnsi="Calibri"/>
                <w:b/>
                <w:bCs/>
                <w:color w:val="FFFFFF"/>
                <w:sz w:val="18"/>
                <w:szCs w:val="18"/>
              </w:rPr>
              <w:t xml:space="preserve">Gerçek zaman noktası</w:t>
            </w:r>
          </w:p>
        </w:tc>
        <w:tc>
          <w:tcPr>
            <w:tcW w:type="dxa" w:w="1400"/>
            <w:shd w:fill="2F5496" w:val="clear"/>
            <w:vAlign w:val="center"/>
          </w:tcPr>
          <w:p>
            <w:pPr>
              <w:jc w:val="center"/>
            </w:pPr>
            <w:r>
              <w:rPr>
                <w:rFonts w:ascii="Calibri" w:cs="Calibri" w:eastAsia="Calibri" w:hAnsi="Calibri"/>
                <w:b/>
                <w:bCs/>
                <w:color w:val="FFFFFF"/>
                <w:sz w:val="18"/>
                <w:szCs w:val="18"/>
              </w:rPr>
              <w:t xml:space="preserve">Durum</w:t>
            </w:r>
          </w:p>
        </w:tc>
        <w:tc>
          <w:tcPr>
            <w:tcW w:type="dxa" w:w="2600"/>
            <w:shd w:fill="2F5496" w:val="clear"/>
            <w:vAlign w:val="center"/>
          </w:tcPr>
          <w:p>
            <w:pPr>
              <w:jc w:val="center"/>
            </w:pPr>
            <w:r>
              <w:rPr>
                <w:rFonts w:ascii="Calibri" w:cs="Calibri" w:eastAsia="Calibri" w:hAnsi="Calibri"/>
                <w:b/>
                <w:bCs/>
                <w:color w:val="FFFFFF"/>
                <w:sz w:val="18"/>
                <w:szCs w:val="18"/>
              </w:rPr>
              <w:t xml:space="preserve">Ortalama eksik değer oranı</w:t>
            </w:r>
          </w:p>
        </w:tc>
      </w:tr>
      <w:tr>
        <w:tc>
          <w:tcPr>
            <w:tcW w:type="dxa" w:w="1600"/>
            <w:vAlign w:val="center"/>
          </w:tcPr>
          <w:p>
            <w:pPr>
              <w:jc w:val="center"/>
            </w:pPr>
            <w:r>
              <w:rPr>
                <w:rFonts w:ascii="Calibri" w:cs="Calibri" w:eastAsia="Calibri" w:hAnsi="Calibri"/>
                <w:b w:val="false"/>
                <w:bCs w:val="false"/>
                <w:color w:val="000000"/>
                <w:sz w:val="18"/>
                <w:szCs w:val="18"/>
              </w:rPr>
              <w:t xml:space="preserve">alpha</w:t>
            </w:r>
          </w:p>
        </w:tc>
        <w:tc>
          <w:tcPr>
            <w:tcW w:type="dxa" w:w="2000"/>
            <w:vAlign w:val="center"/>
          </w:tcPr>
          <w:p>
            <w:pPr>
              <w:jc w:val="center"/>
            </w:pPr>
            <w:r>
              <w:rPr>
                <w:rFonts w:ascii="Calibri" w:cs="Calibri" w:eastAsia="Calibri" w:hAnsi="Calibri"/>
                <w:b w:val="false"/>
                <w:bCs w:val="false"/>
                <w:color w:val="000000"/>
                <w:sz w:val="18"/>
                <w:szCs w:val="18"/>
              </w:rPr>
              <w:t xml:space="preserve">18</w:t>
            </w:r>
          </w:p>
        </w:tc>
        <w:tc>
          <w:tcPr>
            <w:tcW w:type="dxa" w:w="2000"/>
            <w:vAlign w:val="center"/>
          </w:tcPr>
          <w:p>
            <w:pPr>
              <w:jc w:val="center"/>
            </w:pPr>
            <w:r>
              <w:rPr>
                <w:rFonts w:ascii="Calibri" w:cs="Calibri" w:eastAsia="Calibri" w:hAnsi="Calibri"/>
                <w:b w:val="false"/>
                <w:bCs w:val="false"/>
                <w:color w:val="000000"/>
                <w:sz w:val="18"/>
                <w:szCs w:val="18"/>
              </w:rPr>
              <w:t xml:space="preserve">18</w:t>
            </w:r>
          </w:p>
        </w:tc>
        <w:tc>
          <w:tcPr>
            <w:tcW w:type="dxa" w:w="1400"/>
            <w:vAlign w:val="center"/>
          </w:tcPr>
          <w:p>
            <w:pPr>
              <w:jc w:val="center"/>
            </w:pPr>
            <w:r>
              <w:rPr>
                <w:rFonts w:ascii="Calibri" w:cs="Calibri" w:eastAsia="Calibri" w:hAnsi="Calibri"/>
                <w:b w:val="false"/>
                <w:bCs w:val="false"/>
                <w:color w:val="000000"/>
                <w:sz w:val="18"/>
                <w:szCs w:val="18"/>
              </w:rPr>
              <w:t xml:space="preserve">OK</w:t>
            </w:r>
          </w:p>
        </w:tc>
        <w:tc>
          <w:tcPr>
            <w:tcW w:type="dxa" w:w="2600"/>
            <w:vAlign w:val="center"/>
          </w:tcPr>
          <w:p>
            <w:pPr>
              <w:jc w:val="center"/>
            </w:pPr>
            <w:r>
              <w:rPr>
                <w:rFonts w:ascii="Calibri" w:cs="Calibri" w:eastAsia="Calibri" w:hAnsi="Calibri"/>
                <w:b w:val="false"/>
                <w:bCs w:val="false"/>
                <w:color w:val="000000"/>
                <w:sz w:val="18"/>
                <w:szCs w:val="18"/>
              </w:rPr>
              <w:t xml:space="preserve">%3.67</w:t>
            </w:r>
          </w:p>
        </w:tc>
      </w:tr>
      <w:tr>
        <w:tc>
          <w:tcPr>
            <w:tcW w:type="dxa" w:w="1600"/>
            <w:vAlign w:val="center"/>
          </w:tcPr>
          <w:p>
            <w:pPr>
              <w:jc w:val="center"/>
            </w:pPr>
            <w:r>
              <w:rPr>
                <w:rFonts w:ascii="Calibri" w:cs="Calibri" w:eastAsia="Calibri" w:hAnsi="Calibri"/>
                <w:b w:val="false"/>
                <w:bCs w:val="false"/>
                <w:color w:val="000000"/>
                <w:sz w:val="18"/>
                <w:szCs w:val="18"/>
              </w:rPr>
              <w:t xml:space="preserve">cdc15</w:t>
            </w:r>
          </w:p>
        </w:tc>
        <w:tc>
          <w:tcPr>
            <w:tcW w:type="dxa" w:w="2000"/>
            <w:vAlign w:val="center"/>
          </w:tcPr>
          <w:p>
            <w:pPr>
              <w:jc w:val="center"/>
            </w:pPr>
            <w:r>
              <w:rPr>
                <w:rFonts w:ascii="Calibri" w:cs="Calibri" w:eastAsia="Calibri" w:hAnsi="Calibri"/>
                <w:b w:val="false"/>
                <w:bCs w:val="false"/>
                <w:color w:val="000000"/>
                <w:sz w:val="18"/>
                <w:szCs w:val="18"/>
              </w:rPr>
              <w:t xml:space="preserve">24</w:t>
            </w:r>
          </w:p>
        </w:tc>
        <w:tc>
          <w:tcPr>
            <w:tcW w:type="dxa" w:w="2000"/>
            <w:vAlign w:val="center"/>
          </w:tcPr>
          <w:p>
            <w:pPr>
              <w:jc w:val="center"/>
            </w:pPr>
            <w:r>
              <w:rPr>
                <w:rFonts w:ascii="Calibri" w:cs="Calibri" w:eastAsia="Calibri" w:hAnsi="Calibri"/>
                <w:b w:val="false"/>
                <w:bCs w:val="false"/>
                <w:color w:val="000000"/>
                <w:sz w:val="18"/>
                <w:szCs w:val="18"/>
              </w:rPr>
              <w:t xml:space="preserve">24</w:t>
            </w:r>
          </w:p>
        </w:tc>
        <w:tc>
          <w:tcPr>
            <w:tcW w:type="dxa" w:w="1400"/>
            <w:vAlign w:val="center"/>
          </w:tcPr>
          <w:p>
            <w:pPr>
              <w:jc w:val="center"/>
            </w:pPr>
            <w:r>
              <w:rPr>
                <w:rFonts w:ascii="Calibri" w:cs="Calibri" w:eastAsia="Calibri" w:hAnsi="Calibri"/>
                <w:b w:val="false"/>
                <w:bCs w:val="false"/>
                <w:color w:val="000000"/>
                <w:sz w:val="18"/>
                <w:szCs w:val="18"/>
              </w:rPr>
              <w:t xml:space="preserve">OK</w:t>
            </w:r>
          </w:p>
        </w:tc>
        <w:tc>
          <w:tcPr>
            <w:tcW w:type="dxa" w:w="2600"/>
            <w:vAlign w:val="center"/>
          </w:tcPr>
          <w:p>
            <w:pPr>
              <w:jc w:val="center"/>
            </w:pPr>
            <w:r>
              <w:rPr>
                <w:rFonts w:ascii="Calibri" w:cs="Calibri" w:eastAsia="Calibri" w:hAnsi="Calibri"/>
                <w:b w:val="false"/>
                <w:bCs w:val="false"/>
                <w:color w:val="000000"/>
                <w:sz w:val="18"/>
                <w:szCs w:val="18"/>
              </w:rPr>
              <w:t xml:space="preserve">%9.95</w:t>
            </w:r>
          </w:p>
        </w:tc>
      </w:tr>
      <w:tr>
        <w:tc>
          <w:tcPr>
            <w:tcW w:type="dxa" w:w="1600"/>
            <w:vAlign w:val="center"/>
          </w:tcPr>
          <w:p>
            <w:pPr>
              <w:jc w:val="center"/>
            </w:pPr>
            <w:r>
              <w:rPr>
                <w:rFonts w:ascii="Calibri" w:cs="Calibri" w:eastAsia="Calibri" w:hAnsi="Calibri"/>
                <w:b w:val="false"/>
                <w:bCs w:val="false"/>
                <w:color w:val="000000"/>
                <w:sz w:val="18"/>
                <w:szCs w:val="18"/>
              </w:rPr>
              <w:t xml:space="preserve">cdc28</w:t>
            </w:r>
          </w:p>
        </w:tc>
        <w:tc>
          <w:tcPr>
            <w:tcW w:type="dxa" w:w="2000"/>
            <w:vAlign w:val="center"/>
          </w:tcPr>
          <w:p>
            <w:pPr>
              <w:jc w:val="center"/>
            </w:pPr>
            <w:r>
              <w:rPr>
                <w:rFonts w:ascii="Calibri" w:cs="Calibri" w:eastAsia="Calibri" w:hAnsi="Calibri"/>
                <w:b w:val="false"/>
                <w:bCs w:val="false"/>
                <w:color w:val="000000"/>
                <w:sz w:val="18"/>
                <w:szCs w:val="18"/>
              </w:rPr>
              <w:t xml:space="preserve">17</w:t>
            </w:r>
          </w:p>
        </w:tc>
        <w:tc>
          <w:tcPr>
            <w:tcW w:type="dxa" w:w="2000"/>
            <w:vAlign w:val="center"/>
          </w:tcPr>
          <w:p>
            <w:pPr>
              <w:jc w:val="center"/>
            </w:pPr>
            <w:r>
              <w:rPr>
                <w:rFonts w:ascii="Calibri" w:cs="Calibri" w:eastAsia="Calibri" w:hAnsi="Calibri"/>
                <w:b w:val="false"/>
                <w:bCs w:val="false"/>
                <w:color w:val="000000"/>
                <w:sz w:val="18"/>
                <w:szCs w:val="18"/>
              </w:rPr>
              <w:t xml:space="preserve">17</w:t>
            </w:r>
          </w:p>
        </w:tc>
        <w:tc>
          <w:tcPr>
            <w:tcW w:type="dxa" w:w="1400"/>
            <w:vAlign w:val="center"/>
          </w:tcPr>
          <w:p>
            <w:pPr>
              <w:jc w:val="center"/>
            </w:pPr>
            <w:r>
              <w:rPr>
                <w:rFonts w:ascii="Calibri" w:cs="Calibri" w:eastAsia="Calibri" w:hAnsi="Calibri"/>
                <w:b w:val="false"/>
                <w:bCs w:val="false"/>
                <w:color w:val="000000"/>
                <w:sz w:val="18"/>
                <w:szCs w:val="18"/>
              </w:rPr>
              <w:t xml:space="preserve">OK</w:t>
            </w:r>
          </w:p>
        </w:tc>
        <w:tc>
          <w:tcPr>
            <w:tcW w:type="dxa" w:w="2600"/>
            <w:vAlign w:val="center"/>
          </w:tcPr>
          <w:p>
            <w:pPr>
              <w:jc w:val="center"/>
            </w:pPr>
            <w:r>
              <w:rPr>
                <w:rFonts w:ascii="Calibri" w:cs="Calibri" w:eastAsia="Calibri" w:hAnsi="Calibri"/>
                <w:b w:val="false"/>
                <w:bCs w:val="false"/>
                <w:color w:val="000000"/>
                <w:sz w:val="18"/>
                <w:szCs w:val="18"/>
              </w:rPr>
              <w:t xml:space="preserve">%6.07</w:t>
            </w:r>
          </w:p>
        </w:tc>
      </w:tr>
      <w:tr>
        <w:tc>
          <w:tcPr>
            <w:tcW w:type="dxa" w:w="1600"/>
            <w:vAlign w:val="center"/>
          </w:tcPr>
          <w:p>
            <w:pPr>
              <w:jc w:val="center"/>
            </w:pPr>
            <w:r>
              <w:rPr>
                <w:rFonts w:ascii="Calibri" w:cs="Calibri" w:eastAsia="Calibri" w:hAnsi="Calibri"/>
                <w:b w:val="false"/>
                <w:bCs w:val="false"/>
                <w:color w:val="000000"/>
                <w:sz w:val="18"/>
                <w:szCs w:val="18"/>
              </w:rPr>
              <w:t xml:space="preserve">elu</w:t>
            </w:r>
          </w:p>
        </w:tc>
        <w:tc>
          <w:tcPr>
            <w:tcW w:type="dxa" w:w="2000"/>
            <w:vAlign w:val="center"/>
          </w:tcPr>
          <w:p>
            <w:pPr>
              <w:jc w:val="center"/>
            </w:pPr>
            <w:r>
              <w:rPr>
                <w:rFonts w:ascii="Calibri" w:cs="Calibri" w:eastAsia="Calibri" w:hAnsi="Calibri"/>
                <w:b w:val="false"/>
                <w:bCs w:val="false"/>
                <w:color w:val="000000"/>
                <w:sz w:val="18"/>
                <w:szCs w:val="18"/>
              </w:rPr>
              <w:t xml:space="preserve">14</w:t>
            </w:r>
          </w:p>
        </w:tc>
        <w:tc>
          <w:tcPr>
            <w:tcW w:type="dxa" w:w="2000"/>
            <w:vAlign w:val="center"/>
          </w:tcPr>
          <w:p>
            <w:pPr>
              <w:jc w:val="center"/>
            </w:pPr>
            <w:r>
              <w:rPr>
                <w:rFonts w:ascii="Calibri" w:cs="Calibri" w:eastAsia="Calibri" w:hAnsi="Calibri"/>
                <w:b w:val="false"/>
                <w:bCs w:val="false"/>
                <w:color w:val="000000"/>
                <w:sz w:val="18"/>
                <w:szCs w:val="18"/>
              </w:rPr>
              <w:t xml:space="preserve">14</w:t>
            </w:r>
          </w:p>
        </w:tc>
        <w:tc>
          <w:tcPr>
            <w:tcW w:type="dxa" w:w="1400"/>
            <w:vAlign w:val="center"/>
          </w:tcPr>
          <w:p>
            <w:pPr>
              <w:jc w:val="center"/>
            </w:pPr>
            <w:r>
              <w:rPr>
                <w:rFonts w:ascii="Calibri" w:cs="Calibri" w:eastAsia="Calibri" w:hAnsi="Calibri"/>
                <w:b w:val="false"/>
                <w:bCs w:val="false"/>
                <w:color w:val="000000"/>
                <w:sz w:val="18"/>
                <w:szCs w:val="18"/>
              </w:rPr>
              <w:t xml:space="preserve">OK</w:t>
            </w:r>
          </w:p>
        </w:tc>
        <w:tc>
          <w:tcPr>
            <w:tcW w:type="dxa" w:w="2600"/>
            <w:vAlign w:val="center"/>
          </w:tcPr>
          <w:p>
            <w:pPr>
              <w:jc w:val="center"/>
            </w:pPr>
            <w:r>
              <w:rPr>
                <w:rFonts w:ascii="Calibri" w:cs="Calibri" w:eastAsia="Calibri" w:hAnsi="Calibri"/>
                <w:b w:val="false"/>
                <w:bCs w:val="false"/>
                <w:color w:val="000000"/>
                <w:sz w:val="18"/>
                <w:szCs w:val="18"/>
              </w:rPr>
              <w:t xml:space="preserve">%2.04</w:t>
            </w:r>
          </w:p>
        </w:tc>
      </w:tr>
    </w:tbl>
    <w:p>
      <w:pPr>
        <w:spacing w:after="160" w:line="300"/>
        <w:jc w:val="both"/>
      </w:pPr>
      <w:r>
        <w:rPr>
          <w:rFonts w:ascii="Calibri" w:cs="Calibri" w:eastAsia="Calibri" w:hAnsi="Calibri"/>
          <w:b w:val="false"/>
          <w:bCs w:val="false"/>
          <w:i w:val="false"/>
          <w:iCs w:val="false"/>
          <w:sz w:val="22"/>
          <w:szCs w:val="22"/>
        </w:rPr>
        <w:t xml:space="preserve">Her deneyin zaman noktası sayısı literatürdeki orijinal Spellman (1998) yayınıyla birebir örtüşmektedir. Ayrıca eksik değer oranlarının deneyler arasında farklılık göstermesi (cdc15'te %9.95, elutriation'da %2.04), bu deneylerin biyolojik/teknik güvenilirlik düzeylerindeki farklılığı yansıtmaktadır.</w:t>
      </w:r>
    </w:p>
    <w:p>
      <w:pPr>
        <w:spacing w:after="160" w:line="300"/>
        <w:jc w:val="both"/>
      </w:pPr>
      <w:r>
        <w:rPr>
          <w:rFonts w:ascii="Calibri" w:cs="Calibri" w:eastAsia="Calibri" w:hAnsi="Calibri"/>
          <w:b w:val="false"/>
          <w:bCs w:val="false"/>
          <w:i w:val="false"/>
          <w:iCs w:val="false"/>
          <w:sz w:val="22"/>
          <w:szCs w:val="22"/>
        </w:rPr>
        <w:t xml:space="preserve">Nihai birleşik veri seti 6178 gen ve tüm deneylerin ortak kesişimini içermektedir; birleşim sonrasında hiçbir gen eksik kalmamıştır (0 kayıp satır).</w:t>
      </w:r>
    </w:p>
    <w:p>
      <w:pPr>
        <w:pStyle w:val="Heading2"/>
        <w:spacing w:after="150" w:before="300"/>
      </w:pPr>
      <w:r>
        <w:t xml:space="preserve">3.2 Altın Standart Etiketleme ve Döngüsellik Riski</w:t>
      </w:r>
    </w:p>
    <w:p>
      <w:pPr>
        <w:spacing w:after="160" w:line="300"/>
        <w:jc w:val="both"/>
      </w:pPr>
      <w:r>
        <w:rPr>
          <w:rFonts w:ascii="Calibri" w:cs="Calibri" w:eastAsia="Calibri" w:hAnsi="Calibri"/>
          <w:b w:val="false"/>
          <w:bCs w:val="false"/>
          <w:i w:val="false"/>
          <w:iCs w:val="false"/>
          <w:sz w:val="22"/>
          <w:szCs w:val="22"/>
        </w:rPr>
        <w:t xml:space="preserve">Spellman'ın 800 genlik periyodik gen listesi, yalnızca tek bir deneye değil, alfa faktörü, cdc15 ve cdc28 deneylerinin birleştirilmiş analizine (Fourier dönüşümü ve bilinen genlerle Pearson korelasyonu temelli bir 'CDC skoru' eşiği) dayanmaktadır. Elutriation deneyi bu etiketleme sürecine dâhil edilmemiştir.</w:t>
      </w:r>
    </w:p>
    <w:p>
      <w:pPr>
        <w:spacing w:after="160" w:line="300"/>
        <w:jc w:val="both"/>
      </w:pPr>
      <w:r>
        <w:rPr>
          <w:rFonts w:ascii="Calibri" w:cs="Calibri" w:eastAsia="Calibri" w:hAnsi="Calibri"/>
          <w:b w:val="false"/>
          <w:bCs w:val="false"/>
          <w:i w:val="false"/>
          <w:iCs w:val="false"/>
          <w:sz w:val="22"/>
          <w:szCs w:val="22"/>
        </w:rPr>
        <w:t xml:space="preserve">Bu çalışmada etiket, bu üç deneyin (alfa, cdc15, cdc28) ortak gen kümesi (6178 gen, tam kesişim) üzerinden yeniden oluşturulmuş ve pozitif sınıf oranı %12.95 (800/6178) olarak belirlenmiştir. Elutriation deneyi, etiketin türetilmesine hiç katılmadığı için, Bölüm 4.10'da açıklanan bağımsız doğrulama analizinde özel bir rol üstlenmektedir.</w:t>
      </w:r>
    </w:p>
    <w:p>
      <w:pPr>
        <w:pStyle w:val="Heading2"/>
        <w:spacing w:after="150" w:before="300"/>
      </w:pPr>
      <w:r>
        <w:t xml:space="preserve">3.3 Veri Doğrulama</w:t>
      </w:r>
    </w:p>
    <w:p>
      <w:pPr>
        <w:spacing w:after="160" w:line="300"/>
        <w:jc w:val="both"/>
      </w:pPr>
      <w:r>
        <w:rPr>
          <w:rFonts w:ascii="Calibri" w:cs="Calibri" w:eastAsia="Calibri" w:hAnsi="Calibri"/>
          <w:b w:val="false"/>
          <w:bCs w:val="false"/>
          <w:i w:val="false"/>
          <w:iCs w:val="false"/>
          <w:sz w:val="22"/>
          <w:szCs w:val="22"/>
        </w:rPr>
        <w:t xml:space="preserve">Veri bütünlüğü, her deney için beklenen zaman noktası sayısının literatürle karşılaştırılması, eksik değer oranlarının incelenmesi ve 800 genlik referans listesinin her deneydeki temsil oranının (bu veri setinde %100) doğrulanmasıyla teyit edilmiştir. Bu, önceki çalışmalarda kullanılan filtrelenmiş veri setlerinde görülen %20.9'luk (167/800) kayıp sorununu ortadan kaldırmaktadır.</w:t>
      </w:r>
    </w:p>
    <w:p>
      <w:pPr>
        <w:pStyle w:val="Heading1"/>
        <w:spacing w:after="200" w:before="400"/>
      </w:pPr>
      <w:r>
        <w:t xml:space="preserve">4. YÖNTEM</w:t>
      </w:r>
    </w:p>
    <w:p>
      <w:pPr>
        <w:pStyle w:val="Heading2"/>
        <w:spacing w:after="150" w:before="300"/>
      </w:pPr>
      <w:r>
        <w:t xml:space="preserve">4.1 Genel Metodolojik Çerçeve</w:t>
      </w:r>
    </w:p>
    <w:p>
      <w:pPr>
        <w:spacing w:after="160" w:line="300"/>
        <w:jc w:val="both"/>
      </w:pPr>
      <w:r>
        <w:rPr>
          <w:rFonts w:ascii="Calibri" w:cs="Calibri" w:eastAsia="Calibri" w:hAnsi="Calibri"/>
          <w:b w:val="false"/>
          <w:bCs w:val="false"/>
          <w:i w:val="false"/>
          <w:iCs w:val="false"/>
          <w:sz w:val="22"/>
          <w:szCs w:val="22"/>
        </w:rPr>
        <w:t xml:space="preserve">Önerilen boru hattı sırasıyla şu aşamalardan oluşmaktadır: (1) veri temini ve doğrulama, (2) deney bazlı ön işleme, (3) deney-içi özellik mühendisliği, (4) çapraz-deney özellik entegrasyonu, (5) klasik istatistiksel taban çizgisi hesaplama, (6) sızıntısız train/test ayrımı ve k-katlı çapraz doğrulama, (7) çoklu model karşılaştırması, (8) eğitim seti üzerinde eşik optimizasyonu, (9) test setinde tek seferlik nihai değerlendirme, (10) SHAP ile yorumlanabilirlik analizi, (11) bağımsız (elutriation) doğrulama, (12) yeni gen keşfi ve GO zenginleştirme.</w:t>
      </w:r>
    </w:p>
    <w:p>
      <w:pPr>
        <w:pStyle w:val="Heading2"/>
        <w:spacing w:after="150" w:before="300"/>
      </w:pPr>
      <w:r>
        <w:t xml:space="preserve">4.2 Ön İşleme</w:t>
      </w:r>
    </w:p>
    <w:p>
      <w:pPr>
        <w:spacing w:after="160" w:line="300"/>
        <w:jc w:val="both"/>
      </w:pPr>
      <w:r>
        <w:rPr>
          <w:rFonts w:ascii="Calibri" w:cs="Calibri" w:eastAsia="Calibri" w:hAnsi="Calibri"/>
          <w:b w:val="false"/>
          <w:bCs w:val="false"/>
          <w:i w:val="false"/>
          <w:iCs w:val="false"/>
          <w:sz w:val="22"/>
          <w:szCs w:val="22"/>
        </w:rPr>
        <w:t xml:space="preserve">Her deney matrisi, sütun adlarından ayrıştırılan zaman bilgisine göre kronolojik sıraya dizilmiştir (örn. cdc15_270 → 270. dakika). Eksik değerler, aşağıda açıklanan özellik çıkarım fonksiyonları içinde eleman bazında dışlanarak (pairwise deletion) ele alınmış; hiçbir gen veya zaman noktası baştan atılmamıştır.</w:t>
      </w:r>
    </w:p>
    <w:p>
      <w:pPr>
        <w:pStyle w:val="Heading2"/>
        <w:spacing w:after="150" w:before="300"/>
      </w:pPr>
      <w:r>
        <w:t xml:space="preserve">4.3 Özellik Mühendisliği</w:t>
      </w:r>
    </w:p>
    <w:p>
      <w:pPr>
        <w:pStyle w:val="Heading3"/>
        <w:spacing w:after="100" w:before="200"/>
      </w:pPr>
      <w:r>
        <w:t xml:space="preserve">4.3.1 Deney-İçi Temel İstatistikler</w:t>
      </w:r>
    </w:p>
    <w:p>
      <w:pPr>
        <w:spacing w:after="160" w:line="300"/>
        <w:jc w:val="both"/>
      </w:pPr>
      <w:r>
        <w:rPr>
          <w:rFonts w:ascii="Calibri" w:cs="Calibri" w:eastAsia="Calibri" w:hAnsi="Calibri"/>
          <w:b w:val="false"/>
          <w:bCs w:val="false"/>
          <w:i w:val="false"/>
          <w:iCs w:val="false"/>
          <w:sz w:val="22"/>
          <w:szCs w:val="22"/>
        </w:rPr>
        <w:t xml:space="preserve">Her deney için, eksik değerler hariç tutularak ortalama, standart sapma, aralık (range), eksik değer oranı, tepe sayısı (peak count) ve lag-1/lag-2 otokorelasyon değerleri hesaplanmıştır.</w:t>
      </w:r>
    </w:p>
    <w:p>
      <w:pPr>
        <w:pStyle w:val="Heading3"/>
        <w:spacing w:after="100" w:before="200"/>
      </w:pPr>
      <w:r>
        <w:t xml:space="preserve">4.3.2 Lomb–Scargle Periodogramı</w:t>
      </w:r>
    </w:p>
    <w:p>
      <w:pPr>
        <w:spacing w:after="160" w:line="300"/>
        <w:jc w:val="both"/>
      </w:pPr>
      <w:r>
        <w:rPr>
          <w:rFonts w:ascii="Calibri" w:cs="Calibri" w:eastAsia="Calibri" w:hAnsi="Calibri"/>
          <w:b w:val="false"/>
          <w:bCs w:val="false"/>
          <w:i w:val="false"/>
          <w:iCs w:val="false"/>
          <w:sz w:val="22"/>
          <w:szCs w:val="22"/>
        </w:rPr>
        <w:t xml:space="preserve">Eşit olmayan zaman noktalarını doğru biçimde ele alabilmek amacıyla, klasik FFT yerine Lomb–Scargle periodogramı (scipy.signal.lombscargle) kullanılmıştır. Her gen için baskın periyot, maksimum periodogram gücü ve hücre döngüsüne özgü periyot bandındaki (50–120 dakika) toplam güç hesaplanmıştır. Bu, referans çalışmada literatürde önerilip hiç uygulanmamış bir yöntemin bu tezde fiilen hayata geçirilmesini temsil etmektedir.</w:t>
      </w:r>
    </w:p>
    <w:p>
      <w:pPr>
        <w:pStyle w:val="Heading3"/>
        <w:spacing w:after="100" w:before="200"/>
      </w:pPr>
      <w:r>
        <w:t xml:space="preserve">4.3.3 Sinüzoidal Eğri Uydurma</w:t>
      </w:r>
    </w:p>
    <w:p>
      <w:pPr>
        <w:spacing w:after="160" w:line="300"/>
        <w:jc w:val="both"/>
      </w:pPr>
      <w:r>
        <w:rPr>
          <w:rFonts w:ascii="Calibri" w:cs="Calibri" w:eastAsia="Calibri" w:hAnsi="Calibri"/>
          <w:b w:val="false"/>
          <w:bCs w:val="false"/>
          <w:i w:val="false"/>
          <w:iCs w:val="false"/>
          <w:sz w:val="22"/>
          <w:szCs w:val="22"/>
        </w:rPr>
        <w:t xml:space="preserve">Her gen ifade profiline A·sin(2πft+φ)+ofset formunda bir sinüs fonksiyonu uydurulmuş (scipy.optimize.curve_fit), genlik, frekans ve faz parametreleri özellik olarak eklenmiştir. Uydurma başarısız olduğunda nötr (sıfır) değerler atanmıştır.</w:t>
      </w:r>
    </w:p>
    <w:p>
      <w:pPr>
        <w:pStyle w:val="Heading3"/>
        <w:spacing w:after="100" w:before="200"/>
      </w:pPr>
      <w:r>
        <w:t xml:space="preserve">4.3.4 Çapraz-Deney Tutarlılık Öznitelikleri</w:t>
      </w:r>
    </w:p>
    <w:p>
      <w:pPr>
        <w:spacing w:after="160" w:line="300"/>
        <w:jc w:val="both"/>
      </w:pPr>
      <w:r>
        <w:rPr>
          <w:rFonts w:ascii="Calibri" w:cs="Calibri" w:eastAsia="Calibri" w:hAnsi="Calibri"/>
          <w:b w:val="false"/>
          <w:bCs w:val="false"/>
          <w:i w:val="false"/>
          <w:iCs w:val="false"/>
          <w:sz w:val="22"/>
          <w:szCs w:val="22"/>
        </w:rPr>
        <w:t xml:space="preserve">Yalnızca etiketin türetildiği üç deney (alfa, cdc15, cdc28) kullanılarak, her genin bu üç deney arasındaki tutarlılığını ölçen ek öznitelikler türetilmiştir: otokorelasyon ve Lomb–Scargle bant gücünün deneyler arası ortalaması, standart sapması ve minimumu, ve 'kaç deneyde otokorelasyonun 0.3 eşiğini aştığı' biçiminde basit bir oy sayma (voting) özniteliği (n_experiments_high_autocorr). Bu yaklaşımın arkasındaki hipotez, gerçekten periyodik bir genin, farklı senkronizasyon yöntemleriyle elde edilen bağımsız deneylerin hepsinde tutarlı bir sinyal göstermesi gerektiğidir.</w:t>
      </w:r>
    </w:p>
    <w:p>
      <w:pPr>
        <w:spacing w:after="160" w:line="300"/>
        <w:jc w:val="both"/>
      </w:pPr>
      <w:r>
        <w:rPr>
          <w:rFonts w:ascii="Calibri" w:cs="Calibri" w:eastAsia="Calibri" w:hAnsi="Calibri"/>
          <w:b w:val="false"/>
          <w:bCs w:val="false"/>
          <w:i w:val="false"/>
          <w:iCs w:val="false"/>
          <w:sz w:val="22"/>
          <w:szCs w:val="22"/>
        </w:rPr>
        <w:t xml:space="preserve">Nihai özellik matrisi, dört deneyin deney-içi öznitelikleri (her biri 13 öznitelik) ile çapraz-deney özniteliklerinin birleşiminden oluşan, 6178 gen × 68 öznitelik boyutunda bir tablodur.</w:t>
      </w:r>
    </w:p>
    <w:p>
      <w:pPr>
        <w:pStyle w:val="Heading2"/>
        <w:spacing w:after="150" w:before="300"/>
      </w:pPr>
      <w:r>
        <w:t xml:space="preserve">4.4 Sınıf Dengesizliği</w:t>
      </w:r>
    </w:p>
    <w:p>
      <w:pPr>
        <w:spacing w:after="160" w:line="300"/>
        <w:jc w:val="both"/>
      </w:pPr>
      <w:r>
        <w:rPr>
          <w:rFonts w:ascii="Calibri" w:cs="Calibri" w:eastAsia="Calibri" w:hAnsi="Calibri"/>
          <w:b w:val="false"/>
          <w:bCs w:val="false"/>
          <w:i w:val="false"/>
          <w:iCs w:val="false"/>
          <w:sz w:val="22"/>
          <w:szCs w:val="22"/>
        </w:rPr>
        <w:t xml:space="preserve">Pozitif sınıf oranı %12.95 olduğundan, ağaç tabanlı modellerde sınıf ağırlıklandırması (class_weight='balanced_subsample' veya scale_pos_weight) kullanılmış; sentetik örnekleme (SMOTE/SMOTETomek) tercih edilmemiştir. Bu tercih, referans çalışmadaki sentetik-örnekleme + sınıf-ağırlıklandırma kombinasyonunun getirdiği fazladan karmaşıklığı ve olası aşırı düzeltmeyi önlemek amacıyla yapılmıştır.</w:t>
      </w:r>
    </w:p>
    <w:p>
      <w:pPr>
        <w:pStyle w:val="Heading2"/>
        <w:spacing w:after="150" w:before="300"/>
      </w:pPr>
      <w:r>
        <w:t xml:space="preserve">4.5 Fisher G-Testi Taban Çizgisi (Baseline)</w:t>
      </w:r>
    </w:p>
    <w:p>
      <w:pPr>
        <w:spacing w:after="160" w:line="300"/>
        <w:jc w:val="both"/>
      </w:pPr>
      <w:r>
        <w:rPr>
          <w:rFonts w:ascii="Calibri" w:cs="Calibri" w:eastAsia="Calibri" w:hAnsi="Calibri"/>
          <w:b w:val="false"/>
          <w:bCs w:val="false"/>
          <w:i w:val="false"/>
          <w:iCs w:val="false"/>
          <w:sz w:val="22"/>
          <w:szCs w:val="22"/>
        </w:rPr>
        <w:t xml:space="preserve">Makine öğrenmesi yaklaşımının klasik istatistiksel yöntemlere kıyasla sağladığı katma değeri ölçebilmek amacıyla, cdc15 zaman serisi üzerinde basitleştirilmiş bir Fisher G-istatistiği hesaplanmıştır. Bu istatistik, periodogramın en baskın bileşeninin toplam güce oranını ölçmekte ve buna karşılık gelen asimptotik p-değeri hesaplanmaktadır.</w:t>
      </w:r>
    </w:p>
    <w:p>
      <w:pPr>
        <w:pStyle w:val="Heading2"/>
        <w:spacing w:after="150" w:before="300"/>
      </w:pPr>
      <w:r>
        <w:t xml:space="preserve">4.6 Train/Test Ayrımı ve K-Katlı Çapraz Doğrulama</w:t>
      </w:r>
    </w:p>
    <w:p>
      <w:pPr>
        <w:spacing w:after="160" w:line="300"/>
        <w:jc w:val="both"/>
      </w:pPr>
      <w:r>
        <w:rPr>
          <w:rFonts w:ascii="Calibri" w:cs="Calibri" w:eastAsia="Calibri" w:hAnsi="Calibri"/>
          <w:b w:val="false"/>
          <w:bCs w:val="false"/>
          <w:i w:val="false"/>
          <w:iCs w:val="false"/>
          <w:sz w:val="22"/>
          <w:szCs w:val="22"/>
        </w:rPr>
        <w:t xml:space="preserve">Veri seti, sınıf oranı korunacak şekilde (stratified) %80 eğitim ve %20 test olarak ayrılmıştır. Model karşılaştırması ve eşik optimizasyonu, eğitim setinin 5 katlı Stratified K-Fold çapraz doğrulaması ile elde edilen kutu-dışı (out-of-fold) tahminleri üzerinde gerçekleştirilmiştir. Bu yaklaşımda her genin olasılık tahmini, o genin bulunduğu katlamanın eğitiminde hiç kullanılmadığı bir modelden elde edilmekte, dolayısıyla sızıntı önlenmektedir. Test seti, tüm bu süreç boyunca hiçbir karar alma adımında kullanılmamış, yalnızca Bölüm 4.8'de açıklanan nihai değerlendirmede bir kez kullanılmıştır.</w:t>
      </w:r>
    </w:p>
    <w:p>
      <w:pPr>
        <w:pStyle w:val="Heading2"/>
        <w:spacing w:after="150" w:before="300"/>
      </w:pPr>
      <w:r>
        <w:t xml:space="preserve">4.7 Model Seçimi ve Eğitimi</w:t>
      </w:r>
    </w:p>
    <w:p>
      <w:pPr>
        <w:spacing w:after="160" w:line="300"/>
        <w:jc w:val="both"/>
      </w:pPr>
      <w:r>
        <w:rPr>
          <w:rFonts w:ascii="Calibri" w:cs="Calibri" w:eastAsia="Calibri" w:hAnsi="Calibri"/>
          <w:b w:val="false"/>
          <w:bCs w:val="false"/>
          <w:i w:val="false"/>
          <w:iCs w:val="false"/>
          <w:sz w:val="22"/>
          <w:szCs w:val="22"/>
        </w:rPr>
        <w:t xml:space="preserve">On bir sınıflandırma algoritması karşılaştırılmıştır: Random Forest, Extra Trees, Gradient Boosting, LightGBM, XGBoost, CatBoost, Lojistik Regresyon, RBF çekirdekli Destek Vektör Makinesi, K-En Yakın Komşu, Naive Bayes ve Çok Katmanlı Algılayıcı (MLP). Mesafe/gradyan tabanlı modeller (Lojistik Regresyon, SVM, KNN, MLP) için StandardScaler ölçekleyicisi yalnızca eğitim katlamasına uydurulmuş (fit), doğrulama katlamasına yalnızca dönüştürme (transform) uygulanmıştır.</w:t>
      </w:r>
    </w:p>
    <w:p>
      <w:pPr>
        <w:pStyle w:val="Heading2"/>
        <w:spacing w:after="150" w:before="300"/>
      </w:pPr>
      <w:r>
        <w:t xml:space="preserve">4.8 Eşik Optimizasyonu ve Nihai Test Değerlendirmesi</w:t>
      </w:r>
    </w:p>
    <w:p>
      <w:pPr>
        <w:spacing w:after="160" w:line="300"/>
        <w:jc w:val="both"/>
      </w:pPr>
      <w:r>
        <w:rPr>
          <w:rFonts w:ascii="Calibri" w:cs="Calibri" w:eastAsia="Calibri" w:hAnsi="Calibri"/>
          <w:b w:val="false"/>
          <w:bCs w:val="false"/>
          <w:i w:val="false"/>
          <w:iCs w:val="false"/>
          <w:sz w:val="22"/>
          <w:szCs w:val="22"/>
        </w:rPr>
        <w:t xml:space="preserve">En iyi model olarak belirlenen LightGBM için, 0.20–0.54 aralığında eşik taraması, yalnızca eğitim setinin kutu-dışı olasılık tahminleri üzerinde yapılmıştır. Bulunan en iyi eşik (0.48), ardından test setinde, varsayılan 0.50 eşiğiyle karşılaştırmalı olarak, tek bir kez değerlendirilmiştir.</w:t>
      </w:r>
    </w:p>
    <w:p>
      <w:pPr>
        <w:pStyle w:val="Heading2"/>
        <w:spacing w:after="150" w:before="300"/>
      </w:pPr>
      <w:r>
        <w:t xml:space="preserve">4.9 Model Yorumlanabilirliği (SHAP)</w:t>
      </w:r>
    </w:p>
    <w:p>
      <w:pPr>
        <w:spacing w:after="160" w:line="300"/>
        <w:jc w:val="both"/>
      </w:pPr>
      <w:r>
        <w:rPr>
          <w:rFonts w:ascii="Calibri" w:cs="Calibri" w:eastAsia="Calibri" w:hAnsi="Calibri"/>
          <w:b w:val="false"/>
          <w:bCs w:val="false"/>
          <w:i w:val="false"/>
          <w:iCs w:val="false"/>
          <w:sz w:val="22"/>
          <w:szCs w:val="22"/>
        </w:rPr>
        <w:t xml:space="preserve">En iyi model üzerinde SHAP (SHapley Additive exPlanations) TreeExplainer yöntemi uygulanarak, eğitim setinden alınan 1000 genlik bir örneklem üzerinde her özniteliğin model kararına ortalama mutlak katkısı hesaplanmıştır.</w:t>
      </w:r>
    </w:p>
    <w:p>
      <w:pPr>
        <w:pStyle w:val="Heading2"/>
        <w:spacing w:after="150" w:before="300"/>
      </w:pPr>
      <w:r>
        <w:t xml:space="preserve">4.10 Bağımsız Doğrulama (Elutriation Deneyi)</w:t>
      </w:r>
    </w:p>
    <w:p>
      <w:pPr>
        <w:spacing w:after="160" w:line="300"/>
        <w:jc w:val="both"/>
      </w:pPr>
      <w:r>
        <w:rPr>
          <w:rFonts w:ascii="Calibri" w:cs="Calibri" w:eastAsia="Calibri" w:hAnsi="Calibri"/>
          <w:b w:val="false"/>
          <w:bCs w:val="false"/>
          <w:i w:val="false"/>
          <w:iCs w:val="false"/>
          <w:sz w:val="22"/>
          <w:szCs w:val="22"/>
        </w:rPr>
        <w:t xml:space="preserve">Döngüsellik riskini doğrudan test edebilmek amacıyla, yalnızca elutriation deneyinden türetilen 13 öznitelik kullanılarak ayrı bir model eğitilmiştir. Elutriation deneyinin, altın standart etiketin türetilmesine hiç katılmamış olması, bu modelin performansını, modelin genel biyolojik periyodikliği mi yoksa yalnızca etiketleme algoritmasının istatistiksel imzasını mı öğrendiğine dair bağımsız bir gösterge hâline getirmektedir.</w:t>
      </w:r>
    </w:p>
    <w:p>
      <w:pPr>
        <w:pStyle w:val="Heading2"/>
        <w:spacing w:after="150" w:before="300"/>
      </w:pPr>
      <w:r>
        <w:t xml:space="preserve">4.11 Yeni Gen Keşfi ve GO Zenginleştirme</w:t>
      </w:r>
    </w:p>
    <w:p>
      <w:pPr>
        <w:spacing w:after="160" w:line="300"/>
        <w:jc w:val="both"/>
      </w:pPr>
      <w:r>
        <w:rPr>
          <w:rFonts w:ascii="Calibri" w:cs="Calibri" w:eastAsia="Calibri" w:hAnsi="Calibri"/>
          <w:b w:val="false"/>
          <w:bCs w:val="false"/>
          <w:i w:val="false"/>
          <w:iCs w:val="false"/>
          <w:sz w:val="22"/>
          <w:szCs w:val="22"/>
        </w:rPr>
        <w:t xml:space="preserve">Nihai model, 800 genlik altın standart dışında kalan tüm genlere uygulanmış; model tarafından ≥0.80 olasılıkla periyodik tahmin edilen ancak altın standartta yer almayan genler aday listesi olarak belirlenmiştir. Bu aday listesi, g:Profiler aracı (g:SCS çoklu test düzeltmesi, S. cerevisiae organizma veritabanı, GO:BP/GO:CC/GO:MF/KEGG kaynakları) ile Gen Ontolojisi (GO) zenginleştirme analizine tabi tutulmuştur.</w:t>
      </w:r>
    </w:p>
    <w:p>
      <w:pPr>
        <w:pStyle w:val="Heading1"/>
        <w:spacing w:after="200" w:before="400"/>
      </w:pPr>
      <w:r>
        <w:t xml:space="preserve">5. BULGULAR</w:t>
      </w:r>
    </w:p>
    <w:p>
      <w:pPr>
        <w:pStyle w:val="Heading2"/>
        <w:spacing w:after="150" w:before="300"/>
      </w:pPr>
      <w:r>
        <w:t xml:space="preserve">5.1 Taban Çizgisi (Baseline) Sonucu</w:t>
      </w:r>
    </w:p>
    <w:p>
      <w:pPr>
        <w:spacing w:after="160" w:line="300"/>
        <w:jc w:val="both"/>
      </w:pPr>
      <w:r>
        <w:rPr>
          <w:rFonts w:ascii="Calibri" w:cs="Calibri" w:eastAsia="Calibri" w:hAnsi="Calibri"/>
          <w:b w:val="false"/>
          <w:bCs w:val="false"/>
          <w:i w:val="false"/>
          <w:iCs w:val="false"/>
          <w:sz w:val="22"/>
          <w:szCs w:val="22"/>
        </w:rPr>
        <w:t xml:space="preserve">Fisher G-testi, cdc15 verisi üzerinde AUC=0.6622, makro F1=0.5649 ve MCC=0.1675 değerlerine ulaşmıştır. Bu sonuç, ileride sunulacak makine öğrenmesi modellerinin katma değerini ölçmek için referans noktası olarak kullanılmıştır.</w:t>
      </w:r>
    </w:p>
    <w:p>
      <w:pPr>
        <w:pStyle w:val="Heading2"/>
        <w:spacing w:after="150" w:before="300"/>
      </w:pPr>
      <w:r>
        <w:t xml:space="preserve">5.2 Model Karşılaştırması (5 Katlı Çapraz Doğrulama)</w:t>
      </w:r>
    </w:p>
    <w:p>
      <w:pPr>
        <w:spacing w:after="240" w:before="60"/>
        <w:jc w:val="center"/>
      </w:pPr>
      <w:r>
        <w:rPr>
          <w:rFonts w:ascii="Calibri" w:cs="Calibri" w:eastAsia="Calibri" w:hAnsi="Calibri"/>
          <w:i/>
          <w:iCs/>
          <w:sz w:val="20"/>
          <w:szCs w:val="20"/>
        </w:rPr>
        <w:t xml:space="preserve">Tablo 5.1 — On bir modelin eğitim seti üzerindeki 5 katlı çapraz doğrulama (kutu-dışı) sonuçları</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50"/>
        <w:gridCol w:w="1150"/>
        <w:gridCol w:w="1000"/>
        <w:gridCol w:w="1000"/>
        <w:gridCol w:w="1000"/>
        <w:gridCol w:w="1000"/>
      </w:tblGrid>
      <w:tr>
        <w:trPr>
          <w:tblHeader/>
        </w:trPr>
        <w:tc>
          <w:tcPr>
            <w:tcW w:type="dxa" w:w="1900"/>
            <w:shd w:fill="2F5496" w:val="clear"/>
            <w:vAlign w:val="center"/>
          </w:tcPr>
          <w:p>
            <w:pPr>
              <w:jc w:val="center"/>
            </w:pPr>
            <w:r>
              <w:rPr>
                <w:rFonts w:ascii="Calibri" w:cs="Calibri" w:eastAsia="Calibri" w:hAnsi="Calibri"/>
                <w:b/>
                <w:bCs/>
                <w:color w:val="FFFFFF"/>
                <w:sz w:val="18"/>
                <w:szCs w:val="18"/>
              </w:rPr>
              <w:t xml:space="preserve">Model</w:t>
            </w:r>
          </w:p>
        </w:tc>
        <w:tc>
          <w:tcPr>
            <w:tcW w:type="dxa" w:w="1100"/>
            <w:shd w:fill="2F5496" w:val="clear"/>
            <w:vAlign w:val="center"/>
          </w:tcPr>
          <w:p>
            <w:pPr>
              <w:jc w:val="center"/>
            </w:pPr>
            <w:r>
              <w:rPr>
                <w:rFonts w:ascii="Calibri" w:cs="Calibri" w:eastAsia="Calibri" w:hAnsi="Calibri"/>
                <w:b/>
                <w:bCs/>
                <w:color w:val="FFFFFF"/>
                <w:sz w:val="18"/>
                <w:szCs w:val="18"/>
              </w:rPr>
              <w:t xml:space="preserve">Doğruluk</w:t>
            </w:r>
          </w:p>
        </w:tc>
        <w:tc>
          <w:tcPr>
            <w:tcW w:type="dxa" w:w="1150"/>
            <w:shd w:fill="2F5496" w:val="clear"/>
            <w:vAlign w:val="center"/>
          </w:tcPr>
          <w:p>
            <w:pPr>
              <w:jc w:val="center"/>
            </w:pPr>
            <w:r>
              <w:rPr>
                <w:rFonts w:ascii="Calibri" w:cs="Calibri" w:eastAsia="Calibri" w:hAnsi="Calibri"/>
                <w:b/>
                <w:bCs/>
                <w:color w:val="FFFFFF"/>
                <w:sz w:val="18"/>
                <w:szCs w:val="18"/>
              </w:rPr>
              <w:t xml:space="preserve">Kesinlik(M)</w:t>
            </w:r>
          </w:p>
        </w:tc>
        <w:tc>
          <w:tcPr>
            <w:tcW w:type="dxa" w:w="1150"/>
            <w:shd w:fill="2F5496" w:val="clear"/>
            <w:vAlign w:val="center"/>
          </w:tcPr>
          <w:p>
            <w:pPr>
              <w:jc w:val="center"/>
            </w:pPr>
            <w:r>
              <w:rPr>
                <w:rFonts w:ascii="Calibri" w:cs="Calibri" w:eastAsia="Calibri" w:hAnsi="Calibri"/>
                <w:b/>
                <w:bCs/>
                <w:color w:val="FFFFFF"/>
                <w:sz w:val="18"/>
                <w:szCs w:val="18"/>
              </w:rPr>
              <w:t xml:space="preserve">Duyarlılık(M)</w:t>
            </w:r>
          </w:p>
        </w:tc>
        <w:tc>
          <w:tcPr>
            <w:tcW w:type="dxa" w:w="1000"/>
            <w:shd w:fill="2F5496" w:val="clear"/>
            <w:vAlign w:val="center"/>
          </w:tcPr>
          <w:p>
            <w:pPr>
              <w:jc w:val="center"/>
            </w:pPr>
            <w:r>
              <w:rPr>
                <w:rFonts w:ascii="Calibri" w:cs="Calibri" w:eastAsia="Calibri" w:hAnsi="Calibri"/>
                <w:b/>
                <w:bCs/>
                <w:color w:val="FFFFFF"/>
                <w:sz w:val="18"/>
                <w:szCs w:val="18"/>
              </w:rPr>
              <w:t xml:space="preserve">F1(M)</w:t>
            </w:r>
          </w:p>
        </w:tc>
        <w:tc>
          <w:tcPr>
            <w:tcW w:type="dxa" w:w="1000"/>
            <w:shd w:fill="2F5496" w:val="clear"/>
            <w:vAlign w:val="center"/>
          </w:tcPr>
          <w:p>
            <w:pPr>
              <w:jc w:val="center"/>
            </w:pPr>
            <w:r>
              <w:rPr>
                <w:rFonts w:ascii="Calibri" w:cs="Calibri" w:eastAsia="Calibri" w:hAnsi="Calibri"/>
                <w:b/>
                <w:bCs/>
                <w:color w:val="FFFFFF"/>
                <w:sz w:val="18"/>
                <w:szCs w:val="18"/>
              </w:rPr>
              <w:t xml:space="preserve">Kappa</w:t>
            </w:r>
          </w:p>
        </w:tc>
        <w:tc>
          <w:tcPr>
            <w:tcW w:type="dxa" w:w="1000"/>
            <w:shd w:fill="2F5496" w:val="clear"/>
            <w:vAlign w:val="center"/>
          </w:tcPr>
          <w:p>
            <w:pPr>
              <w:jc w:val="center"/>
            </w:pPr>
            <w:r>
              <w:rPr>
                <w:rFonts w:ascii="Calibri" w:cs="Calibri" w:eastAsia="Calibri" w:hAnsi="Calibri"/>
                <w:b/>
                <w:bCs/>
                <w:color w:val="FFFFFF"/>
                <w:sz w:val="18"/>
                <w:szCs w:val="18"/>
              </w:rPr>
              <w:t xml:space="preserve">MCC</w:t>
            </w:r>
          </w:p>
        </w:tc>
        <w:tc>
          <w:tcPr>
            <w:tcW w:type="dxa" w:w="1000"/>
            <w:shd w:fill="2F5496" w:val="clear"/>
            <w:vAlign w:val="center"/>
          </w:tcPr>
          <w:p>
            <w:pPr>
              <w:jc w:val="center"/>
            </w:pPr>
            <w:r>
              <w:rPr>
                <w:rFonts w:ascii="Calibri" w:cs="Calibri" w:eastAsia="Calibri" w:hAnsi="Calibri"/>
                <w:b/>
                <w:bCs/>
                <w:color w:val="FFFFFF"/>
                <w:sz w:val="18"/>
                <w:szCs w:val="18"/>
              </w:rPr>
              <w:t xml:space="preserve">AUC</w:t>
            </w:r>
          </w:p>
        </w:tc>
      </w:tr>
      <w:tr>
        <w:tc>
          <w:tcPr>
            <w:tcW w:type="dxa" w:w="1900"/>
            <w:vAlign w:val="center"/>
          </w:tcPr>
          <w:p>
            <w:pPr>
              <w:jc w:val="center"/>
            </w:pPr>
            <w:r>
              <w:rPr>
                <w:rFonts w:ascii="Calibri" w:cs="Calibri" w:eastAsia="Calibri" w:hAnsi="Calibri"/>
                <w:b w:val="false"/>
                <w:bCs w:val="false"/>
                <w:color w:val="000000"/>
                <w:sz w:val="18"/>
                <w:szCs w:val="18"/>
              </w:rPr>
              <w:t xml:space="preserve">LightGBM</w:t>
            </w:r>
          </w:p>
        </w:tc>
        <w:tc>
          <w:tcPr>
            <w:tcW w:type="dxa" w:w="1100"/>
            <w:vAlign w:val="center"/>
          </w:tcPr>
          <w:p>
            <w:pPr>
              <w:jc w:val="center"/>
            </w:pPr>
            <w:r>
              <w:rPr>
                <w:rFonts w:ascii="Calibri" w:cs="Calibri" w:eastAsia="Calibri" w:hAnsi="Calibri"/>
                <w:b w:val="false"/>
                <w:bCs w:val="false"/>
                <w:color w:val="000000"/>
                <w:sz w:val="18"/>
                <w:szCs w:val="18"/>
              </w:rPr>
              <w:t xml:space="preserve">0.9585</w:t>
            </w:r>
          </w:p>
        </w:tc>
        <w:tc>
          <w:tcPr>
            <w:tcW w:type="dxa" w:w="1150"/>
            <w:vAlign w:val="center"/>
          </w:tcPr>
          <w:p>
            <w:pPr>
              <w:jc w:val="center"/>
            </w:pPr>
            <w:r>
              <w:rPr>
                <w:rFonts w:ascii="Calibri" w:cs="Calibri" w:eastAsia="Calibri" w:hAnsi="Calibri"/>
                <w:b w:val="false"/>
                <w:bCs w:val="false"/>
                <w:color w:val="000000"/>
                <w:sz w:val="18"/>
                <w:szCs w:val="18"/>
              </w:rPr>
              <w:t xml:space="preserve">0.9294</w:t>
            </w:r>
          </w:p>
        </w:tc>
        <w:tc>
          <w:tcPr>
            <w:tcW w:type="dxa" w:w="1150"/>
            <w:vAlign w:val="center"/>
          </w:tcPr>
          <w:p>
            <w:pPr>
              <w:jc w:val="center"/>
            </w:pPr>
            <w:r>
              <w:rPr>
                <w:rFonts w:ascii="Calibri" w:cs="Calibri" w:eastAsia="Calibri" w:hAnsi="Calibri"/>
                <w:b w:val="false"/>
                <w:bCs w:val="false"/>
                <w:color w:val="000000"/>
                <w:sz w:val="18"/>
                <w:szCs w:val="18"/>
              </w:rPr>
              <w:t xml:space="preserve">0.8797</w:t>
            </w:r>
          </w:p>
        </w:tc>
        <w:tc>
          <w:tcPr>
            <w:tcW w:type="dxa" w:w="1000"/>
            <w:vAlign w:val="center"/>
          </w:tcPr>
          <w:p>
            <w:pPr>
              <w:jc w:val="center"/>
            </w:pPr>
            <w:r>
              <w:rPr>
                <w:rFonts w:ascii="Calibri" w:cs="Calibri" w:eastAsia="Calibri" w:hAnsi="Calibri"/>
                <w:b w:val="false"/>
                <w:bCs w:val="false"/>
                <w:color w:val="000000"/>
                <w:sz w:val="18"/>
                <w:szCs w:val="18"/>
              </w:rPr>
              <w:t xml:space="preserve">0.9024</w:t>
            </w:r>
          </w:p>
        </w:tc>
        <w:tc>
          <w:tcPr>
            <w:tcW w:type="dxa" w:w="1000"/>
            <w:vAlign w:val="center"/>
          </w:tcPr>
          <w:p>
            <w:pPr>
              <w:jc w:val="center"/>
            </w:pPr>
            <w:r>
              <w:rPr>
                <w:rFonts w:ascii="Calibri" w:cs="Calibri" w:eastAsia="Calibri" w:hAnsi="Calibri"/>
                <w:b w:val="false"/>
                <w:bCs w:val="false"/>
                <w:color w:val="000000"/>
                <w:sz w:val="18"/>
                <w:szCs w:val="18"/>
              </w:rPr>
              <w:t xml:space="preserve">0.8050</w:t>
            </w:r>
          </w:p>
        </w:tc>
        <w:tc>
          <w:tcPr>
            <w:tcW w:type="dxa" w:w="1000"/>
            <w:vAlign w:val="center"/>
          </w:tcPr>
          <w:p>
            <w:pPr>
              <w:jc w:val="center"/>
            </w:pPr>
            <w:r>
              <w:rPr>
                <w:rFonts w:ascii="Calibri" w:cs="Calibri" w:eastAsia="Calibri" w:hAnsi="Calibri"/>
                <w:b w:val="false"/>
                <w:bCs w:val="false"/>
                <w:color w:val="000000"/>
                <w:sz w:val="18"/>
                <w:szCs w:val="18"/>
              </w:rPr>
              <w:t xml:space="preserve">0.8076</w:t>
            </w:r>
          </w:p>
        </w:tc>
        <w:tc>
          <w:tcPr>
            <w:tcW w:type="dxa" w:w="1000"/>
            <w:vAlign w:val="center"/>
          </w:tcPr>
          <w:p>
            <w:pPr>
              <w:jc w:val="center"/>
            </w:pPr>
            <w:r>
              <w:rPr>
                <w:rFonts w:ascii="Calibri" w:cs="Calibri" w:eastAsia="Calibri" w:hAnsi="Calibri"/>
                <w:b w:val="false"/>
                <w:bCs w:val="false"/>
                <w:color w:val="000000"/>
                <w:sz w:val="18"/>
                <w:szCs w:val="18"/>
              </w:rPr>
              <w:t xml:space="preserve">0.9703</w:t>
            </w:r>
          </w:p>
        </w:tc>
      </w:tr>
      <w:tr>
        <w:tc>
          <w:tcPr>
            <w:tcW w:type="dxa" w:w="1900"/>
            <w:vAlign w:val="center"/>
          </w:tcPr>
          <w:p>
            <w:pPr>
              <w:jc w:val="center"/>
            </w:pPr>
            <w:r>
              <w:rPr>
                <w:rFonts w:ascii="Calibri" w:cs="Calibri" w:eastAsia="Calibri" w:hAnsi="Calibri"/>
                <w:b w:val="false"/>
                <w:bCs w:val="false"/>
                <w:color w:val="000000"/>
                <w:sz w:val="18"/>
                <w:szCs w:val="18"/>
              </w:rPr>
              <w:t xml:space="preserve">XGBoost</w:t>
            </w:r>
          </w:p>
        </w:tc>
        <w:tc>
          <w:tcPr>
            <w:tcW w:type="dxa" w:w="1100"/>
            <w:vAlign w:val="center"/>
          </w:tcPr>
          <w:p>
            <w:pPr>
              <w:jc w:val="center"/>
            </w:pPr>
            <w:r>
              <w:rPr>
                <w:rFonts w:ascii="Calibri" w:cs="Calibri" w:eastAsia="Calibri" w:hAnsi="Calibri"/>
                <w:b w:val="false"/>
                <w:bCs w:val="false"/>
                <w:color w:val="000000"/>
                <w:sz w:val="18"/>
                <w:szCs w:val="18"/>
              </w:rPr>
              <w:t xml:space="preserve">0.9549</w:t>
            </w:r>
          </w:p>
        </w:tc>
        <w:tc>
          <w:tcPr>
            <w:tcW w:type="dxa" w:w="1150"/>
            <w:vAlign w:val="center"/>
          </w:tcPr>
          <w:p>
            <w:pPr>
              <w:jc w:val="center"/>
            </w:pPr>
            <w:r>
              <w:rPr>
                <w:rFonts w:ascii="Calibri" w:cs="Calibri" w:eastAsia="Calibri" w:hAnsi="Calibri"/>
                <w:b w:val="false"/>
                <w:bCs w:val="false"/>
                <w:color w:val="000000"/>
                <w:sz w:val="18"/>
                <w:szCs w:val="18"/>
              </w:rPr>
              <w:t xml:space="preserve">0.9123</w:t>
            </w:r>
          </w:p>
        </w:tc>
        <w:tc>
          <w:tcPr>
            <w:tcW w:type="dxa" w:w="1150"/>
            <w:vAlign w:val="center"/>
          </w:tcPr>
          <w:p>
            <w:pPr>
              <w:jc w:val="center"/>
            </w:pPr>
            <w:r>
              <w:rPr>
                <w:rFonts w:ascii="Calibri" w:cs="Calibri" w:eastAsia="Calibri" w:hAnsi="Calibri"/>
                <w:b w:val="false"/>
                <w:bCs w:val="false"/>
                <w:color w:val="000000"/>
                <w:sz w:val="18"/>
                <w:szCs w:val="18"/>
              </w:rPr>
              <w:t xml:space="preserve">0.8816</w:t>
            </w:r>
          </w:p>
        </w:tc>
        <w:tc>
          <w:tcPr>
            <w:tcW w:type="dxa" w:w="1000"/>
            <w:vAlign w:val="center"/>
          </w:tcPr>
          <w:p>
            <w:pPr>
              <w:jc w:val="center"/>
            </w:pPr>
            <w:r>
              <w:rPr>
                <w:rFonts w:ascii="Calibri" w:cs="Calibri" w:eastAsia="Calibri" w:hAnsi="Calibri"/>
                <w:b w:val="false"/>
                <w:bCs w:val="false"/>
                <w:color w:val="000000"/>
                <w:sz w:val="18"/>
                <w:szCs w:val="18"/>
              </w:rPr>
              <w:t xml:space="preserve">0.8961</w:t>
            </w:r>
          </w:p>
        </w:tc>
        <w:tc>
          <w:tcPr>
            <w:tcW w:type="dxa" w:w="1000"/>
            <w:vAlign w:val="center"/>
          </w:tcPr>
          <w:p>
            <w:pPr>
              <w:jc w:val="center"/>
            </w:pPr>
            <w:r>
              <w:rPr>
                <w:rFonts w:ascii="Calibri" w:cs="Calibri" w:eastAsia="Calibri" w:hAnsi="Calibri"/>
                <w:b w:val="false"/>
                <w:bCs w:val="false"/>
                <w:color w:val="000000"/>
                <w:sz w:val="18"/>
                <w:szCs w:val="18"/>
              </w:rPr>
              <w:t xml:space="preserve">0.7923</w:t>
            </w:r>
          </w:p>
        </w:tc>
        <w:tc>
          <w:tcPr>
            <w:tcW w:type="dxa" w:w="1000"/>
            <w:vAlign w:val="center"/>
          </w:tcPr>
          <w:p>
            <w:pPr>
              <w:jc w:val="center"/>
            </w:pPr>
            <w:r>
              <w:rPr>
                <w:rFonts w:ascii="Calibri" w:cs="Calibri" w:eastAsia="Calibri" w:hAnsi="Calibri"/>
                <w:b w:val="false"/>
                <w:bCs w:val="false"/>
                <w:color w:val="000000"/>
                <w:sz w:val="18"/>
                <w:szCs w:val="18"/>
              </w:rPr>
              <w:t xml:space="preserve">0.7933</w:t>
            </w:r>
          </w:p>
        </w:tc>
        <w:tc>
          <w:tcPr>
            <w:tcW w:type="dxa" w:w="1000"/>
            <w:vAlign w:val="center"/>
          </w:tcPr>
          <w:p>
            <w:pPr>
              <w:jc w:val="center"/>
            </w:pPr>
            <w:r>
              <w:rPr>
                <w:rFonts w:ascii="Calibri" w:cs="Calibri" w:eastAsia="Calibri" w:hAnsi="Calibri"/>
                <w:b w:val="false"/>
                <w:bCs w:val="false"/>
                <w:color w:val="000000"/>
                <w:sz w:val="18"/>
                <w:szCs w:val="18"/>
              </w:rPr>
              <w:t xml:space="preserve">0.9674</w:t>
            </w:r>
          </w:p>
        </w:tc>
      </w:tr>
      <w:tr>
        <w:tc>
          <w:tcPr>
            <w:tcW w:type="dxa" w:w="1900"/>
            <w:vAlign w:val="center"/>
          </w:tcPr>
          <w:p>
            <w:pPr>
              <w:jc w:val="center"/>
            </w:pPr>
            <w:r>
              <w:rPr>
                <w:rFonts w:ascii="Calibri" w:cs="Calibri" w:eastAsia="Calibri" w:hAnsi="Calibri"/>
                <w:b w:val="false"/>
                <w:bCs w:val="false"/>
                <w:color w:val="000000"/>
                <w:sz w:val="18"/>
                <w:szCs w:val="18"/>
              </w:rPr>
              <w:t xml:space="preserve">CatBoost</w:t>
            </w:r>
          </w:p>
        </w:tc>
        <w:tc>
          <w:tcPr>
            <w:tcW w:type="dxa" w:w="1100"/>
            <w:vAlign w:val="center"/>
          </w:tcPr>
          <w:p>
            <w:pPr>
              <w:jc w:val="center"/>
            </w:pPr>
            <w:r>
              <w:rPr>
                <w:rFonts w:ascii="Calibri" w:cs="Calibri" w:eastAsia="Calibri" w:hAnsi="Calibri"/>
                <w:b w:val="false"/>
                <w:bCs w:val="false"/>
                <w:color w:val="000000"/>
                <w:sz w:val="18"/>
                <w:szCs w:val="18"/>
              </w:rPr>
              <w:t xml:space="preserve">0.9498</w:t>
            </w:r>
          </w:p>
        </w:tc>
        <w:tc>
          <w:tcPr>
            <w:tcW w:type="dxa" w:w="1150"/>
            <w:vAlign w:val="center"/>
          </w:tcPr>
          <w:p>
            <w:pPr>
              <w:jc w:val="center"/>
            </w:pPr>
            <w:r>
              <w:rPr>
                <w:rFonts w:ascii="Calibri" w:cs="Calibri" w:eastAsia="Calibri" w:hAnsi="Calibri"/>
                <w:b w:val="false"/>
                <w:bCs w:val="false"/>
                <w:color w:val="000000"/>
                <w:sz w:val="18"/>
                <w:szCs w:val="18"/>
              </w:rPr>
              <w:t xml:space="preserve">0.8852</w:t>
            </w:r>
          </w:p>
        </w:tc>
        <w:tc>
          <w:tcPr>
            <w:tcW w:type="dxa" w:w="1150"/>
            <w:vAlign w:val="center"/>
          </w:tcPr>
          <w:p>
            <w:pPr>
              <w:jc w:val="center"/>
            </w:pPr>
            <w:r>
              <w:rPr>
                <w:rFonts w:ascii="Calibri" w:cs="Calibri" w:eastAsia="Calibri" w:hAnsi="Calibri"/>
                <w:b w:val="false"/>
                <w:bCs w:val="false"/>
                <w:color w:val="000000"/>
                <w:sz w:val="18"/>
                <w:szCs w:val="18"/>
              </w:rPr>
              <w:t xml:space="preserve">0.8954</w:t>
            </w:r>
          </w:p>
        </w:tc>
        <w:tc>
          <w:tcPr>
            <w:tcW w:type="dxa" w:w="1000"/>
            <w:vAlign w:val="center"/>
          </w:tcPr>
          <w:p>
            <w:pPr>
              <w:jc w:val="center"/>
            </w:pPr>
            <w:r>
              <w:rPr>
                <w:rFonts w:ascii="Calibri" w:cs="Calibri" w:eastAsia="Calibri" w:hAnsi="Calibri"/>
                <w:b w:val="false"/>
                <w:bCs w:val="false"/>
                <w:color w:val="000000"/>
                <w:sz w:val="18"/>
                <w:szCs w:val="18"/>
              </w:rPr>
              <w:t xml:space="preserve">0.8902</w:t>
            </w:r>
          </w:p>
        </w:tc>
        <w:tc>
          <w:tcPr>
            <w:tcW w:type="dxa" w:w="1000"/>
            <w:vAlign w:val="center"/>
          </w:tcPr>
          <w:p>
            <w:pPr>
              <w:jc w:val="center"/>
            </w:pPr>
            <w:r>
              <w:rPr>
                <w:rFonts w:ascii="Calibri" w:cs="Calibri" w:eastAsia="Calibri" w:hAnsi="Calibri"/>
                <w:b w:val="false"/>
                <w:bCs w:val="false"/>
                <w:color w:val="000000"/>
                <w:sz w:val="18"/>
                <w:szCs w:val="18"/>
              </w:rPr>
              <w:t xml:space="preserve">0.7803</w:t>
            </w:r>
          </w:p>
        </w:tc>
        <w:tc>
          <w:tcPr>
            <w:tcW w:type="dxa" w:w="1000"/>
            <w:vAlign w:val="center"/>
          </w:tcPr>
          <w:p>
            <w:pPr>
              <w:jc w:val="center"/>
            </w:pPr>
            <w:r>
              <w:rPr>
                <w:rFonts w:ascii="Calibri" w:cs="Calibri" w:eastAsia="Calibri" w:hAnsi="Calibri"/>
                <w:b w:val="false"/>
                <w:bCs w:val="false"/>
                <w:color w:val="000000"/>
                <w:sz w:val="18"/>
                <w:szCs w:val="18"/>
              </w:rPr>
              <w:t xml:space="preserve">0.7805</w:t>
            </w:r>
          </w:p>
        </w:tc>
        <w:tc>
          <w:tcPr>
            <w:tcW w:type="dxa" w:w="1000"/>
            <w:vAlign w:val="center"/>
          </w:tcPr>
          <w:p>
            <w:pPr>
              <w:jc w:val="center"/>
            </w:pPr>
            <w:r>
              <w:rPr>
                <w:rFonts w:ascii="Calibri" w:cs="Calibri" w:eastAsia="Calibri" w:hAnsi="Calibri"/>
                <w:b w:val="false"/>
                <w:bCs w:val="false"/>
                <w:color w:val="000000"/>
                <w:sz w:val="18"/>
                <w:szCs w:val="18"/>
              </w:rPr>
              <w:t xml:space="preserve">0.9683</w:t>
            </w:r>
          </w:p>
        </w:tc>
      </w:tr>
      <w:tr>
        <w:tc>
          <w:tcPr>
            <w:tcW w:type="dxa" w:w="1900"/>
            <w:vAlign w:val="center"/>
          </w:tcPr>
          <w:p>
            <w:pPr>
              <w:jc w:val="center"/>
            </w:pPr>
            <w:r>
              <w:rPr>
                <w:rFonts w:ascii="Calibri" w:cs="Calibri" w:eastAsia="Calibri" w:hAnsi="Calibri"/>
                <w:b w:val="false"/>
                <w:bCs w:val="false"/>
                <w:color w:val="000000"/>
                <w:sz w:val="18"/>
                <w:szCs w:val="18"/>
              </w:rPr>
              <w:t xml:space="preserve">Gradient Boosting</w:t>
            </w:r>
          </w:p>
        </w:tc>
        <w:tc>
          <w:tcPr>
            <w:tcW w:type="dxa" w:w="1100"/>
            <w:vAlign w:val="center"/>
          </w:tcPr>
          <w:p>
            <w:pPr>
              <w:jc w:val="center"/>
            </w:pPr>
            <w:r>
              <w:rPr>
                <w:rFonts w:ascii="Calibri" w:cs="Calibri" w:eastAsia="Calibri" w:hAnsi="Calibri"/>
                <w:b w:val="false"/>
                <w:bCs w:val="false"/>
                <w:color w:val="000000"/>
                <w:sz w:val="18"/>
                <w:szCs w:val="18"/>
              </w:rPr>
              <w:t xml:space="preserve">0.9514</w:t>
            </w:r>
          </w:p>
        </w:tc>
        <w:tc>
          <w:tcPr>
            <w:tcW w:type="dxa" w:w="1150"/>
            <w:vAlign w:val="center"/>
          </w:tcPr>
          <w:p>
            <w:pPr>
              <w:jc w:val="center"/>
            </w:pPr>
            <w:r>
              <w:rPr>
                <w:rFonts w:ascii="Calibri" w:cs="Calibri" w:eastAsia="Calibri" w:hAnsi="Calibri"/>
                <w:b w:val="false"/>
                <w:bCs w:val="false"/>
                <w:color w:val="000000"/>
                <w:sz w:val="18"/>
                <w:szCs w:val="18"/>
              </w:rPr>
              <w:t xml:space="preserve">0.9159</w:t>
            </w:r>
          </w:p>
        </w:tc>
        <w:tc>
          <w:tcPr>
            <w:tcW w:type="dxa" w:w="1150"/>
            <w:vAlign w:val="center"/>
          </w:tcPr>
          <w:p>
            <w:pPr>
              <w:jc w:val="center"/>
            </w:pPr>
            <w:r>
              <w:rPr>
                <w:rFonts w:ascii="Calibri" w:cs="Calibri" w:eastAsia="Calibri" w:hAnsi="Calibri"/>
                <w:b w:val="false"/>
                <w:bCs w:val="false"/>
                <w:color w:val="000000"/>
                <w:sz w:val="18"/>
                <w:szCs w:val="18"/>
              </w:rPr>
              <w:t xml:space="preserve">0.8591</w:t>
            </w:r>
          </w:p>
        </w:tc>
        <w:tc>
          <w:tcPr>
            <w:tcW w:type="dxa" w:w="1000"/>
            <w:vAlign w:val="center"/>
          </w:tcPr>
          <w:p>
            <w:pPr>
              <w:jc w:val="center"/>
            </w:pPr>
            <w:r>
              <w:rPr>
                <w:rFonts w:ascii="Calibri" w:cs="Calibri" w:eastAsia="Calibri" w:hAnsi="Calibri"/>
                <w:b w:val="false"/>
                <w:bCs w:val="false"/>
                <w:color w:val="000000"/>
                <w:sz w:val="18"/>
                <w:szCs w:val="18"/>
              </w:rPr>
              <w:t xml:space="preserve">0.8845</w:t>
            </w:r>
          </w:p>
        </w:tc>
        <w:tc>
          <w:tcPr>
            <w:tcW w:type="dxa" w:w="1000"/>
            <w:vAlign w:val="center"/>
          </w:tcPr>
          <w:p>
            <w:pPr>
              <w:jc w:val="center"/>
            </w:pPr>
            <w:r>
              <w:rPr>
                <w:rFonts w:ascii="Calibri" w:cs="Calibri" w:eastAsia="Calibri" w:hAnsi="Calibri"/>
                <w:b w:val="false"/>
                <w:bCs w:val="false"/>
                <w:color w:val="000000"/>
                <w:sz w:val="18"/>
                <w:szCs w:val="18"/>
              </w:rPr>
              <w:t xml:space="preserve">0.7693</w:t>
            </w:r>
          </w:p>
        </w:tc>
        <w:tc>
          <w:tcPr>
            <w:tcW w:type="dxa" w:w="1000"/>
            <w:vAlign w:val="center"/>
          </w:tcPr>
          <w:p>
            <w:pPr>
              <w:jc w:val="center"/>
            </w:pPr>
            <w:r>
              <w:rPr>
                <w:rFonts w:ascii="Calibri" w:cs="Calibri" w:eastAsia="Calibri" w:hAnsi="Calibri"/>
                <w:b w:val="false"/>
                <w:bCs w:val="false"/>
                <w:color w:val="000000"/>
                <w:sz w:val="18"/>
                <w:szCs w:val="18"/>
              </w:rPr>
              <w:t xml:space="preserve">0.7728</w:t>
            </w:r>
          </w:p>
        </w:tc>
        <w:tc>
          <w:tcPr>
            <w:tcW w:type="dxa" w:w="1000"/>
            <w:vAlign w:val="center"/>
          </w:tcPr>
          <w:p>
            <w:pPr>
              <w:jc w:val="center"/>
            </w:pPr>
            <w:r>
              <w:rPr>
                <w:rFonts w:ascii="Calibri" w:cs="Calibri" w:eastAsia="Calibri" w:hAnsi="Calibri"/>
                <w:b w:val="false"/>
                <w:bCs w:val="false"/>
                <w:color w:val="000000"/>
                <w:sz w:val="18"/>
                <w:szCs w:val="18"/>
              </w:rPr>
              <w:t xml:space="preserve">0.9646</w:t>
            </w:r>
          </w:p>
        </w:tc>
      </w:tr>
      <w:tr>
        <w:tc>
          <w:tcPr>
            <w:tcW w:type="dxa" w:w="1900"/>
            <w:vAlign w:val="center"/>
          </w:tcPr>
          <w:p>
            <w:pPr>
              <w:jc w:val="center"/>
            </w:pPr>
            <w:r>
              <w:rPr>
                <w:rFonts w:ascii="Calibri" w:cs="Calibri" w:eastAsia="Calibri" w:hAnsi="Calibri"/>
                <w:b w:val="false"/>
                <w:bCs w:val="false"/>
                <w:color w:val="000000"/>
                <w:sz w:val="18"/>
                <w:szCs w:val="18"/>
              </w:rPr>
              <w:t xml:space="preserve">Extra Trees</w:t>
            </w:r>
          </w:p>
        </w:tc>
        <w:tc>
          <w:tcPr>
            <w:tcW w:type="dxa" w:w="1100"/>
            <w:vAlign w:val="center"/>
          </w:tcPr>
          <w:p>
            <w:pPr>
              <w:jc w:val="center"/>
            </w:pPr>
            <w:r>
              <w:rPr>
                <w:rFonts w:ascii="Calibri" w:cs="Calibri" w:eastAsia="Calibri" w:hAnsi="Calibri"/>
                <w:b w:val="false"/>
                <w:bCs w:val="false"/>
                <w:color w:val="000000"/>
                <w:sz w:val="18"/>
                <w:szCs w:val="18"/>
              </w:rPr>
              <w:t xml:space="preserve">0.9484</w:t>
            </w:r>
          </w:p>
        </w:tc>
        <w:tc>
          <w:tcPr>
            <w:tcW w:type="dxa" w:w="1150"/>
            <w:vAlign w:val="center"/>
          </w:tcPr>
          <w:p>
            <w:pPr>
              <w:jc w:val="center"/>
            </w:pPr>
            <w:r>
              <w:rPr>
                <w:rFonts w:ascii="Calibri" w:cs="Calibri" w:eastAsia="Calibri" w:hAnsi="Calibri"/>
                <w:b w:val="false"/>
                <w:bCs w:val="false"/>
                <w:color w:val="000000"/>
                <w:sz w:val="18"/>
                <w:szCs w:val="18"/>
              </w:rPr>
              <w:t xml:space="preserve">0.9193</w:t>
            </w:r>
          </w:p>
        </w:tc>
        <w:tc>
          <w:tcPr>
            <w:tcW w:type="dxa" w:w="1150"/>
            <w:vAlign w:val="center"/>
          </w:tcPr>
          <w:p>
            <w:pPr>
              <w:jc w:val="center"/>
            </w:pPr>
            <w:r>
              <w:rPr>
                <w:rFonts w:ascii="Calibri" w:cs="Calibri" w:eastAsia="Calibri" w:hAnsi="Calibri"/>
                <w:b w:val="false"/>
                <w:bCs w:val="false"/>
                <w:color w:val="000000"/>
                <w:sz w:val="18"/>
                <w:szCs w:val="18"/>
              </w:rPr>
              <w:t xml:space="preserve">0.8400</w:t>
            </w:r>
          </w:p>
        </w:tc>
        <w:tc>
          <w:tcPr>
            <w:tcW w:type="dxa" w:w="1000"/>
            <w:vAlign w:val="center"/>
          </w:tcPr>
          <w:p>
            <w:pPr>
              <w:jc w:val="center"/>
            </w:pPr>
            <w:r>
              <w:rPr>
                <w:rFonts w:ascii="Calibri" w:cs="Calibri" w:eastAsia="Calibri" w:hAnsi="Calibri"/>
                <w:b w:val="false"/>
                <w:bCs w:val="false"/>
                <w:color w:val="000000"/>
                <w:sz w:val="18"/>
                <w:szCs w:val="18"/>
              </w:rPr>
              <w:t xml:space="preserve">0.8739</w:t>
            </w:r>
          </w:p>
        </w:tc>
        <w:tc>
          <w:tcPr>
            <w:tcW w:type="dxa" w:w="1000"/>
            <w:vAlign w:val="center"/>
          </w:tcPr>
          <w:p>
            <w:pPr>
              <w:jc w:val="center"/>
            </w:pPr>
            <w:r>
              <w:rPr>
                <w:rFonts w:ascii="Calibri" w:cs="Calibri" w:eastAsia="Calibri" w:hAnsi="Calibri"/>
                <w:b w:val="false"/>
                <w:bCs w:val="false"/>
                <w:color w:val="000000"/>
                <w:sz w:val="18"/>
                <w:szCs w:val="18"/>
              </w:rPr>
              <w:t xml:space="preserve">0.7482</w:t>
            </w:r>
          </w:p>
        </w:tc>
        <w:tc>
          <w:tcPr>
            <w:tcW w:type="dxa" w:w="1000"/>
            <w:vAlign w:val="center"/>
          </w:tcPr>
          <w:p>
            <w:pPr>
              <w:jc w:val="center"/>
            </w:pPr>
            <w:r>
              <w:rPr>
                <w:rFonts w:ascii="Calibri" w:cs="Calibri" w:eastAsia="Calibri" w:hAnsi="Calibri"/>
                <w:b w:val="false"/>
                <w:bCs w:val="false"/>
                <w:color w:val="000000"/>
                <w:sz w:val="18"/>
                <w:szCs w:val="18"/>
              </w:rPr>
              <w:t xml:space="preserve">0.7551</w:t>
            </w:r>
          </w:p>
        </w:tc>
        <w:tc>
          <w:tcPr>
            <w:tcW w:type="dxa" w:w="1000"/>
            <w:vAlign w:val="center"/>
          </w:tcPr>
          <w:p>
            <w:pPr>
              <w:jc w:val="center"/>
            </w:pPr>
            <w:r>
              <w:rPr>
                <w:rFonts w:ascii="Calibri" w:cs="Calibri" w:eastAsia="Calibri" w:hAnsi="Calibri"/>
                <w:b w:val="false"/>
                <w:bCs w:val="false"/>
                <w:color w:val="000000"/>
                <w:sz w:val="18"/>
                <w:szCs w:val="18"/>
              </w:rPr>
              <w:t xml:space="preserve">0.9622</w:t>
            </w:r>
          </w:p>
        </w:tc>
      </w:tr>
      <w:tr>
        <w:tc>
          <w:tcPr>
            <w:tcW w:type="dxa" w:w="1900"/>
            <w:vAlign w:val="center"/>
          </w:tcPr>
          <w:p>
            <w:pPr>
              <w:jc w:val="center"/>
            </w:pPr>
            <w:r>
              <w:rPr>
                <w:rFonts w:ascii="Calibri" w:cs="Calibri" w:eastAsia="Calibri" w:hAnsi="Calibri"/>
                <w:b w:val="false"/>
                <w:bCs w:val="false"/>
                <w:color w:val="000000"/>
                <w:sz w:val="18"/>
                <w:szCs w:val="18"/>
              </w:rPr>
              <w:t xml:space="preserve">Random Forest</w:t>
            </w:r>
          </w:p>
        </w:tc>
        <w:tc>
          <w:tcPr>
            <w:tcW w:type="dxa" w:w="1100"/>
            <w:vAlign w:val="center"/>
          </w:tcPr>
          <w:p>
            <w:pPr>
              <w:jc w:val="center"/>
            </w:pPr>
            <w:r>
              <w:rPr>
                <w:rFonts w:ascii="Calibri" w:cs="Calibri" w:eastAsia="Calibri" w:hAnsi="Calibri"/>
                <w:b w:val="false"/>
                <w:bCs w:val="false"/>
                <w:color w:val="000000"/>
                <w:sz w:val="18"/>
                <w:szCs w:val="18"/>
              </w:rPr>
              <w:t xml:space="preserve">0.9482</w:t>
            </w:r>
          </w:p>
        </w:tc>
        <w:tc>
          <w:tcPr>
            <w:tcW w:type="dxa" w:w="1150"/>
            <w:vAlign w:val="center"/>
          </w:tcPr>
          <w:p>
            <w:pPr>
              <w:jc w:val="center"/>
            </w:pPr>
            <w:r>
              <w:rPr>
                <w:rFonts w:ascii="Calibri" w:cs="Calibri" w:eastAsia="Calibri" w:hAnsi="Calibri"/>
                <w:b w:val="false"/>
                <w:bCs w:val="false"/>
                <w:color w:val="000000"/>
                <w:sz w:val="18"/>
                <w:szCs w:val="18"/>
              </w:rPr>
              <w:t xml:space="preserve">0.9267</w:t>
            </w:r>
          </w:p>
        </w:tc>
        <w:tc>
          <w:tcPr>
            <w:tcW w:type="dxa" w:w="1150"/>
            <w:vAlign w:val="center"/>
          </w:tcPr>
          <w:p>
            <w:pPr>
              <w:jc w:val="center"/>
            </w:pPr>
            <w:r>
              <w:rPr>
                <w:rFonts w:ascii="Calibri" w:cs="Calibri" w:eastAsia="Calibri" w:hAnsi="Calibri"/>
                <w:b w:val="false"/>
                <w:bCs w:val="false"/>
                <w:color w:val="000000"/>
                <w:sz w:val="18"/>
                <w:szCs w:val="18"/>
              </w:rPr>
              <w:t xml:space="preserve">0.8319</w:t>
            </w:r>
          </w:p>
        </w:tc>
        <w:tc>
          <w:tcPr>
            <w:tcW w:type="dxa" w:w="1000"/>
            <w:vAlign w:val="center"/>
          </w:tcPr>
          <w:p>
            <w:pPr>
              <w:jc w:val="center"/>
            </w:pPr>
            <w:r>
              <w:rPr>
                <w:rFonts w:ascii="Calibri" w:cs="Calibri" w:eastAsia="Calibri" w:hAnsi="Calibri"/>
                <w:b w:val="false"/>
                <w:bCs w:val="false"/>
                <w:color w:val="000000"/>
                <w:sz w:val="18"/>
                <w:szCs w:val="18"/>
              </w:rPr>
              <w:t xml:space="preserve">0.8711</w:t>
            </w:r>
          </w:p>
        </w:tc>
        <w:tc>
          <w:tcPr>
            <w:tcW w:type="dxa" w:w="1000"/>
            <w:vAlign w:val="center"/>
          </w:tcPr>
          <w:p>
            <w:pPr>
              <w:jc w:val="center"/>
            </w:pPr>
            <w:r>
              <w:rPr>
                <w:rFonts w:ascii="Calibri" w:cs="Calibri" w:eastAsia="Calibri" w:hAnsi="Calibri"/>
                <w:b w:val="false"/>
                <w:bCs w:val="false"/>
                <w:color w:val="000000"/>
                <w:sz w:val="18"/>
                <w:szCs w:val="18"/>
              </w:rPr>
              <w:t xml:space="preserve">0.7429</w:t>
            </w:r>
          </w:p>
        </w:tc>
        <w:tc>
          <w:tcPr>
            <w:tcW w:type="dxa" w:w="1000"/>
            <w:vAlign w:val="center"/>
          </w:tcPr>
          <w:p>
            <w:pPr>
              <w:jc w:val="center"/>
            </w:pPr>
            <w:r>
              <w:rPr>
                <w:rFonts w:ascii="Calibri" w:cs="Calibri" w:eastAsia="Calibri" w:hAnsi="Calibri"/>
                <w:b w:val="false"/>
                <w:bCs w:val="false"/>
                <w:color w:val="000000"/>
                <w:sz w:val="18"/>
                <w:szCs w:val="18"/>
              </w:rPr>
              <w:t xml:space="preserve">0.7527</w:t>
            </w:r>
          </w:p>
        </w:tc>
        <w:tc>
          <w:tcPr>
            <w:tcW w:type="dxa" w:w="1000"/>
            <w:vAlign w:val="center"/>
          </w:tcPr>
          <w:p>
            <w:pPr>
              <w:jc w:val="center"/>
            </w:pPr>
            <w:r>
              <w:rPr>
                <w:rFonts w:ascii="Calibri" w:cs="Calibri" w:eastAsia="Calibri" w:hAnsi="Calibri"/>
                <w:b w:val="false"/>
                <w:bCs w:val="false"/>
                <w:color w:val="000000"/>
                <w:sz w:val="18"/>
                <w:szCs w:val="18"/>
              </w:rPr>
              <w:t xml:space="preserve">0.9652</w:t>
            </w:r>
          </w:p>
        </w:tc>
      </w:tr>
      <w:tr>
        <w:tc>
          <w:tcPr>
            <w:tcW w:type="dxa" w:w="1900"/>
            <w:vAlign w:val="center"/>
          </w:tcPr>
          <w:p>
            <w:pPr>
              <w:jc w:val="center"/>
            </w:pPr>
            <w:r>
              <w:rPr>
                <w:rFonts w:ascii="Calibri" w:cs="Calibri" w:eastAsia="Calibri" w:hAnsi="Calibri"/>
                <w:b w:val="false"/>
                <w:bCs w:val="false"/>
                <w:color w:val="000000"/>
                <w:sz w:val="18"/>
                <w:szCs w:val="18"/>
              </w:rPr>
              <w:t xml:space="preserve">MLP</w:t>
            </w:r>
          </w:p>
        </w:tc>
        <w:tc>
          <w:tcPr>
            <w:tcW w:type="dxa" w:w="1100"/>
            <w:vAlign w:val="center"/>
          </w:tcPr>
          <w:p>
            <w:pPr>
              <w:jc w:val="center"/>
            </w:pPr>
            <w:r>
              <w:rPr>
                <w:rFonts w:ascii="Calibri" w:cs="Calibri" w:eastAsia="Calibri" w:hAnsi="Calibri"/>
                <w:b w:val="false"/>
                <w:bCs w:val="false"/>
                <w:color w:val="000000"/>
                <w:sz w:val="18"/>
                <w:szCs w:val="18"/>
              </w:rPr>
              <w:t xml:space="preserve">0.9433</w:t>
            </w:r>
          </w:p>
        </w:tc>
        <w:tc>
          <w:tcPr>
            <w:tcW w:type="dxa" w:w="1150"/>
            <w:vAlign w:val="center"/>
          </w:tcPr>
          <w:p>
            <w:pPr>
              <w:jc w:val="center"/>
            </w:pPr>
            <w:r>
              <w:rPr>
                <w:rFonts w:ascii="Calibri" w:cs="Calibri" w:eastAsia="Calibri" w:hAnsi="Calibri"/>
                <w:b w:val="false"/>
                <w:bCs w:val="false"/>
                <w:color w:val="000000"/>
                <w:sz w:val="18"/>
                <w:szCs w:val="18"/>
              </w:rPr>
              <w:t xml:space="preserve">0.8906</w:t>
            </w:r>
          </w:p>
        </w:tc>
        <w:tc>
          <w:tcPr>
            <w:tcW w:type="dxa" w:w="1150"/>
            <w:vAlign w:val="center"/>
          </w:tcPr>
          <w:p>
            <w:pPr>
              <w:jc w:val="center"/>
            </w:pPr>
            <w:r>
              <w:rPr>
                <w:rFonts w:ascii="Calibri" w:cs="Calibri" w:eastAsia="Calibri" w:hAnsi="Calibri"/>
                <w:b w:val="false"/>
                <w:bCs w:val="false"/>
                <w:color w:val="000000"/>
                <w:sz w:val="18"/>
                <w:szCs w:val="18"/>
              </w:rPr>
              <w:t xml:space="preserve">0.8471</w:t>
            </w:r>
          </w:p>
        </w:tc>
        <w:tc>
          <w:tcPr>
            <w:tcW w:type="dxa" w:w="1000"/>
            <w:vAlign w:val="center"/>
          </w:tcPr>
          <w:p>
            <w:pPr>
              <w:jc w:val="center"/>
            </w:pPr>
            <w:r>
              <w:rPr>
                <w:rFonts w:ascii="Calibri" w:cs="Calibri" w:eastAsia="Calibri" w:hAnsi="Calibri"/>
                <w:b w:val="false"/>
                <w:bCs w:val="false"/>
                <w:color w:val="000000"/>
                <w:sz w:val="18"/>
                <w:szCs w:val="18"/>
              </w:rPr>
              <w:t xml:space="preserve">0.8670</w:t>
            </w:r>
          </w:p>
        </w:tc>
        <w:tc>
          <w:tcPr>
            <w:tcW w:type="dxa" w:w="1000"/>
            <w:vAlign w:val="center"/>
          </w:tcPr>
          <w:p>
            <w:pPr>
              <w:jc w:val="center"/>
            </w:pPr>
            <w:r>
              <w:rPr>
                <w:rFonts w:ascii="Calibri" w:cs="Calibri" w:eastAsia="Calibri" w:hAnsi="Calibri"/>
                <w:b w:val="false"/>
                <w:bCs w:val="false"/>
                <w:color w:val="000000"/>
                <w:sz w:val="18"/>
                <w:szCs w:val="18"/>
              </w:rPr>
              <w:t xml:space="preserve">0.7342</w:t>
            </w:r>
          </w:p>
        </w:tc>
        <w:tc>
          <w:tcPr>
            <w:tcW w:type="dxa" w:w="1000"/>
            <w:vAlign w:val="center"/>
          </w:tcPr>
          <w:p>
            <w:pPr>
              <w:jc w:val="center"/>
            </w:pPr>
            <w:r>
              <w:rPr>
                <w:rFonts w:ascii="Calibri" w:cs="Calibri" w:eastAsia="Calibri" w:hAnsi="Calibri"/>
                <w:b w:val="false"/>
                <w:bCs w:val="false"/>
                <w:color w:val="000000"/>
                <w:sz w:val="18"/>
                <w:szCs w:val="18"/>
              </w:rPr>
              <w:t xml:space="preserve">0.7364</w:t>
            </w:r>
          </w:p>
        </w:tc>
        <w:tc>
          <w:tcPr>
            <w:tcW w:type="dxa" w:w="1000"/>
            <w:vAlign w:val="center"/>
          </w:tcPr>
          <w:p>
            <w:pPr>
              <w:jc w:val="center"/>
            </w:pPr>
            <w:r>
              <w:rPr>
                <w:rFonts w:ascii="Calibri" w:cs="Calibri" w:eastAsia="Calibri" w:hAnsi="Calibri"/>
                <w:b w:val="false"/>
                <w:bCs w:val="false"/>
                <w:color w:val="000000"/>
                <w:sz w:val="18"/>
                <w:szCs w:val="18"/>
              </w:rPr>
              <w:t xml:space="preserve">0.9403</w:t>
            </w:r>
          </w:p>
        </w:tc>
      </w:tr>
      <w:tr>
        <w:tc>
          <w:tcPr>
            <w:tcW w:type="dxa" w:w="1900"/>
            <w:vAlign w:val="center"/>
          </w:tcPr>
          <w:p>
            <w:pPr>
              <w:jc w:val="center"/>
            </w:pPr>
            <w:r>
              <w:rPr>
                <w:rFonts w:ascii="Calibri" w:cs="Calibri" w:eastAsia="Calibri" w:hAnsi="Calibri"/>
                <w:b w:val="false"/>
                <w:bCs w:val="false"/>
                <w:color w:val="000000"/>
                <w:sz w:val="18"/>
                <w:szCs w:val="18"/>
              </w:rPr>
              <w:t xml:space="preserve">SVM (RBF)</w:t>
            </w:r>
          </w:p>
        </w:tc>
        <w:tc>
          <w:tcPr>
            <w:tcW w:type="dxa" w:w="1100"/>
            <w:vAlign w:val="center"/>
          </w:tcPr>
          <w:p>
            <w:pPr>
              <w:jc w:val="center"/>
            </w:pPr>
            <w:r>
              <w:rPr>
                <w:rFonts w:ascii="Calibri" w:cs="Calibri" w:eastAsia="Calibri" w:hAnsi="Calibri"/>
                <w:b w:val="false"/>
                <w:bCs w:val="false"/>
                <w:color w:val="000000"/>
                <w:sz w:val="18"/>
                <w:szCs w:val="18"/>
              </w:rPr>
              <w:t xml:space="preserve">0.9423</w:t>
            </w:r>
          </w:p>
        </w:tc>
        <w:tc>
          <w:tcPr>
            <w:tcW w:type="dxa" w:w="1150"/>
            <w:vAlign w:val="center"/>
          </w:tcPr>
          <w:p>
            <w:pPr>
              <w:jc w:val="center"/>
            </w:pPr>
            <w:r>
              <w:rPr>
                <w:rFonts w:ascii="Calibri" w:cs="Calibri" w:eastAsia="Calibri" w:hAnsi="Calibri"/>
                <w:b w:val="false"/>
                <w:bCs w:val="false"/>
                <w:color w:val="000000"/>
                <w:sz w:val="18"/>
                <w:szCs w:val="18"/>
              </w:rPr>
              <w:t xml:space="preserve">0.8953</w:t>
            </w:r>
          </w:p>
        </w:tc>
        <w:tc>
          <w:tcPr>
            <w:tcW w:type="dxa" w:w="1150"/>
            <w:vAlign w:val="center"/>
          </w:tcPr>
          <w:p>
            <w:pPr>
              <w:jc w:val="center"/>
            </w:pPr>
            <w:r>
              <w:rPr>
                <w:rFonts w:ascii="Calibri" w:cs="Calibri" w:eastAsia="Calibri" w:hAnsi="Calibri"/>
                <w:b w:val="false"/>
                <w:bCs w:val="false"/>
                <w:color w:val="000000"/>
                <w:sz w:val="18"/>
                <w:szCs w:val="18"/>
              </w:rPr>
              <w:t xml:space="preserve">0.8352</w:t>
            </w:r>
          </w:p>
        </w:tc>
        <w:tc>
          <w:tcPr>
            <w:tcW w:type="dxa" w:w="1000"/>
            <w:vAlign w:val="center"/>
          </w:tcPr>
          <w:p>
            <w:pPr>
              <w:jc w:val="center"/>
            </w:pPr>
            <w:r>
              <w:rPr>
                <w:rFonts w:ascii="Calibri" w:cs="Calibri" w:eastAsia="Calibri" w:hAnsi="Calibri"/>
                <w:b w:val="false"/>
                <w:bCs w:val="false"/>
                <w:color w:val="000000"/>
                <w:sz w:val="18"/>
                <w:szCs w:val="18"/>
              </w:rPr>
              <w:t xml:space="preserve">0.8617</w:t>
            </w:r>
          </w:p>
        </w:tc>
        <w:tc>
          <w:tcPr>
            <w:tcW w:type="dxa" w:w="1000"/>
            <w:vAlign w:val="center"/>
          </w:tcPr>
          <w:p>
            <w:pPr>
              <w:jc w:val="center"/>
            </w:pPr>
            <w:r>
              <w:rPr>
                <w:rFonts w:ascii="Calibri" w:cs="Calibri" w:eastAsia="Calibri" w:hAnsi="Calibri"/>
                <w:b w:val="false"/>
                <w:bCs w:val="false"/>
                <w:color w:val="000000"/>
                <w:sz w:val="18"/>
                <w:szCs w:val="18"/>
              </w:rPr>
              <w:t xml:space="preserve">0.7238</w:t>
            </w:r>
          </w:p>
        </w:tc>
        <w:tc>
          <w:tcPr>
            <w:tcW w:type="dxa" w:w="1000"/>
            <w:vAlign w:val="center"/>
          </w:tcPr>
          <w:p>
            <w:pPr>
              <w:jc w:val="center"/>
            </w:pPr>
            <w:r>
              <w:rPr>
                <w:rFonts w:ascii="Calibri" w:cs="Calibri" w:eastAsia="Calibri" w:hAnsi="Calibri"/>
                <w:b w:val="false"/>
                <w:bCs w:val="false"/>
                <w:color w:val="000000"/>
                <w:sz w:val="18"/>
                <w:szCs w:val="18"/>
              </w:rPr>
              <w:t xml:space="preserve">0.7281</w:t>
            </w:r>
          </w:p>
        </w:tc>
        <w:tc>
          <w:tcPr>
            <w:tcW w:type="dxa" w:w="1000"/>
            <w:vAlign w:val="center"/>
          </w:tcPr>
          <w:p>
            <w:pPr>
              <w:jc w:val="center"/>
            </w:pPr>
            <w:r>
              <w:rPr>
                <w:rFonts w:ascii="Calibri" w:cs="Calibri" w:eastAsia="Calibri" w:hAnsi="Calibri"/>
                <w:b w:val="false"/>
                <w:bCs w:val="false"/>
                <w:color w:val="000000"/>
                <w:sz w:val="18"/>
                <w:szCs w:val="18"/>
              </w:rPr>
              <w:t xml:space="preserve">0.9558</w:t>
            </w:r>
          </w:p>
        </w:tc>
      </w:tr>
      <w:tr>
        <w:tc>
          <w:tcPr>
            <w:tcW w:type="dxa" w:w="1900"/>
            <w:vAlign w:val="center"/>
          </w:tcPr>
          <w:p>
            <w:pPr>
              <w:jc w:val="center"/>
            </w:pPr>
            <w:r>
              <w:rPr>
                <w:rFonts w:ascii="Calibri" w:cs="Calibri" w:eastAsia="Calibri" w:hAnsi="Calibri"/>
                <w:b w:val="false"/>
                <w:bCs w:val="false"/>
                <w:color w:val="000000"/>
                <w:sz w:val="18"/>
                <w:szCs w:val="18"/>
              </w:rPr>
              <w:t xml:space="preserve">KNN</w:t>
            </w:r>
          </w:p>
        </w:tc>
        <w:tc>
          <w:tcPr>
            <w:tcW w:type="dxa" w:w="1100"/>
            <w:vAlign w:val="center"/>
          </w:tcPr>
          <w:p>
            <w:pPr>
              <w:jc w:val="center"/>
            </w:pPr>
            <w:r>
              <w:rPr>
                <w:rFonts w:ascii="Calibri" w:cs="Calibri" w:eastAsia="Calibri" w:hAnsi="Calibri"/>
                <w:b w:val="false"/>
                <w:bCs w:val="false"/>
                <w:color w:val="000000"/>
                <w:sz w:val="18"/>
                <w:szCs w:val="18"/>
              </w:rPr>
              <w:t xml:space="preserve">0.9385</w:t>
            </w:r>
          </w:p>
        </w:tc>
        <w:tc>
          <w:tcPr>
            <w:tcW w:type="dxa" w:w="1150"/>
            <w:vAlign w:val="center"/>
          </w:tcPr>
          <w:p>
            <w:pPr>
              <w:jc w:val="center"/>
            </w:pPr>
            <w:r>
              <w:rPr>
                <w:rFonts w:ascii="Calibri" w:cs="Calibri" w:eastAsia="Calibri" w:hAnsi="Calibri"/>
                <w:b w:val="false"/>
                <w:bCs w:val="false"/>
                <w:color w:val="000000"/>
                <w:sz w:val="18"/>
                <w:szCs w:val="18"/>
              </w:rPr>
              <w:t xml:space="preserve">0.9202</w:t>
            </w:r>
          </w:p>
        </w:tc>
        <w:tc>
          <w:tcPr>
            <w:tcW w:type="dxa" w:w="1150"/>
            <w:vAlign w:val="center"/>
          </w:tcPr>
          <w:p>
            <w:pPr>
              <w:jc w:val="center"/>
            </w:pPr>
            <w:r>
              <w:rPr>
                <w:rFonts w:ascii="Calibri" w:cs="Calibri" w:eastAsia="Calibri" w:hAnsi="Calibri"/>
                <w:b w:val="false"/>
                <w:bCs w:val="false"/>
                <w:color w:val="000000"/>
                <w:sz w:val="18"/>
                <w:szCs w:val="18"/>
              </w:rPr>
              <w:t xml:space="preserve">0.7911</w:t>
            </w:r>
          </w:p>
        </w:tc>
        <w:tc>
          <w:tcPr>
            <w:tcW w:type="dxa" w:w="1000"/>
            <w:vAlign w:val="center"/>
          </w:tcPr>
          <w:p>
            <w:pPr>
              <w:jc w:val="center"/>
            </w:pPr>
            <w:r>
              <w:rPr>
                <w:rFonts w:ascii="Calibri" w:cs="Calibri" w:eastAsia="Calibri" w:hAnsi="Calibri"/>
                <w:b w:val="false"/>
                <w:bCs w:val="false"/>
                <w:color w:val="000000"/>
                <w:sz w:val="18"/>
                <w:szCs w:val="18"/>
              </w:rPr>
              <w:t xml:space="preserve">0.8396</w:t>
            </w:r>
          </w:p>
        </w:tc>
        <w:tc>
          <w:tcPr>
            <w:tcW w:type="dxa" w:w="1000"/>
            <w:vAlign w:val="center"/>
          </w:tcPr>
          <w:p>
            <w:pPr>
              <w:jc w:val="center"/>
            </w:pPr>
            <w:r>
              <w:rPr>
                <w:rFonts w:ascii="Calibri" w:cs="Calibri" w:eastAsia="Calibri" w:hAnsi="Calibri"/>
                <w:b w:val="false"/>
                <w:bCs w:val="false"/>
                <w:color w:val="000000"/>
                <w:sz w:val="18"/>
                <w:szCs w:val="18"/>
              </w:rPr>
              <w:t xml:space="preserve">0.6809</w:t>
            </w:r>
          </w:p>
        </w:tc>
        <w:tc>
          <w:tcPr>
            <w:tcW w:type="dxa" w:w="1000"/>
            <w:vAlign w:val="center"/>
          </w:tcPr>
          <w:p>
            <w:pPr>
              <w:jc w:val="center"/>
            </w:pPr>
            <w:r>
              <w:rPr>
                <w:rFonts w:ascii="Calibri" w:cs="Calibri" w:eastAsia="Calibri" w:hAnsi="Calibri"/>
                <w:b w:val="false"/>
                <w:bCs w:val="false"/>
                <w:color w:val="000000"/>
                <w:sz w:val="18"/>
                <w:szCs w:val="18"/>
              </w:rPr>
              <w:t xml:space="preserve">0.6995</w:t>
            </w:r>
          </w:p>
        </w:tc>
        <w:tc>
          <w:tcPr>
            <w:tcW w:type="dxa" w:w="1000"/>
            <w:vAlign w:val="center"/>
          </w:tcPr>
          <w:p>
            <w:pPr>
              <w:jc w:val="center"/>
            </w:pPr>
            <w:r>
              <w:rPr>
                <w:rFonts w:ascii="Calibri" w:cs="Calibri" w:eastAsia="Calibri" w:hAnsi="Calibri"/>
                <w:b w:val="false"/>
                <w:bCs w:val="false"/>
                <w:color w:val="000000"/>
                <w:sz w:val="18"/>
                <w:szCs w:val="18"/>
              </w:rPr>
              <w:t xml:space="preserve">0.9222</w:t>
            </w:r>
          </w:p>
        </w:tc>
      </w:tr>
      <w:tr>
        <w:tc>
          <w:tcPr>
            <w:tcW w:type="dxa" w:w="1900"/>
            <w:vAlign w:val="center"/>
          </w:tcPr>
          <w:p>
            <w:pPr>
              <w:jc w:val="center"/>
            </w:pPr>
            <w:r>
              <w:rPr>
                <w:rFonts w:ascii="Calibri" w:cs="Calibri" w:eastAsia="Calibri" w:hAnsi="Calibri"/>
                <w:b w:val="false"/>
                <w:bCs w:val="false"/>
                <w:color w:val="000000"/>
                <w:sz w:val="18"/>
                <w:szCs w:val="18"/>
              </w:rPr>
              <w:t xml:space="preserve">Logistic Regression</w:t>
            </w:r>
          </w:p>
        </w:tc>
        <w:tc>
          <w:tcPr>
            <w:tcW w:type="dxa" w:w="1100"/>
            <w:vAlign w:val="center"/>
          </w:tcPr>
          <w:p>
            <w:pPr>
              <w:jc w:val="center"/>
            </w:pPr>
            <w:r>
              <w:rPr>
                <w:rFonts w:ascii="Calibri" w:cs="Calibri" w:eastAsia="Calibri" w:hAnsi="Calibri"/>
                <w:b w:val="false"/>
                <w:bCs w:val="false"/>
                <w:color w:val="000000"/>
                <w:sz w:val="18"/>
                <w:szCs w:val="18"/>
              </w:rPr>
              <w:t xml:space="preserve">0.9017</w:t>
            </w:r>
          </w:p>
        </w:tc>
        <w:tc>
          <w:tcPr>
            <w:tcW w:type="dxa" w:w="1150"/>
            <w:vAlign w:val="center"/>
          </w:tcPr>
          <w:p>
            <w:pPr>
              <w:jc w:val="center"/>
            </w:pPr>
            <w:r>
              <w:rPr>
                <w:rFonts w:ascii="Calibri" w:cs="Calibri" w:eastAsia="Calibri" w:hAnsi="Calibri"/>
                <w:b w:val="false"/>
                <w:bCs w:val="false"/>
                <w:color w:val="000000"/>
                <w:sz w:val="18"/>
                <w:szCs w:val="18"/>
              </w:rPr>
              <w:t xml:space="preserve">0.7792</w:t>
            </w:r>
          </w:p>
        </w:tc>
        <w:tc>
          <w:tcPr>
            <w:tcW w:type="dxa" w:w="1150"/>
            <w:vAlign w:val="center"/>
          </w:tcPr>
          <w:p>
            <w:pPr>
              <w:jc w:val="center"/>
            </w:pPr>
            <w:r>
              <w:rPr>
                <w:rFonts w:ascii="Calibri" w:cs="Calibri" w:eastAsia="Calibri" w:hAnsi="Calibri"/>
                <w:b w:val="false"/>
                <w:bCs w:val="false"/>
                <w:color w:val="000000"/>
                <w:sz w:val="18"/>
                <w:szCs w:val="18"/>
              </w:rPr>
              <w:t xml:space="preserve">0.8790</w:t>
            </w:r>
          </w:p>
        </w:tc>
        <w:tc>
          <w:tcPr>
            <w:tcW w:type="dxa" w:w="1000"/>
            <w:vAlign w:val="center"/>
          </w:tcPr>
          <w:p>
            <w:pPr>
              <w:jc w:val="center"/>
            </w:pPr>
            <w:r>
              <w:rPr>
                <w:rFonts w:ascii="Calibri" w:cs="Calibri" w:eastAsia="Calibri" w:hAnsi="Calibri"/>
                <w:b w:val="false"/>
                <w:bCs w:val="false"/>
                <w:color w:val="000000"/>
                <w:sz w:val="18"/>
                <w:szCs w:val="18"/>
              </w:rPr>
              <w:t xml:space="preserve">0.8162</w:t>
            </w:r>
          </w:p>
        </w:tc>
        <w:tc>
          <w:tcPr>
            <w:tcW w:type="dxa" w:w="1000"/>
            <w:vAlign w:val="center"/>
          </w:tcPr>
          <w:p>
            <w:pPr>
              <w:jc w:val="center"/>
            </w:pPr>
            <w:r>
              <w:rPr>
                <w:rFonts w:ascii="Calibri" w:cs="Calibri" w:eastAsia="Calibri" w:hAnsi="Calibri"/>
                <w:b w:val="false"/>
                <w:bCs w:val="false"/>
                <w:color w:val="000000"/>
                <w:sz w:val="18"/>
                <w:szCs w:val="18"/>
              </w:rPr>
              <w:t xml:space="preserve">0.6348</w:t>
            </w:r>
          </w:p>
        </w:tc>
        <w:tc>
          <w:tcPr>
            <w:tcW w:type="dxa" w:w="1000"/>
            <w:vAlign w:val="center"/>
          </w:tcPr>
          <w:p>
            <w:pPr>
              <w:jc w:val="center"/>
            </w:pPr>
            <w:r>
              <w:rPr>
                <w:rFonts w:ascii="Calibri" w:cs="Calibri" w:eastAsia="Calibri" w:hAnsi="Calibri"/>
                <w:b w:val="false"/>
                <w:bCs w:val="false"/>
                <w:color w:val="000000"/>
                <w:sz w:val="18"/>
                <w:szCs w:val="18"/>
              </w:rPr>
              <w:t xml:space="preserve">0.6506</w:t>
            </w:r>
          </w:p>
        </w:tc>
        <w:tc>
          <w:tcPr>
            <w:tcW w:type="dxa" w:w="1000"/>
            <w:vAlign w:val="center"/>
          </w:tcPr>
          <w:p>
            <w:pPr>
              <w:jc w:val="center"/>
            </w:pPr>
            <w:r>
              <w:rPr>
                <w:rFonts w:ascii="Calibri" w:cs="Calibri" w:eastAsia="Calibri" w:hAnsi="Calibri"/>
                <w:b w:val="false"/>
                <w:bCs w:val="false"/>
                <w:color w:val="000000"/>
                <w:sz w:val="18"/>
                <w:szCs w:val="18"/>
              </w:rPr>
              <w:t xml:space="preserve">0.9477</w:t>
            </w:r>
          </w:p>
        </w:tc>
      </w:tr>
      <w:tr>
        <w:tc>
          <w:tcPr>
            <w:tcW w:type="dxa" w:w="1900"/>
            <w:vAlign w:val="center"/>
          </w:tcPr>
          <w:p>
            <w:pPr>
              <w:jc w:val="center"/>
            </w:pPr>
            <w:r>
              <w:rPr>
                <w:rFonts w:ascii="Calibri" w:cs="Calibri" w:eastAsia="Calibri" w:hAnsi="Calibri"/>
                <w:b w:val="false"/>
                <w:bCs w:val="false"/>
                <w:color w:val="000000"/>
                <w:sz w:val="18"/>
                <w:szCs w:val="18"/>
              </w:rPr>
              <w:t xml:space="preserve">Naive Bayes</w:t>
            </w:r>
          </w:p>
        </w:tc>
        <w:tc>
          <w:tcPr>
            <w:tcW w:type="dxa" w:w="1100"/>
            <w:vAlign w:val="center"/>
          </w:tcPr>
          <w:p>
            <w:pPr>
              <w:jc w:val="center"/>
            </w:pPr>
            <w:r>
              <w:rPr>
                <w:rFonts w:ascii="Calibri" w:cs="Calibri" w:eastAsia="Calibri" w:hAnsi="Calibri"/>
                <w:b w:val="false"/>
                <w:bCs w:val="false"/>
                <w:color w:val="000000"/>
                <w:sz w:val="18"/>
                <w:szCs w:val="18"/>
              </w:rPr>
              <w:t xml:space="preserve">0.8992</w:t>
            </w:r>
          </w:p>
        </w:tc>
        <w:tc>
          <w:tcPr>
            <w:tcW w:type="dxa" w:w="1150"/>
            <w:vAlign w:val="center"/>
          </w:tcPr>
          <w:p>
            <w:pPr>
              <w:jc w:val="center"/>
            </w:pPr>
            <w:r>
              <w:rPr>
                <w:rFonts w:ascii="Calibri" w:cs="Calibri" w:eastAsia="Calibri" w:hAnsi="Calibri"/>
                <w:b w:val="false"/>
                <w:bCs w:val="false"/>
                <w:color w:val="000000"/>
                <w:sz w:val="18"/>
                <w:szCs w:val="18"/>
              </w:rPr>
              <w:t xml:space="preserve">0.7740</w:t>
            </w:r>
          </w:p>
        </w:tc>
        <w:tc>
          <w:tcPr>
            <w:tcW w:type="dxa" w:w="1150"/>
            <w:vAlign w:val="center"/>
          </w:tcPr>
          <w:p>
            <w:pPr>
              <w:jc w:val="center"/>
            </w:pPr>
            <w:r>
              <w:rPr>
                <w:rFonts w:ascii="Calibri" w:cs="Calibri" w:eastAsia="Calibri" w:hAnsi="Calibri"/>
                <w:b w:val="false"/>
                <w:bCs w:val="false"/>
                <w:color w:val="000000"/>
                <w:sz w:val="18"/>
                <w:szCs w:val="18"/>
              </w:rPr>
              <w:t xml:space="preserve">0.8317</w:t>
            </w:r>
          </w:p>
        </w:tc>
        <w:tc>
          <w:tcPr>
            <w:tcW w:type="dxa" w:w="1000"/>
            <w:vAlign w:val="center"/>
          </w:tcPr>
          <w:p>
            <w:pPr>
              <w:jc w:val="center"/>
            </w:pPr>
            <w:r>
              <w:rPr>
                <w:rFonts w:ascii="Calibri" w:cs="Calibri" w:eastAsia="Calibri" w:hAnsi="Calibri"/>
                <w:b w:val="false"/>
                <w:bCs w:val="false"/>
                <w:color w:val="000000"/>
                <w:sz w:val="18"/>
                <w:szCs w:val="18"/>
              </w:rPr>
              <w:t xml:space="preserve">0.7983</w:t>
            </w:r>
          </w:p>
        </w:tc>
        <w:tc>
          <w:tcPr>
            <w:tcW w:type="dxa" w:w="1000"/>
            <w:vAlign w:val="center"/>
          </w:tcPr>
          <w:p>
            <w:pPr>
              <w:jc w:val="center"/>
            </w:pPr>
            <w:r>
              <w:rPr>
                <w:rFonts w:ascii="Calibri" w:cs="Calibri" w:eastAsia="Calibri" w:hAnsi="Calibri"/>
                <w:b w:val="false"/>
                <w:bCs w:val="false"/>
                <w:color w:val="000000"/>
                <w:sz w:val="18"/>
                <w:szCs w:val="18"/>
              </w:rPr>
              <w:t xml:space="preserve">0.5975</w:t>
            </w:r>
          </w:p>
        </w:tc>
        <w:tc>
          <w:tcPr>
            <w:tcW w:type="dxa" w:w="1000"/>
            <w:vAlign w:val="center"/>
          </w:tcPr>
          <w:p>
            <w:pPr>
              <w:jc w:val="center"/>
            </w:pPr>
            <w:r>
              <w:rPr>
                <w:rFonts w:ascii="Calibri" w:cs="Calibri" w:eastAsia="Calibri" w:hAnsi="Calibri"/>
                <w:b w:val="false"/>
                <w:bCs w:val="false"/>
                <w:color w:val="000000"/>
                <w:sz w:val="18"/>
                <w:szCs w:val="18"/>
              </w:rPr>
              <w:t xml:space="preserve">0.6029</w:t>
            </w:r>
          </w:p>
        </w:tc>
        <w:tc>
          <w:tcPr>
            <w:tcW w:type="dxa" w:w="1000"/>
            <w:vAlign w:val="center"/>
          </w:tcPr>
          <w:p>
            <w:pPr>
              <w:jc w:val="center"/>
            </w:pPr>
            <w:r>
              <w:rPr>
                <w:rFonts w:ascii="Calibri" w:cs="Calibri" w:eastAsia="Calibri" w:hAnsi="Calibri"/>
                <w:b w:val="false"/>
                <w:bCs w:val="false"/>
                <w:color w:val="000000"/>
                <w:sz w:val="18"/>
                <w:szCs w:val="18"/>
              </w:rPr>
              <w:t xml:space="preserve">0.9105</w:t>
            </w:r>
          </w:p>
        </w:tc>
      </w:tr>
    </w:tbl>
    <w:p>
      <w:pPr>
        <w:spacing w:after="160" w:line="300"/>
        <w:jc w:val="both"/>
      </w:pPr>
      <w:r>
        <w:rPr>
          <w:rFonts w:ascii="Calibri" w:cs="Calibri" w:eastAsia="Calibri" w:hAnsi="Calibri"/>
          <w:b w:val="false"/>
          <w:bCs w:val="false"/>
          <w:i w:val="false"/>
          <w:iCs w:val="false"/>
          <w:sz w:val="22"/>
          <w:szCs w:val="22"/>
        </w:rPr>
        <w:t xml:space="preserve">LightGBM, tüm metriklerde en yüksek veya en yüksek ikinci performansı göstererek (F1(M)=0.9024, AUC=0.9703, MCC=0.8076) nihai model olarak seçilmiştir. Boosting tabanlı modellerin (LightGBM, XGBoost, CatBoost, Gradient Boosting) bagging tabanlı (Random Forest, Extra Trees) ve doğrusal modellere (Lojistik Regresyon, Naive Bayes) kıyasla sistematik olarak daha iyi performans göstermesi, verideki ilişkilerin doğrusal olmayan yapısına işaret etmektedir.</w:t>
      </w:r>
    </w:p>
    <w:p>
      <w:pPr>
        <w:pStyle w:val="Heading2"/>
        <w:spacing w:after="150" w:before="300"/>
      </w:pPr>
      <w:r>
        <w:t xml:space="preserve">5.3 Eşik Optimizasyonu ve Nihai Test Sonucu</w:t>
      </w:r>
    </w:p>
    <w:p>
      <w:pPr>
        <w:spacing w:after="160" w:line="300"/>
        <w:jc w:val="both"/>
      </w:pPr>
      <w:r>
        <w:rPr>
          <w:rFonts w:ascii="Calibri" w:cs="Calibri" w:eastAsia="Calibri" w:hAnsi="Calibri"/>
          <w:b w:val="false"/>
          <w:bCs w:val="false"/>
          <w:i w:val="false"/>
          <w:iCs w:val="false"/>
          <w:sz w:val="22"/>
          <w:szCs w:val="22"/>
        </w:rPr>
        <w:t xml:space="preserve">Eğitim setinin kutu-dışı tahminleri üzerinde yapılan eşik taramasında en iyi makro F1 değeri (0.9027) 0.48 eşiğinde elde edilmiştir. Bu eşik ile varsayılan 0.50 eşiği, test setinde karşılaştırmalı olarak değerlendirilmiştir:</w:t>
      </w:r>
    </w:p>
    <w:p>
      <w:pPr>
        <w:spacing w:after="240" w:before="60"/>
        <w:jc w:val="center"/>
      </w:pPr>
      <w:r>
        <w:rPr>
          <w:rFonts w:ascii="Calibri" w:cs="Calibri" w:eastAsia="Calibri" w:hAnsi="Calibri"/>
          <w:i/>
          <w:iCs/>
          <w:sz w:val="20"/>
          <w:szCs w:val="20"/>
        </w:rPr>
        <w:t xml:space="preserve">Tablo 5.2 — LightGBM modelinin test seti üzerindeki nihai performansı</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50"/>
        <w:gridCol w:w="1150"/>
        <w:gridCol w:w="1000"/>
        <w:gridCol w:w="1000"/>
        <w:gridCol w:w="1000"/>
        <w:gridCol w:w="1000"/>
      </w:tblGrid>
      <w:tr>
        <w:trPr>
          <w:tblHeader/>
        </w:trPr>
        <w:tc>
          <w:tcPr>
            <w:tcW w:type="dxa" w:w="1900"/>
            <w:shd w:fill="2F5496" w:val="clear"/>
            <w:vAlign w:val="center"/>
          </w:tcPr>
          <w:p>
            <w:pPr>
              <w:jc w:val="center"/>
            </w:pPr>
            <w:r>
              <w:rPr>
                <w:rFonts w:ascii="Calibri" w:cs="Calibri" w:eastAsia="Calibri" w:hAnsi="Calibri"/>
                <w:b/>
                <w:bCs/>
                <w:color w:val="FFFFFF"/>
                <w:sz w:val="18"/>
                <w:szCs w:val="18"/>
              </w:rPr>
              <w:t xml:space="preserve">Eşik</w:t>
            </w:r>
          </w:p>
        </w:tc>
        <w:tc>
          <w:tcPr>
            <w:tcW w:type="dxa" w:w="1100"/>
            <w:shd w:fill="2F5496" w:val="clear"/>
            <w:vAlign w:val="center"/>
          </w:tcPr>
          <w:p>
            <w:pPr>
              <w:jc w:val="center"/>
            </w:pPr>
            <w:r>
              <w:rPr>
                <w:rFonts w:ascii="Calibri" w:cs="Calibri" w:eastAsia="Calibri" w:hAnsi="Calibri"/>
                <w:b/>
                <w:bCs/>
                <w:color w:val="FFFFFF"/>
                <w:sz w:val="18"/>
                <w:szCs w:val="18"/>
              </w:rPr>
              <w:t xml:space="preserve">Doğruluk</w:t>
            </w:r>
          </w:p>
        </w:tc>
        <w:tc>
          <w:tcPr>
            <w:tcW w:type="dxa" w:w="1150"/>
            <w:shd w:fill="2F5496" w:val="clear"/>
            <w:vAlign w:val="center"/>
          </w:tcPr>
          <w:p>
            <w:pPr>
              <w:jc w:val="center"/>
            </w:pPr>
            <w:r>
              <w:rPr>
                <w:rFonts w:ascii="Calibri" w:cs="Calibri" w:eastAsia="Calibri" w:hAnsi="Calibri"/>
                <w:b/>
                <w:bCs/>
                <w:color w:val="FFFFFF"/>
                <w:sz w:val="18"/>
                <w:szCs w:val="18"/>
              </w:rPr>
              <w:t xml:space="preserve">Kesinlik(M)</w:t>
            </w:r>
          </w:p>
        </w:tc>
        <w:tc>
          <w:tcPr>
            <w:tcW w:type="dxa" w:w="1150"/>
            <w:shd w:fill="2F5496" w:val="clear"/>
            <w:vAlign w:val="center"/>
          </w:tcPr>
          <w:p>
            <w:pPr>
              <w:jc w:val="center"/>
            </w:pPr>
            <w:r>
              <w:rPr>
                <w:rFonts w:ascii="Calibri" w:cs="Calibri" w:eastAsia="Calibri" w:hAnsi="Calibri"/>
                <w:b/>
                <w:bCs/>
                <w:color w:val="FFFFFF"/>
                <w:sz w:val="18"/>
                <w:szCs w:val="18"/>
              </w:rPr>
              <w:t xml:space="preserve">Duyarlılık(M)</w:t>
            </w:r>
          </w:p>
        </w:tc>
        <w:tc>
          <w:tcPr>
            <w:tcW w:type="dxa" w:w="1000"/>
            <w:shd w:fill="2F5496" w:val="clear"/>
            <w:vAlign w:val="center"/>
          </w:tcPr>
          <w:p>
            <w:pPr>
              <w:jc w:val="center"/>
            </w:pPr>
            <w:r>
              <w:rPr>
                <w:rFonts w:ascii="Calibri" w:cs="Calibri" w:eastAsia="Calibri" w:hAnsi="Calibri"/>
                <w:b/>
                <w:bCs/>
                <w:color w:val="FFFFFF"/>
                <w:sz w:val="18"/>
                <w:szCs w:val="18"/>
              </w:rPr>
              <w:t xml:space="preserve">F1(M)</w:t>
            </w:r>
          </w:p>
        </w:tc>
        <w:tc>
          <w:tcPr>
            <w:tcW w:type="dxa" w:w="1000"/>
            <w:shd w:fill="2F5496" w:val="clear"/>
            <w:vAlign w:val="center"/>
          </w:tcPr>
          <w:p>
            <w:pPr>
              <w:jc w:val="center"/>
            </w:pPr>
            <w:r>
              <w:rPr>
                <w:rFonts w:ascii="Calibri" w:cs="Calibri" w:eastAsia="Calibri" w:hAnsi="Calibri"/>
                <w:b/>
                <w:bCs/>
                <w:color w:val="FFFFFF"/>
                <w:sz w:val="18"/>
                <w:szCs w:val="18"/>
              </w:rPr>
              <w:t xml:space="preserve">Kappa</w:t>
            </w:r>
          </w:p>
        </w:tc>
        <w:tc>
          <w:tcPr>
            <w:tcW w:type="dxa" w:w="1000"/>
            <w:shd w:fill="2F5496" w:val="clear"/>
            <w:vAlign w:val="center"/>
          </w:tcPr>
          <w:p>
            <w:pPr>
              <w:jc w:val="center"/>
            </w:pPr>
            <w:r>
              <w:rPr>
                <w:rFonts w:ascii="Calibri" w:cs="Calibri" w:eastAsia="Calibri" w:hAnsi="Calibri"/>
                <w:b/>
                <w:bCs/>
                <w:color w:val="FFFFFF"/>
                <w:sz w:val="18"/>
                <w:szCs w:val="18"/>
              </w:rPr>
              <w:t xml:space="preserve">MCC</w:t>
            </w:r>
          </w:p>
        </w:tc>
        <w:tc>
          <w:tcPr>
            <w:tcW w:type="dxa" w:w="1000"/>
            <w:shd w:fill="2F5496" w:val="clear"/>
            <w:vAlign w:val="center"/>
          </w:tcPr>
          <w:p>
            <w:pPr>
              <w:jc w:val="center"/>
            </w:pPr>
            <w:r>
              <w:rPr>
                <w:rFonts w:ascii="Calibri" w:cs="Calibri" w:eastAsia="Calibri" w:hAnsi="Calibri"/>
                <w:b/>
                <w:bCs/>
                <w:color w:val="FFFFFF"/>
                <w:sz w:val="18"/>
                <w:szCs w:val="18"/>
              </w:rPr>
              <w:t xml:space="preserve">AUC</w:t>
            </w:r>
          </w:p>
        </w:tc>
      </w:tr>
      <w:tr>
        <w:tc>
          <w:tcPr>
            <w:tcW w:type="dxa" w:w="1900"/>
            <w:vAlign w:val="center"/>
          </w:tcPr>
          <w:p>
            <w:pPr>
              <w:jc w:val="center"/>
            </w:pPr>
            <w:r>
              <w:rPr>
                <w:rFonts w:ascii="Calibri" w:cs="Calibri" w:eastAsia="Calibri" w:hAnsi="Calibri"/>
                <w:b w:val="false"/>
                <w:bCs w:val="false"/>
                <w:color w:val="000000"/>
                <w:sz w:val="18"/>
                <w:szCs w:val="18"/>
              </w:rPr>
              <w:t xml:space="preserve">Varsayılan (t=0.50)</w:t>
            </w:r>
          </w:p>
        </w:tc>
        <w:tc>
          <w:tcPr>
            <w:tcW w:type="dxa" w:w="1100"/>
            <w:vAlign w:val="center"/>
          </w:tcPr>
          <w:p>
            <w:pPr>
              <w:jc w:val="center"/>
            </w:pPr>
            <w:r>
              <w:rPr>
                <w:rFonts w:ascii="Calibri" w:cs="Calibri" w:eastAsia="Calibri" w:hAnsi="Calibri"/>
                <w:b w:val="false"/>
                <w:bCs w:val="false"/>
                <w:color w:val="000000"/>
                <w:sz w:val="18"/>
                <w:szCs w:val="18"/>
              </w:rPr>
              <w:t xml:space="preserve">0.9523</w:t>
            </w:r>
          </w:p>
        </w:tc>
        <w:tc>
          <w:tcPr>
            <w:tcW w:type="dxa" w:w="1150"/>
            <w:vAlign w:val="center"/>
          </w:tcPr>
          <w:p>
            <w:pPr>
              <w:jc w:val="center"/>
            </w:pPr>
            <w:r>
              <w:rPr>
                <w:rFonts w:ascii="Calibri" w:cs="Calibri" w:eastAsia="Calibri" w:hAnsi="Calibri"/>
                <w:b w:val="false"/>
                <w:bCs w:val="false"/>
                <w:color w:val="000000"/>
                <w:sz w:val="18"/>
                <w:szCs w:val="18"/>
              </w:rPr>
              <w:t xml:space="preserve">0.9157</w:t>
            </w:r>
          </w:p>
        </w:tc>
        <w:tc>
          <w:tcPr>
            <w:tcW w:type="dxa" w:w="1150"/>
            <w:vAlign w:val="center"/>
          </w:tcPr>
          <w:p>
            <w:pPr>
              <w:jc w:val="center"/>
            </w:pPr>
            <w:r>
              <w:rPr>
                <w:rFonts w:ascii="Calibri" w:cs="Calibri" w:eastAsia="Calibri" w:hAnsi="Calibri"/>
                <w:b w:val="false"/>
                <w:bCs w:val="false"/>
                <w:color w:val="000000"/>
                <w:sz w:val="18"/>
                <w:szCs w:val="18"/>
              </w:rPr>
              <w:t xml:space="preserve">0.8635</w:t>
            </w:r>
          </w:p>
        </w:tc>
        <w:tc>
          <w:tcPr>
            <w:tcW w:type="dxa" w:w="1000"/>
            <w:vAlign w:val="center"/>
          </w:tcPr>
          <w:p>
            <w:pPr>
              <w:jc w:val="center"/>
            </w:pPr>
            <w:r>
              <w:rPr>
                <w:rFonts w:ascii="Calibri" w:cs="Calibri" w:eastAsia="Calibri" w:hAnsi="Calibri"/>
                <w:b w:val="false"/>
                <w:bCs w:val="false"/>
                <w:color w:val="000000"/>
                <w:sz w:val="18"/>
                <w:szCs w:val="18"/>
              </w:rPr>
              <w:t xml:space="preserve">0.8871</w:t>
            </w:r>
          </w:p>
        </w:tc>
        <w:tc>
          <w:tcPr>
            <w:tcW w:type="dxa" w:w="1000"/>
            <w:vAlign w:val="center"/>
          </w:tcPr>
          <w:p>
            <w:pPr>
              <w:jc w:val="center"/>
            </w:pPr>
            <w:r>
              <w:rPr>
                <w:rFonts w:ascii="Calibri" w:cs="Calibri" w:eastAsia="Calibri" w:hAnsi="Calibri"/>
                <w:b w:val="false"/>
                <w:bCs w:val="false"/>
                <w:color w:val="000000"/>
                <w:sz w:val="18"/>
                <w:szCs w:val="18"/>
              </w:rPr>
              <w:t xml:space="preserve">0.7744</w:t>
            </w:r>
          </w:p>
        </w:tc>
        <w:tc>
          <w:tcPr>
            <w:tcW w:type="dxa" w:w="1000"/>
            <w:vAlign w:val="center"/>
          </w:tcPr>
          <w:p>
            <w:pPr>
              <w:jc w:val="center"/>
            </w:pPr>
            <w:r>
              <w:rPr>
                <w:rFonts w:ascii="Calibri" w:cs="Calibri" w:eastAsia="Calibri" w:hAnsi="Calibri"/>
                <w:b w:val="false"/>
                <w:bCs w:val="false"/>
                <w:color w:val="000000"/>
                <w:sz w:val="18"/>
                <w:szCs w:val="18"/>
              </w:rPr>
              <w:t xml:space="preserve">0.7774</w:t>
            </w:r>
          </w:p>
        </w:tc>
        <w:tc>
          <w:tcPr>
            <w:tcW w:type="dxa" w:w="1000"/>
            <w:vAlign w:val="center"/>
          </w:tcPr>
          <w:p>
            <w:pPr>
              <w:jc w:val="center"/>
            </w:pPr>
            <w:r>
              <w:rPr>
                <w:rFonts w:ascii="Calibri" w:cs="Calibri" w:eastAsia="Calibri" w:hAnsi="Calibri"/>
                <w:b w:val="false"/>
                <w:bCs w:val="false"/>
                <w:color w:val="000000"/>
                <w:sz w:val="18"/>
                <w:szCs w:val="18"/>
              </w:rPr>
              <w:t xml:space="preserve">0.9707</w:t>
            </w:r>
          </w:p>
        </w:tc>
      </w:tr>
      <w:tr>
        <w:tc>
          <w:tcPr>
            <w:tcW w:type="dxa" w:w="1900"/>
            <w:vAlign w:val="center"/>
          </w:tcPr>
          <w:p>
            <w:pPr>
              <w:jc w:val="center"/>
            </w:pPr>
            <w:r>
              <w:rPr>
                <w:rFonts w:ascii="Calibri" w:cs="Calibri" w:eastAsia="Calibri" w:hAnsi="Calibri"/>
                <w:b w:val="false"/>
                <w:bCs w:val="false"/>
                <w:color w:val="000000"/>
                <w:sz w:val="18"/>
                <w:szCs w:val="18"/>
              </w:rPr>
              <w:t xml:space="preserve">Optimize (t=0.48)</w:t>
            </w:r>
          </w:p>
        </w:tc>
        <w:tc>
          <w:tcPr>
            <w:tcW w:type="dxa" w:w="1100"/>
            <w:vAlign w:val="center"/>
          </w:tcPr>
          <w:p>
            <w:pPr>
              <w:jc w:val="center"/>
            </w:pPr>
            <w:r>
              <w:rPr>
                <w:rFonts w:ascii="Calibri" w:cs="Calibri" w:eastAsia="Calibri" w:hAnsi="Calibri"/>
                <w:b w:val="false"/>
                <w:bCs w:val="false"/>
                <w:color w:val="000000"/>
                <w:sz w:val="18"/>
                <w:szCs w:val="18"/>
              </w:rPr>
              <w:t xml:space="preserve">0.9523</w:t>
            </w:r>
          </w:p>
        </w:tc>
        <w:tc>
          <w:tcPr>
            <w:tcW w:type="dxa" w:w="1150"/>
            <w:vAlign w:val="center"/>
          </w:tcPr>
          <w:p>
            <w:pPr>
              <w:jc w:val="center"/>
            </w:pPr>
            <w:r>
              <w:rPr>
                <w:rFonts w:ascii="Calibri" w:cs="Calibri" w:eastAsia="Calibri" w:hAnsi="Calibri"/>
                <w:b w:val="false"/>
                <w:bCs w:val="false"/>
                <w:color w:val="000000"/>
                <w:sz w:val="18"/>
                <w:szCs w:val="18"/>
              </w:rPr>
              <w:t xml:space="preserve">0.9134</w:t>
            </w:r>
          </w:p>
        </w:tc>
        <w:tc>
          <w:tcPr>
            <w:tcW w:type="dxa" w:w="1150"/>
            <w:vAlign w:val="center"/>
          </w:tcPr>
          <w:p>
            <w:pPr>
              <w:jc w:val="center"/>
            </w:pPr>
            <w:r>
              <w:rPr>
                <w:rFonts w:ascii="Calibri" w:cs="Calibri" w:eastAsia="Calibri" w:hAnsi="Calibri"/>
                <w:b w:val="false"/>
                <w:bCs w:val="false"/>
                <w:color w:val="000000"/>
                <w:sz w:val="18"/>
                <w:szCs w:val="18"/>
              </w:rPr>
              <w:t xml:space="preserve">0.8662</w:t>
            </w:r>
          </w:p>
        </w:tc>
        <w:tc>
          <w:tcPr>
            <w:tcW w:type="dxa" w:w="1000"/>
            <w:vAlign w:val="center"/>
          </w:tcPr>
          <w:p>
            <w:pPr>
              <w:jc w:val="center"/>
            </w:pPr>
            <w:r>
              <w:rPr>
                <w:rFonts w:ascii="Calibri" w:cs="Calibri" w:eastAsia="Calibri" w:hAnsi="Calibri"/>
                <w:b w:val="false"/>
                <w:bCs w:val="false"/>
                <w:color w:val="000000"/>
                <w:sz w:val="18"/>
                <w:szCs w:val="18"/>
              </w:rPr>
              <w:t xml:space="preserve">0.8878</w:t>
            </w:r>
          </w:p>
        </w:tc>
        <w:tc>
          <w:tcPr>
            <w:tcW w:type="dxa" w:w="1000"/>
            <w:vAlign w:val="center"/>
          </w:tcPr>
          <w:p>
            <w:pPr>
              <w:jc w:val="center"/>
            </w:pPr>
            <w:r>
              <w:rPr>
                <w:rFonts w:ascii="Calibri" w:cs="Calibri" w:eastAsia="Calibri" w:hAnsi="Calibri"/>
                <w:b w:val="false"/>
                <w:bCs w:val="false"/>
                <w:color w:val="000000"/>
                <w:sz w:val="18"/>
                <w:szCs w:val="18"/>
              </w:rPr>
              <w:t xml:space="preserve">0.7757</w:t>
            </w:r>
          </w:p>
        </w:tc>
        <w:tc>
          <w:tcPr>
            <w:tcW w:type="dxa" w:w="1000"/>
            <w:vAlign w:val="center"/>
          </w:tcPr>
          <w:p>
            <w:pPr>
              <w:jc w:val="center"/>
            </w:pPr>
            <w:r>
              <w:rPr>
                <w:rFonts w:ascii="Calibri" w:cs="Calibri" w:eastAsia="Calibri" w:hAnsi="Calibri"/>
                <w:b w:val="false"/>
                <w:bCs w:val="false"/>
                <w:color w:val="000000"/>
                <w:sz w:val="18"/>
                <w:szCs w:val="18"/>
              </w:rPr>
              <w:t xml:space="preserve">0.7782</w:t>
            </w:r>
          </w:p>
        </w:tc>
        <w:tc>
          <w:tcPr>
            <w:tcW w:type="dxa" w:w="1000"/>
            <w:vAlign w:val="center"/>
          </w:tcPr>
          <w:p>
            <w:pPr>
              <w:jc w:val="center"/>
            </w:pPr>
            <w:r>
              <w:rPr>
                <w:rFonts w:ascii="Calibri" w:cs="Calibri" w:eastAsia="Calibri" w:hAnsi="Calibri"/>
                <w:b w:val="false"/>
                <w:bCs w:val="false"/>
                <w:color w:val="000000"/>
                <w:sz w:val="18"/>
                <w:szCs w:val="18"/>
              </w:rPr>
              <w:t xml:space="preserve">0.9707</w:t>
            </w:r>
          </w:p>
        </w:tc>
      </w:tr>
    </w:tbl>
    <w:p>
      <w:pPr>
        <w:spacing w:after="160" w:line="300"/>
        <w:jc w:val="both"/>
      </w:pPr>
      <w:r>
        <w:rPr>
          <w:rFonts w:ascii="Calibri" w:cs="Calibri" w:eastAsia="Calibri" w:hAnsi="Calibri"/>
          <w:b w:val="false"/>
          <w:bCs w:val="false"/>
          <w:i w:val="false"/>
          <w:iCs w:val="false"/>
          <w:sz w:val="22"/>
          <w:szCs w:val="22"/>
        </w:rPr>
        <w:t xml:space="preserve">İki eşik arasındaki fark ihmal edilebilir düzeydedir (ΔF1(M)=0.0007), bu da modelin eşik seçimine karşı kararlı (robust) olduğunu göstermektedir. Ayrıca test setindeki F1(M) skorunun (0.8871–0.8878) eğitim setinin çapraz doğrulama skoruna (0.9024) yakın olması, modelin aşırı öğrenme (overfitting) göstermediğine ve genellenebilir olduğuna işaret etmektedir.</w:t>
      </w:r>
    </w:p>
    <w:p>
      <w:pPr>
        <w:pStyle w:val="Heading2"/>
        <w:spacing w:after="150" w:before="300"/>
      </w:pPr>
      <w:r>
        <w:t xml:space="preserve">5.4 SHAP Analizi</w:t>
      </w:r>
    </w:p>
    <w:p>
      <w:pPr>
        <w:spacing w:after="240" w:before="60"/>
        <w:jc w:val="center"/>
      </w:pPr>
      <w:r>
        <w:rPr>
          <w:rFonts w:ascii="Calibri" w:cs="Calibri" w:eastAsia="Calibri" w:hAnsi="Calibri"/>
          <w:i/>
          <w:iCs/>
          <w:sz w:val="20"/>
          <w:szCs w:val="20"/>
        </w:rPr>
        <w:t xml:space="preserve">Tablo 5.3 — SHAP ortalama mutlak katkıya göre en önemli 10 öznitelik</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1800"/>
      </w:tblGrid>
      <w:tr>
        <w:trPr>
          <w:tblHeader/>
        </w:trPr>
        <w:tc>
          <w:tcPr>
            <w:tcW w:type="dxa" w:w="900"/>
            <w:shd w:fill="2F5496" w:val="clear"/>
            <w:vAlign w:val="center"/>
          </w:tcPr>
          <w:p>
            <w:pPr>
              <w:jc w:val="center"/>
            </w:pPr>
            <w:r>
              <w:rPr>
                <w:rFonts w:ascii="Calibri" w:cs="Calibri" w:eastAsia="Calibri" w:hAnsi="Calibri"/>
                <w:b/>
                <w:bCs/>
                <w:color w:val="FFFFFF"/>
                <w:sz w:val="18"/>
                <w:szCs w:val="18"/>
              </w:rPr>
              <w:t xml:space="preserve">Sıra</w:t>
            </w:r>
          </w:p>
        </w:tc>
        <w:tc>
          <w:tcPr>
            <w:tcW w:type="dxa" w:w="4600"/>
            <w:shd w:fill="2F5496" w:val="clear"/>
            <w:vAlign w:val="center"/>
          </w:tcPr>
          <w:p>
            <w:pPr>
              <w:jc w:val="center"/>
            </w:pPr>
            <w:r>
              <w:rPr>
                <w:rFonts w:ascii="Calibri" w:cs="Calibri" w:eastAsia="Calibri" w:hAnsi="Calibri"/>
                <w:b/>
                <w:bCs/>
                <w:color w:val="FFFFFF"/>
                <w:sz w:val="18"/>
                <w:szCs w:val="18"/>
              </w:rPr>
              <w:t xml:space="preserve">Öznitelik</w:t>
            </w:r>
          </w:p>
        </w:tc>
        <w:tc>
          <w:tcPr>
            <w:tcW w:type="dxa" w:w="1800"/>
            <w:shd w:fill="2F5496" w:val="clear"/>
            <w:vAlign w:val="center"/>
          </w:tcPr>
          <w:p>
            <w:pPr>
              <w:jc w:val="center"/>
            </w:pPr>
            <w:r>
              <w:rPr>
                <w:rFonts w:ascii="Calibri" w:cs="Calibri" w:eastAsia="Calibri" w:hAnsi="Calibri"/>
                <w:b/>
                <w:bCs/>
                <w:color w:val="FFFFFF"/>
                <w:sz w:val="18"/>
                <w:szCs w:val="18"/>
              </w:rPr>
              <w:t xml:space="preserve">Ortalama |SHAP|</w:t>
            </w:r>
          </w:p>
        </w:tc>
      </w:tr>
      <w:tr>
        <w:tc>
          <w:tcPr>
            <w:tcW w:type="dxa" w:w="900"/>
            <w:vAlign w:val="center"/>
          </w:tcPr>
          <w:p>
            <w:pPr>
              <w:jc w:val="center"/>
            </w:pPr>
            <w:r>
              <w:rPr>
                <w:rFonts w:ascii="Calibri" w:cs="Calibri" w:eastAsia="Calibri" w:hAnsi="Calibri"/>
                <w:b w:val="false"/>
                <w:bCs w:val="false"/>
                <w:color w:val="000000"/>
                <w:sz w:val="18"/>
                <w:szCs w:val="18"/>
              </w:rPr>
              <w:t xml:space="preserve">1</w:t>
            </w:r>
          </w:p>
        </w:tc>
        <w:tc>
          <w:tcPr>
            <w:tcW w:type="dxa" w:w="4600"/>
            <w:vAlign w:val="center"/>
          </w:tcPr>
          <w:p>
            <w:pPr>
              <w:jc w:val="center"/>
            </w:pPr>
            <w:r>
              <w:rPr>
                <w:rFonts w:ascii="Calibri" w:cs="Calibri" w:eastAsia="Calibri" w:hAnsi="Calibri"/>
                <w:b w:val="false"/>
                <w:bCs w:val="false"/>
                <w:color w:val="000000"/>
                <w:sz w:val="18"/>
                <w:szCs w:val="18"/>
              </w:rPr>
              <w:t xml:space="preserve">cdc15_ls_band_power</w:t>
            </w:r>
          </w:p>
        </w:tc>
        <w:tc>
          <w:tcPr>
            <w:tcW w:type="dxa" w:w="1800"/>
            <w:vAlign w:val="center"/>
          </w:tcPr>
          <w:p>
            <w:pPr>
              <w:jc w:val="center"/>
            </w:pPr>
            <w:r>
              <w:rPr>
                <w:rFonts w:ascii="Calibri" w:cs="Calibri" w:eastAsia="Calibri" w:hAnsi="Calibri"/>
                <w:b w:val="false"/>
                <w:bCs w:val="false"/>
                <w:color w:val="000000"/>
                <w:sz w:val="18"/>
                <w:szCs w:val="18"/>
              </w:rPr>
              <w:t xml:space="preserve">1.237</w:t>
            </w:r>
          </w:p>
        </w:tc>
      </w:tr>
      <w:tr>
        <w:tc>
          <w:tcPr>
            <w:tcW w:type="dxa" w:w="900"/>
            <w:vAlign w:val="center"/>
          </w:tcPr>
          <w:p>
            <w:pPr>
              <w:jc w:val="center"/>
            </w:pPr>
            <w:r>
              <w:rPr>
                <w:rFonts w:ascii="Calibri" w:cs="Calibri" w:eastAsia="Calibri" w:hAnsi="Calibri"/>
                <w:b w:val="false"/>
                <w:bCs w:val="false"/>
                <w:color w:val="000000"/>
                <w:sz w:val="18"/>
                <w:szCs w:val="18"/>
              </w:rPr>
              <w:t xml:space="preserve">2</w:t>
            </w:r>
          </w:p>
        </w:tc>
        <w:tc>
          <w:tcPr>
            <w:tcW w:type="dxa" w:w="4600"/>
            <w:vAlign w:val="center"/>
          </w:tcPr>
          <w:p>
            <w:pPr>
              <w:jc w:val="center"/>
            </w:pPr>
            <w:r>
              <w:rPr>
                <w:rFonts w:ascii="Calibri" w:cs="Calibri" w:eastAsia="Calibri" w:hAnsi="Calibri"/>
                <w:b w:val="false"/>
                <w:bCs w:val="false"/>
                <w:color w:val="000000"/>
                <w:sz w:val="18"/>
                <w:szCs w:val="18"/>
              </w:rPr>
              <w:t xml:space="preserve">cross_ls_band_power_mean</w:t>
            </w:r>
          </w:p>
        </w:tc>
        <w:tc>
          <w:tcPr>
            <w:tcW w:type="dxa" w:w="1800"/>
            <w:vAlign w:val="center"/>
          </w:tcPr>
          <w:p>
            <w:pPr>
              <w:jc w:val="center"/>
            </w:pPr>
            <w:r>
              <w:rPr>
                <w:rFonts w:ascii="Calibri" w:cs="Calibri" w:eastAsia="Calibri" w:hAnsi="Calibri"/>
                <w:b w:val="false"/>
                <w:bCs w:val="false"/>
                <w:color w:val="000000"/>
                <w:sz w:val="18"/>
                <w:szCs w:val="18"/>
              </w:rPr>
              <w:t xml:space="preserve">1.078</w:t>
            </w:r>
          </w:p>
        </w:tc>
      </w:tr>
      <w:tr>
        <w:tc>
          <w:tcPr>
            <w:tcW w:type="dxa" w:w="900"/>
            <w:vAlign w:val="center"/>
          </w:tcPr>
          <w:p>
            <w:pPr>
              <w:jc w:val="center"/>
            </w:pPr>
            <w:r>
              <w:rPr>
                <w:rFonts w:ascii="Calibri" w:cs="Calibri" w:eastAsia="Calibri" w:hAnsi="Calibri"/>
                <w:b w:val="false"/>
                <w:bCs w:val="false"/>
                <w:color w:val="000000"/>
                <w:sz w:val="18"/>
                <w:szCs w:val="18"/>
              </w:rPr>
              <w:t xml:space="preserve">3</w:t>
            </w:r>
          </w:p>
        </w:tc>
        <w:tc>
          <w:tcPr>
            <w:tcW w:type="dxa" w:w="4600"/>
            <w:vAlign w:val="center"/>
          </w:tcPr>
          <w:p>
            <w:pPr>
              <w:jc w:val="center"/>
            </w:pPr>
            <w:r>
              <w:rPr>
                <w:rFonts w:ascii="Calibri" w:cs="Calibri" w:eastAsia="Calibri" w:hAnsi="Calibri"/>
                <w:b w:val="false"/>
                <w:bCs w:val="false"/>
                <w:color w:val="000000"/>
                <w:sz w:val="18"/>
                <w:szCs w:val="18"/>
              </w:rPr>
              <w:t xml:space="preserve">cross_std_mean</w:t>
            </w:r>
          </w:p>
        </w:tc>
        <w:tc>
          <w:tcPr>
            <w:tcW w:type="dxa" w:w="1800"/>
            <w:vAlign w:val="center"/>
          </w:tcPr>
          <w:p>
            <w:pPr>
              <w:jc w:val="center"/>
            </w:pPr>
            <w:r>
              <w:rPr>
                <w:rFonts w:ascii="Calibri" w:cs="Calibri" w:eastAsia="Calibri" w:hAnsi="Calibri"/>
                <w:b w:val="false"/>
                <w:bCs w:val="false"/>
                <w:color w:val="000000"/>
                <w:sz w:val="18"/>
                <w:szCs w:val="18"/>
              </w:rPr>
              <w:t xml:space="preserve">0.801</w:t>
            </w:r>
          </w:p>
        </w:tc>
      </w:tr>
      <w:tr>
        <w:tc>
          <w:tcPr>
            <w:tcW w:type="dxa" w:w="900"/>
            <w:vAlign w:val="center"/>
          </w:tcPr>
          <w:p>
            <w:pPr>
              <w:jc w:val="center"/>
            </w:pPr>
            <w:r>
              <w:rPr>
                <w:rFonts w:ascii="Calibri" w:cs="Calibri" w:eastAsia="Calibri" w:hAnsi="Calibri"/>
                <w:b w:val="false"/>
                <w:bCs w:val="false"/>
                <w:color w:val="000000"/>
                <w:sz w:val="18"/>
                <w:szCs w:val="18"/>
              </w:rPr>
              <w:t xml:space="preserve">4</w:t>
            </w:r>
          </w:p>
        </w:tc>
        <w:tc>
          <w:tcPr>
            <w:tcW w:type="dxa" w:w="4600"/>
            <w:vAlign w:val="center"/>
          </w:tcPr>
          <w:p>
            <w:pPr>
              <w:jc w:val="center"/>
            </w:pPr>
            <w:r>
              <w:rPr>
                <w:rFonts w:ascii="Calibri" w:cs="Calibri" w:eastAsia="Calibri" w:hAnsi="Calibri"/>
                <w:b w:val="false"/>
                <w:bCs w:val="false"/>
                <w:color w:val="000000"/>
                <w:sz w:val="18"/>
                <w:szCs w:val="18"/>
              </w:rPr>
              <w:t xml:space="preserve">cdc15_sin_amplitude</w:t>
            </w:r>
          </w:p>
        </w:tc>
        <w:tc>
          <w:tcPr>
            <w:tcW w:type="dxa" w:w="1800"/>
            <w:vAlign w:val="center"/>
          </w:tcPr>
          <w:p>
            <w:pPr>
              <w:jc w:val="center"/>
            </w:pPr>
            <w:r>
              <w:rPr>
                <w:rFonts w:ascii="Calibri" w:cs="Calibri" w:eastAsia="Calibri" w:hAnsi="Calibri"/>
                <w:b w:val="false"/>
                <w:bCs w:val="false"/>
                <w:color w:val="000000"/>
                <w:sz w:val="18"/>
                <w:szCs w:val="18"/>
              </w:rPr>
              <w:t xml:space="preserve">0.640</w:t>
            </w:r>
          </w:p>
        </w:tc>
      </w:tr>
      <w:tr>
        <w:tc>
          <w:tcPr>
            <w:tcW w:type="dxa" w:w="900"/>
            <w:vAlign w:val="center"/>
          </w:tcPr>
          <w:p>
            <w:pPr>
              <w:jc w:val="center"/>
            </w:pPr>
            <w:r>
              <w:rPr>
                <w:rFonts w:ascii="Calibri" w:cs="Calibri" w:eastAsia="Calibri" w:hAnsi="Calibri"/>
                <w:b w:val="false"/>
                <w:bCs w:val="false"/>
                <w:color w:val="000000"/>
                <w:sz w:val="18"/>
                <w:szCs w:val="18"/>
              </w:rPr>
              <w:t xml:space="preserve">5</w:t>
            </w:r>
          </w:p>
        </w:tc>
        <w:tc>
          <w:tcPr>
            <w:tcW w:type="dxa" w:w="4600"/>
            <w:vAlign w:val="center"/>
          </w:tcPr>
          <w:p>
            <w:pPr>
              <w:jc w:val="center"/>
            </w:pPr>
            <w:r>
              <w:rPr>
                <w:rFonts w:ascii="Calibri" w:cs="Calibri" w:eastAsia="Calibri" w:hAnsi="Calibri"/>
                <w:b w:val="false"/>
                <w:bCs w:val="false"/>
                <w:color w:val="000000"/>
                <w:sz w:val="18"/>
                <w:szCs w:val="18"/>
              </w:rPr>
              <w:t xml:space="preserve">cdc15_sin_freq</w:t>
            </w:r>
          </w:p>
        </w:tc>
        <w:tc>
          <w:tcPr>
            <w:tcW w:type="dxa" w:w="1800"/>
            <w:vAlign w:val="center"/>
          </w:tcPr>
          <w:p>
            <w:pPr>
              <w:jc w:val="center"/>
            </w:pPr>
            <w:r>
              <w:rPr>
                <w:rFonts w:ascii="Calibri" w:cs="Calibri" w:eastAsia="Calibri" w:hAnsi="Calibri"/>
                <w:b w:val="false"/>
                <w:bCs w:val="false"/>
                <w:color w:val="000000"/>
                <w:sz w:val="18"/>
                <w:szCs w:val="18"/>
              </w:rPr>
              <w:t xml:space="preserve">0.625</w:t>
            </w:r>
          </w:p>
        </w:tc>
      </w:tr>
      <w:tr>
        <w:tc>
          <w:tcPr>
            <w:tcW w:type="dxa" w:w="900"/>
            <w:vAlign w:val="center"/>
          </w:tcPr>
          <w:p>
            <w:pPr>
              <w:jc w:val="center"/>
            </w:pPr>
            <w:r>
              <w:rPr>
                <w:rFonts w:ascii="Calibri" w:cs="Calibri" w:eastAsia="Calibri" w:hAnsi="Calibri"/>
                <w:b w:val="false"/>
                <w:bCs w:val="false"/>
                <w:color w:val="000000"/>
                <w:sz w:val="18"/>
                <w:szCs w:val="18"/>
              </w:rPr>
              <w:t xml:space="preserve">6</w:t>
            </w:r>
          </w:p>
        </w:tc>
        <w:tc>
          <w:tcPr>
            <w:tcW w:type="dxa" w:w="4600"/>
            <w:vAlign w:val="center"/>
          </w:tcPr>
          <w:p>
            <w:pPr>
              <w:jc w:val="center"/>
            </w:pPr>
            <w:r>
              <w:rPr>
                <w:rFonts w:ascii="Calibri" w:cs="Calibri" w:eastAsia="Calibri" w:hAnsi="Calibri"/>
                <w:b w:val="false"/>
                <w:bCs w:val="false"/>
                <w:color w:val="000000"/>
                <w:sz w:val="18"/>
                <w:szCs w:val="18"/>
              </w:rPr>
              <w:t xml:space="preserve">cdc15_ls_dominant_period</w:t>
            </w:r>
          </w:p>
        </w:tc>
        <w:tc>
          <w:tcPr>
            <w:tcW w:type="dxa" w:w="1800"/>
            <w:vAlign w:val="center"/>
          </w:tcPr>
          <w:p>
            <w:pPr>
              <w:jc w:val="center"/>
            </w:pPr>
            <w:r>
              <w:rPr>
                <w:rFonts w:ascii="Calibri" w:cs="Calibri" w:eastAsia="Calibri" w:hAnsi="Calibri"/>
                <w:b w:val="false"/>
                <w:bCs w:val="false"/>
                <w:color w:val="000000"/>
                <w:sz w:val="18"/>
                <w:szCs w:val="18"/>
              </w:rPr>
              <w:t xml:space="preserve">0.593</w:t>
            </w:r>
          </w:p>
        </w:tc>
      </w:tr>
      <w:tr>
        <w:tc>
          <w:tcPr>
            <w:tcW w:type="dxa" w:w="900"/>
            <w:vAlign w:val="center"/>
          </w:tcPr>
          <w:p>
            <w:pPr>
              <w:jc w:val="center"/>
            </w:pPr>
            <w:r>
              <w:rPr>
                <w:rFonts w:ascii="Calibri" w:cs="Calibri" w:eastAsia="Calibri" w:hAnsi="Calibri"/>
                <w:b w:val="false"/>
                <w:bCs w:val="false"/>
                <w:color w:val="000000"/>
                <w:sz w:val="18"/>
                <w:szCs w:val="18"/>
              </w:rPr>
              <w:t xml:space="preserve">7</w:t>
            </w:r>
          </w:p>
        </w:tc>
        <w:tc>
          <w:tcPr>
            <w:tcW w:type="dxa" w:w="4600"/>
            <w:vAlign w:val="center"/>
          </w:tcPr>
          <w:p>
            <w:pPr>
              <w:jc w:val="center"/>
            </w:pPr>
            <w:r>
              <w:rPr>
                <w:rFonts w:ascii="Calibri" w:cs="Calibri" w:eastAsia="Calibri" w:hAnsi="Calibri"/>
                <w:b w:val="false"/>
                <w:bCs w:val="false"/>
                <w:color w:val="000000"/>
                <w:sz w:val="18"/>
                <w:szCs w:val="18"/>
              </w:rPr>
              <w:t xml:space="preserve">cross_ls_band_power_min</w:t>
            </w:r>
          </w:p>
        </w:tc>
        <w:tc>
          <w:tcPr>
            <w:tcW w:type="dxa" w:w="1800"/>
            <w:vAlign w:val="center"/>
          </w:tcPr>
          <w:p>
            <w:pPr>
              <w:jc w:val="center"/>
            </w:pPr>
            <w:r>
              <w:rPr>
                <w:rFonts w:ascii="Calibri" w:cs="Calibri" w:eastAsia="Calibri" w:hAnsi="Calibri"/>
                <w:b w:val="false"/>
                <w:bCs w:val="false"/>
                <w:color w:val="000000"/>
                <w:sz w:val="18"/>
                <w:szCs w:val="18"/>
              </w:rPr>
              <w:t xml:space="preserve">0.564</w:t>
            </w:r>
          </w:p>
        </w:tc>
      </w:tr>
      <w:tr>
        <w:tc>
          <w:tcPr>
            <w:tcW w:type="dxa" w:w="900"/>
            <w:vAlign w:val="center"/>
          </w:tcPr>
          <w:p>
            <w:pPr>
              <w:jc w:val="center"/>
            </w:pPr>
            <w:r>
              <w:rPr>
                <w:rFonts w:ascii="Calibri" w:cs="Calibri" w:eastAsia="Calibri" w:hAnsi="Calibri"/>
                <w:b w:val="false"/>
                <w:bCs w:val="false"/>
                <w:color w:val="000000"/>
                <w:sz w:val="18"/>
                <w:szCs w:val="18"/>
              </w:rPr>
              <w:t xml:space="preserve">8</w:t>
            </w:r>
          </w:p>
        </w:tc>
        <w:tc>
          <w:tcPr>
            <w:tcW w:type="dxa" w:w="4600"/>
            <w:vAlign w:val="center"/>
          </w:tcPr>
          <w:p>
            <w:pPr>
              <w:jc w:val="center"/>
            </w:pPr>
            <w:r>
              <w:rPr>
                <w:rFonts w:ascii="Calibri" w:cs="Calibri" w:eastAsia="Calibri" w:hAnsi="Calibri"/>
                <w:b w:val="false"/>
                <w:bCs w:val="false"/>
                <w:color w:val="000000"/>
                <w:sz w:val="18"/>
                <w:szCs w:val="18"/>
              </w:rPr>
              <w:t xml:space="preserve">alpha_ls_dominant_period</w:t>
            </w:r>
          </w:p>
        </w:tc>
        <w:tc>
          <w:tcPr>
            <w:tcW w:type="dxa" w:w="1800"/>
            <w:vAlign w:val="center"/>
          </w:tcPr>
          <w:p>
            <w:pPr>
              <w:jc w:val="center"/>
            </w:pPr>
            <w:r>
              <w:rPr>
                <w:rFonts w:ascii="Calibri" w:cs="Calibri" w:eastAsia="Calibri" w:hAnsi="Calibri"/>
                <w:b w:val="false"/>
                <w:bCs w:val="false"/>
                <w:color w:val="000000"/>
                <w:sz w:val="18"/>
                <w:szCs w:val="18"/>
              </w:rPr>
              <w:t xml:space="preserve">0.559</w:t>
            </w:r>
          </w:p>
        </w:tc>
      </w:tr>
      <w:tr>
        <w:tc>
          <w:tcPr>
            <w:tcW w:type="dxa" w:w="900"/>
            <w:vAlign w:val="center"/>
          </w:tcPr>
          <w:p>
            <w:pPr>
              <w:jc w:val="center"/>
            </w:pPr>
            <w:r>
              <w:rPr>
                <w:rFonts w:ascii="Calibri" w:cs="Calibri" w:eastAsia="Calibri" w:hAnsi="Calibri"/>
                <w:b w:val="false"/>
                <w:bCs w:val="false"/>
                <w:color w:val="000000"/>
                <w:sz w:val="18"/>
                <w:szCs w:val="18"/>
              </w:rPr>
              <w:t xml:space="preserve">9</w:t>
            </w:r>
          </w:p>
        </w:tc>
        <w:tc>
          <w:tcPr>
            <w:tcW w:type="dxa" w:w="4600"/>
            <w:vAlign w:val="center"/>
          </w:tcPr>
          <w:p>
            <w:pPr>
              <w:jc w:val="center"/>
            </w:pPr>
            <w:r>
              <w:rPr>
                <w:rFonts w:ascii="Calibri" w:cs="Calibri" w:eastAsia="Calibri" w:hAnsi="Calibri"/>
                <w:b w:val="false"/>
                <w:bCs w:val="false"/>
                <w:color w:val="000000"/>
                <w:sz w:val="18"/>
                <w:szCs w:val="18"/>
              </w:rPr>
              <w:t xml:space="preserve">cross_ls_max_power_mean</w:t>
            </w:r>
          </w:p>
        </w:tc>
        <w:tc>
          <w:tcPr>
            <w:tcW w:type="dxa" w:w="1800"/>
            <w:vAlign w:val="center"/>
          </w:tcPr>
          <w:p>
            <w:pPr>
              <w:jc w:val="center"/>
            </w:pPr>
            <w:r>
              <w:rPr>
                <w:rFonts w:ascii="Calibri" w:cs="Calibri" w:eastAsia="Calibri" w:hAnsi="Calibri"/>
                <w:b w:val="false"/>
                <w:bCs w:val="false"/>
                <w:color w:val="000000"/>
                <w:sz w:val="18"/>
                <w:szCs w:val="18"/>
              </w:rPr>
              <w:t xml:space="preserve">0.508</w:t>
            </w:r>
          </w:p>
        </w:tc>
      </w:tr>
      <w:tr>
        <w:tc>
          <w:tcPr>
            <w:tcW w:type="dxa" w:w="900"/>
            <w:vAlign w:val="center"/>
          </w:tcPr>
          <w:p>
            <w:pPr>
              <w:jc w:val="center"/>
            </w:pPr>
            <w:r>
              <w:rPr>
                <w:rFonts w:ascii="Calibri" w:cs="Calibri" w:eastAsia="Calibri" w:hAnsi="Calibri"/>
                <w:b w:val="false"/>
                <w:bCs w:val="false"/>
                <w:color w:val="000000"/>
                <w:sz w:val="18"/>
                <w:szCs w:val="18"/>
              </w:rPr>
              <w:t xml:space="preserve">10</w:t>
            </w:r>
          </w:p>
        </w:tc>
        <w:tc>
          <w:tcPr>
            <w:tcW w:type="dxa" w:w="4600"/>
            <w:vAlign w:val="center"/>
          </w:tcPr>
          <w:p>
            <w:pPr>
              <w:jc w:val="center"/>
            </w:pPr>
            <w:r>
              <w:rPr>
                <w:rFonts w:ascii="Calibri" w:cs="Calibri" w:eastAsia="Calibri" w:hAnsi="Calibri"/>
                <w:b w:val="false"/>
                <w:bCs w:val="false"/>
                <w:color w:val="000000"/>
                <w:sz w:val="18"/>
                <w:szCs w:val="18"/>
              </w:rPr>
              <w:t xml:space="preserve">cdc15_std</w:t>
            </w:r>
          </w:p>
        </w:tc>
        <w:tc>
          <w:tcPr>
            <w:tcW w:type="dxa" w:w="1800"/>
            <w:vAlign w:val="center"/>
          </w:tcPr>
          <w:p>
            <w:pPr>
              <w:jc w:val="center"/>
            </w:pPr>
            <w:r>
              <w:rPr>
                <w:rFonts w:ascii="Calibri" w:cs="Calibri" w:eastAsia="Calibri" w:hAnsi="Calibri"/>
                <w:b w:val="false"/>
                <w:bCs w:val="false"/>
                <w:color w:val="000000"/>
                <w:sz w:val="18"/>
                <w:szCs w:val="18"/>
              </w:rPr>
              <w:t xml:space="preserve">0.503</w:t>
            </w:r>
          </w:p>
        </w:tc>
      </w:tr>
    </w:tbl>
    <w:p>
      <w:pPr>
        <w:spacing w:after="160" w:line="300"/>
        <w:jc w:val="both"/>
      </w:pPr>
      <w:r>
        <w:rPr>
          <w:rFonts w:ascii="Calibri" w:cs="Calibri" w:eastAsia="Calibri" w:hAnsi="Calibri"/>
          <w:b w:val="false"/>
          <w:bCs w:val="false"/>
          <w:i w:val="false"/>
          <w:iCs w:val="false"/>
          <w:sz w:val="22"/>
          <w:szCs w:val="22"/>
        </w:rPr>
        <w:t xml:space="preserve">En önemli 10 öznitelikten ikisi (cross_ls_band_power_mean, cross_std_mean) doğrudan bu tezde geliştirilen çapraz-deney tutarlılık öznitelikleridir; bu, önerilen özgün özellik mühendisliği yaklaşımının modelin karar sürecinde fiilen belirleyici bir rol oynadığını göstermektedir.</w:t>
      </w:r>
    </w:p>
    <w:p>
      <w:pPr>
        <w:spacing w:after="240" w:before="60"/>
        <w:jc w:val="center"/>
      </w:pPr>
      <w:r>
        <w:rPr>
          <w:rFonts w:ascii="Calibri" w:cs="Calibri" w:eastAsia="Calibri" w:hAnsi="Calibri"/>
          <w:i/>
          <w:iCs/>
          <w:sz w:val="20"/>
          <w:szCs w:val="20"/>
        </w:rPr>
        <w:t xml:space="preserve">Tablo 5.4 — Deneyler arası otokorelasyon tutarlılığının etikete göre dağılımı</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2F5496" w:val="clear"/>
            <w:vAlign w:val="center"/>
          </w:tcPr>
          <w:p>
            <w:pPr>
              <w:jc w:val="center"/>
            </w:pPr>
            <w:r>
              <w:rPr>
                <w:rFonts w:ascii="Calibri" w:cs="Calibri" w:eastAsia="Calibri" w:hAnsi="Calibri"/>
                <w:b/>
                <w:bCs/>
                <w:color w:val="FFFFFF"/>
                <w:sz w:val="18"/>
                <w:szCs w:val="18"/>
              </w:rPr>
              <w:t xml:space="preserve">Kaç deneyde yüksek otokorelasyon (&gt;0.3)</w:t>
            </w:r>
          </w:p>
        </w:tc>
        <w:tc>
          <w:tcPr>
            <w:tcW w:type="dxa" w:w="2600"/>
            <w:shd w:fill="2F5496" w:val="clear"/>
            <w:vAlign w:val="center"/>
          </w:tcPr>
          <w:p>
            <w:pPr>
              <w:jc w:val="center"/>
            </w:pPr>
            <w:r>
              <w:rPr>
                <w:rFonts w:ascii="Calibri" w:cs="Calibri" w:eastAsia="Calibri" w:hAnsi="Calibri"/>
                <w:b/>
                <w:bCs/>
                <w:color w:val="FFFFFF"/>
                <w:sz w:val="18"/>
                <w:szCs w:val="18"/>
              </w:rPr>
              <w:t xml:space="preserve">Periyodik olmayan (etiket=0)</w:t>
            </w:r>
          </w:p>
        </w:tc>
        <w:tc>
          <w:tcPr>
            <w:tcW w:type="dxa" w:w="2600"/>
            <w:shd w:fill="2F5496" w:val="clear"/>
            <w:vAlign w:val="center"/>
          </w:tcPr>
          <w:p>
            <w:pPr>
              <w:jc w:val="center"/>
            </w:pPr>
            <w:r>
              <w:rPr>
                <w:rFonts w:ascii="Calibri" w:cs="Calibri" w:eastAsia="Calibri" w:hAnsi="Calibri"/>
                <w:b/>
                <w:bCs/>
                <w:color w:val="FFFFFF"/>
                <w:sz w:val="18"/>
                <w:szCs w:val="18"/>
              </w:rPr>
              <w:t xml:space="preserve">Periyodik (etiket=1)</w:t>
            </w:r>
          </w:p>
        </w:tc>
      </w:tr>
      <w:tr>
        <w:tc>
          <w:tcPr>
            <w:tcW w:type="dxa" w:w="4200"/>
            <w:vAlign w:val="center"/>
          </w:tcPr>
          <w:p>
            <w:pPr>
              <w:jc w:val="center"/>
            </w:pPr>
            <w:r>
              <w:rPr>
                <w:rFonts w:ascii="Calibri" w:cs="Calibri" w:eastAsia="Calibri" w:hAnsi="Calibri"/>
                <w:b w:val="false"/>
                <w:bCs w:val="false"/>
                <w:color w:val="000000"/>
                <w:sz w:val="18"/>
                <w:szCs w:val="18"/>
              </w:rPr>
              <w:t xml:space="preserve">0 (hiçbir deneyde yüksek değil)</w:t>
            </w:r>
          </w:p>
        </w:tc>
        <w:tc>
          <w:tcPr>
            <w:tcW w:type="dxa" w:w="2600"/>
            <w:vAlign w:val="center"/>
          </w:tcPr>
          <w:p>
            <w:pPr>
              <w:jc w:val="center"/>
            </w:pPr>
            <w:r>
              <w:rPr>
                <w:rFonts w:ascii="Calibri" w:cs="Calibri" w:eastAsia="Calibri" w:hAnsi="Calibri"/>
                <w:b w:val="false"/>
                <w:bCs w:val="false"/>
                <w:color w:val="000000"/>
                <w:sz w:val="18"/>
                <w:szCs w:val="18"/>
              </w:rPr>
              <w:t xml:space="preserve">%37.0</w:t>
            </w:r>
          </w:p>
        </w:tc>
        <w:tc>
          <w:tcPr>
            <w:tcW w:type="dxa" w:w="2600"/>
            <w:vAlign w:val="center"/>
          </w:tcPr>
          <w:p>
            <w:pPr>
              <w:jc w:val="center"/>
            </w:pPr>
            <w:r>
              <w:rPr>
                <w:rFonts w:ascii="Calibri" w:cs="Calibri" w:eastAsia="Calibri" w:hAnsi="Calibri"/>
                <w:b w:val="false"/>
                <w:bCs w:val="false"/>
                <w:color w:val="000000"/>
                <w:sz w:val="18"/>
                <w:szCs w:val="18"/>
              </w:rPr>
              <w:t xml:space="preserve">%3.2</w:t>
            </w:r>
          </w:p>
        </w:tc>
      </w:tr>
      <w:tr>
        <w:tc>
          <w:tcPr>
            <w:tcW w:type="dxa" w:w="4200"/>
            <w:vAlign w:val="center"/>
          </w:tcPr>
          <w:p>
            <w:pPr>
              <w:jc w:val="center"/>
            </w:pPr>
            <w:r>
              <w:rPr>
                <w:rFonts w:ascii="Calibri" w:cs="Calibri" w:eastAsia="Calibri" w:hAnsi="Calibri"/>
                <w:b w:val="false"/>
                <w:bCs w:val="false"/>
                <w:color w:val="000000"/>
                <w:sz w:val="18"/>
                <w:szCs w:val="18"/>
              </w:rPr>
              <w:t xml:space="preserve">1 deneyde yüksek</w:t>
            </w:r>
          </w:p>
        </w:tc>
        <w:tc>
          <w:tcPr>
            <w:tcW w:type="dxa" w:w="2600"/>
            <w:vAlign w:val="center"/>
          </w:tcPr>
          <w:p>
            <w:pPr>
              <w:jc w:val="center"/>
            </w:pPr>
            <w:r>
              <w:rPr>
                <w:rFonts w:ascii="Calibri" w:cs="Calibri" w:eastAsia="Calibri" w:hAnsi="Calibri"/>
                <w:b w:val="false"/>
                <w:bCs w:val="false"/>
                <w:color w:val="000000"/>
                <w:sz w:val="18"/>
                <w:szCs w:val="18"/>
              </w:rPr>
              <w:t xml:space="preserve">%44.0</w:t>
            </w:r>
          </w:p>
        </w:tc>
        <w:tc>
          <w:tcPr>
            <w:tcW w:type="dxa" w:w="2600"/>
            <w:vAlign w:val="center"/>
          </w:tcPr>
          <w:p>
            <w:pPr>
              <w:jc w:val="center"/>
            </w:pPr>
            <w:r>
              <w:rPr>
                <w:rFonts w:ascii="Calibri" w:cs="Calibri" w:eastAsia="Calibri" w:hAnsi="Calibri"/>
                <w:b w:val="false"/>
                <w:bCs w:val="false"/>
                <w:color w:val="000000"/>
                <w:sz w:val="18"/>
                <w:szCs w:val="18"/>
              </w:rPr>
              <w:t xml:space="preserve">%23.2</w:t>
            </w:r>
          </w:p>
        </w:tc>
      </w:tr>
      <w:tr>
        <w:tc>
          <w:tcPr>
            <w:tcW w:type="dxa" w:w="4200"/>
            <w:vAlign w:val="center"/>
          </w:tcPr>
          <w:p>
            <w:pPr>
              <w:jc w:val="center"/>
            </w:pPr>
            <w:r>
              <w:rPr>
                <w:rFonts w:ascii="Calibri" w:cs="Calibri" w:eastAsia="Calibri" w:hAnsi="Calibri"/>
                <w:b w:val="false"/>
                <w:bCs w:val="false"/>
                <w:color w:val="000000"/>
                <w:sz w:val="18"/>
                <w:szCs w:val="18"/>
              </w:rPr>
              <w:t xml:space="preserve">2 deneyde yüksek</w:t>
            </w:r>
          </w:p>
        </w:tc>
        <w:tc>
          <w:tcPr>
            <w:tcW w:type="dxa" w:w="2600"/>
            <w:vAlign w:val="center"/>
          </w:tcPr>
          <w:p>
            <w:pPr>
              <w:jc w:val="center"/>
            </w:pPr>
            <w:r>
              <w:rPr>
                <w:rFonts w:ascii="Calibri" w:cs="Calibri" w:eastAsia="Calibri" w:hAnsi="Calibri"/>
                <w:b w:val="false"/>
                <w:bCs w:val="false"/>
                <w:color w:val="000000"/>
                <w:sz w:val="18"/>
                <w:szCs w:val="18"/>
              </w:rPr>
              <w:t xml:space="preserve">%16.1</w:t>
            </w:r>
          </w:p>
        </w:tc>
        <w:tc>
          <w:tcPr>
            <w:tcW w:type="dxa" w:w="2600"/>
            <w:vAlign w:val="center"/>
          </w:tcPr>
          <w:p>
            <w:pPr>
              <w:jc w:val="center"/>
            </w:pPr>
            <w:r>
              <w:rPr>
                <w:rFonts w:ascii="Calibri" w:cs="Calibri" w:eastAsia="Calibri" w:hAnsi="Calibri"/>
                <w:b w:val="false"/>
                <w:bCs w:val="false"/>
                <w:color w:val="000000"/>
                <w:sz w:val="18"/>
                <w:szCs w:val="18"/>
              </w:rPr>
              <w:t xml:space="preserve">%40.2</w:t>
            </w:r>
          </w:p>
        </w:tc>
      </w:tr>
      <w:tr>
        <w:tc>
          <w:tcPr>
            <w:tcW w:type="dxa" w:w="4200"/>
            <w:vAlign w:val="center"/>
          </w:tcPr>
          <w:p>
            <w:pPr>
              <w:jc w:val="center"/>
            </w:pPr>
            <w:r>
              <w:rPr>
                <w:rFonts w:ascii="Calibri" w:cs="Calibri" w:eastAsia="Calibri" w:hAnsi="Calibri"/>
                <w:b w:val="false"/>
                <w:bCs w:val="false"/>
                <w:color w:val="000000"/>
                <w:sz w:val="18"/>
                <w:szCs w:val="18"/>
              </w:rPr>
              <w:t xml:space="preserve">3 deneyde de yüksek</w:t>
            </w:r>
          </w:p>
        </w:tc>
        <w:tc>
          <w:tcPr>
            <w:tcW w:type="dxa" w:w="2600"/>
            <w:vAlign w:val="center"/>
          </w:tcPr>
          <w:p>
            <w:pPr>
              <w:jc w:val="center"/>
            </w:pPr>
            <w:r>
              <w:rPr>
                <w:rFonts w:ascii="Calibri" w:cs="Calibri" w:eastAsia="Calibri" w:hAnsi="Calibri"/>
                <w:b w:val="false"/>
                <w:bCs w:val="false"/>
                <w:color w:val="000000"/>
                <w:sz w:val="18"/>
                <w:szCs w:val="18"/>
              </w:rPr>
              <w:t xml:space="preserve">%2.9</w:t>
            </w:r>
          </w:p>
        </w:tc>
        <w:tc>
          <w:tcPr>
            <w:tcW w:type="dxa" w:w="2600"/>
            <w:vAlign w:val="center"/>
          </w:tcPr>
          <w:p>
            <w:pPr>
              <w:jc w:val="center"/>
            </w:pPr>
            <w:r>
              <w:rPr>
                <w:rFonts w:ascii="Calibri" w:cs="Calibri" w:eastAsia="Calibri" w:hAnsi="Calibri"/>
                <w:b w:val="false"/>
                <w:bCs w:val="false"/>
                <w:color w:val="000000"/>
                <w:sz w:val="18"/>
                <w:szCs w:val="18"/>
              </w:rPr>
              <w:t xml:space="preserve">%33.2</w:t>
            </w:r>
          </w:p>
        </w:tc>
      </w:tr>
    </w:tbl>
    <w:p>
      <w:pPr>
        <w:spacing w:after="160" w:line="300"/>
        <w:jc w:val="both"/>
      </w:pPr>
      <w:r>
        <w:rPr>
          <w:rFonts w:ascii="Calibri" w:cs="Calibri" w:eastAsia="Calibri" w:hAnsi="Calibri"/>
          <w:b w:val="false"/>
          <w:bCs w:val="false"/>
          <w:i w:val="false"/>
          <w:iCs w:val="false"/>
          <w:sz w:val="22"/>
          <w:szCs w:val="22"/>
        </w:rPr>
        <w:t xml:space="preserve">Periyodik genlerin %73.4'ü (2 veya 3 deneyde birden) yüksek otokorelasyon gösterirken, periyodik olmayan genlerde bu oran yalnızca %19.0'dır. Bu bulgu, çapraz-deney tutarlılığının güçlü bir ayırt edici sinyal taşıdığını doğrulamaktadır.</w:t>
      </w:r>
    </w:p>
    <w:p>
      <w:pPr>
        <w:pStyle w:val="Heading2"/>
        <w:spacing w:after="150" w:before="300"/>
      </w:pPr>
      <w:r>
        <w:t xml:space="preserve">5.5 Tekil Deney Tanı Analizi</w:t>
      </w:r>
    </w:p>
    <w:p>
      <w:pPr>
        <w:spacing w:after="160" w:line="300"/>
        <w:jc w:val="both"/>
      </w:pPr>
      <w:r>
        <w:rPr>
          <w:rFonts w:ascii="Calibri" w:cs="Calibri" w:eastAsia="Calibri" w:hAnsi="Calibri"/>
          <w:b w:val="false"/>
          <w:bCs w:val="false"/>
          <w:i w:val="false"/>
          <w:iCs w:val="false"/>
          <w:sz w:val="22"/>
          <w:szCs w:val="22"/>
        </w:rPr>
        <w:t xml:space="preserve">Her deneyin, yalnızca kendi özniteliklerini kullanan ayrı bir model ile ölçülen bağımsız katkısı incelenmiştir:</w:t>
      </w:r>
    </w:p>
    <w:p>
      <w:pPr>
        <w:spacing w:after="240" w:before="60"/>
        <w:jc w:val="center"/>
      </w:pPr>
      <w:r>
        <w:rPr>
          <w:rFonts w:ascii="Calibri" w:cs="Calibri" w:eastAsia="Calibri" w:hAnsi="Calibri"/>
          <w:i/>
          <w:iCs/>
          <w:sz w:val="20"/>
          <w:szCs w:val="20"/>
        </w:rPr>
        <w:t xml:space="preserve">Tablo 5.5 — Tekil deney bazlı sınıflandırma performansı (eğitim seti, 5 katlı ÇD)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1200"/>
        <w:gridCol w:w="1200"/>
        <w:gridCol w:w="1200"/>
      </w:tblGrid>
      <w:tr>
        <w:trPr>
          <w:tblHeader/>
        </w:trPr>
        <w:tc>
          <w:tcPr>
            <w:tcW w:type="dxa" w:w="1400"/>
            <w:shd w:fill="2F5496" w:val="clear"/>
            <w:vAlign w:val="center"/>
          </w:tcPr>
          <w:p>
            <w:pPr>
              <w:jc w:val="center"/>
            </w:pPr>
            <w:r>
              <w:rPr>
                <w:rFonts w:ascii="Calibri" w:cs="Calibri" w:eastAsia="Calibri" w:hAnsi="Calibri"/>
                <w:b/>
                <w:bCs/>
                <w:color w:val="FFFFFF"/>
                <w:sz w:val="18"/>
                <w:szCs w:val="18"/>
              </w:rPr>
              <w:t xml:space="preserve">Deney</w:t>
            </w:r>
          </w:p>
        </w:tc>
        <w:tc>
          <w:tcPr>
            <w:tcW w:type="dxa" w:w="1600"/>
            <w:shd w:fill="2F5496" w:val="clear"/>
            <w:vAlign w:val="center"/>
          </w:tcPr>
          <w:p>
            <w:pPr>
              <w:jc w:val="center"/>
            </w:pPr>
            <w:r>
              <w:rPr>
                <w:rFonts w:ascii="Calibri" w:cs="Calibri" w:eastAsia="Calibri" w:hAnsi="Calibri"/>
                <w:b/>
                <w:bCs/>
                <w:color w:val="FFFFFF"/>
                <w:sz w:val="18"/>
                <w:szCs w:val="18"/>
              </w:rPr>
              <w:t xml:space="preserve">Zaman noktası</w:t>
            </w:r>
          </w:p>
        </w:tc>
        <w:tc>
          <w:tcPr>
            <w:tcW w:type="dxa" w:w="2200"/>
            <w:shd w:fill="2F5496" w:val="clear"/>
            <w:vAlign w:val="center"/>
          </w:tcPr>
          <w:p>
            <w:pPr>
              <w:jc w:val="center"/>
            </w:pPr>
            <w:r>
              <w:rPr>
                <w:rFonts w:ascii="Calibri" w:cs="Calibri" w:eastAsia="Calibri" w:hAnsi="Calibri"/>
                <w:b/>
                <w:bCs/>
                <w:color w:val="FFFFFF"/>
                <w:sz w:val="18"/>
                <w:szCs w:val="18"/>
              </w:rPr>
              <w:t xml:space="preserve">Etikete katıldı mı</w:t>
            </w:r>
          </w:p>
        </w:tc>
        <w:tc>
          <w:tcPr>
            <w:tcW w:type="dxa" w:w="1200"/>
            <w:shd w:fill="2F5496" w:val="clear"/>
            <w:vAlign w:val="center"/>
          </w:tcPr>
          <w:p>
            <w:pPr>
              <w:jc w:val="center"/>
            </w:pPr>
            <w:r>
              <w:rPr>
                <w:rFonts w:ascii="Calibri" w:cs="Calibri" w:eastAsia="Calibri" w:hAnsi="Calibri"/>
                <w:b/>
                <w:bCs/>
                <w:color w:val="FFFFFF"/>
                <w:sz w:val="18"/>
                <w:szCs w:val="18"/>
              </w:rPr>
              <w:t xml:space="preserve">AUC</w:t>
            </w:r>
          </w:p>
        </w:tc>
        <w:tc>
          <w:tcPr>
            <w:tcW w:type="dxa" w:w="1200"/>
            <w:shd w:fill="2F5496" w:val="clear"/>
            <w:vAlign w:val="center"/>
          </w:tcPr>
          <w:p>
            <w:pPr>
              <w:jc w:val="center"/>
            </w:pPr>
            <w:r>
              <w:rPr>
                <w:rFonts w:ascii="Calibri" w:cs="Calibri" w:eastAsia="Calibri" w:hAnsi="Calibri"/>
                <w:b/>
                <w:bCs/>
                <w:color w:val="FFFFFF"/>
                <w:sz w:val="18"/>
                <w:szCs w:val="18"/>
              </w:rPr>
              <w:t xml:space="preserve">F1(M)</w:t>
            </w:r>
          </w:p>
        </w:tc>
        <w:tc>
          <w:tcPr>
            <w:tcW w:type="dxa" w:w="1200"/>
            <w:shd w:fill="2F5496" w:val="clear"/>
            <w:vAlign w:val="center"/>
          </w:tcPr>
          <w:p>
            <w:pPr>
              <w:jc w:val="center"/>
            </w:pPr>
            <w:r>
              <w:rPr>
                <w:rFonts w:ascii="Calibri" w:cs="Calibri" w:eastAsia="Calibri" w:hAnsi="Calibri"/>
                <w:b/>
                <w:bCs/>
                <w:color w:val="FFFFFF"/>
                <w:sz w:val="18"/>
                <w:szCs w:val="18"/>
              </w:rPr>
              <w:t xml:space="preserve">MCC</w:t>
            </w:r>
          </w:p>
        </w:tc>
      </w:tr>
      <w:tr>
        <w:tc>
          <w:tcPr>
            <w:tcW w:type="dxa" w:w="1400"/>
            <w:vAlign w:val="center"/>
          </w:tcPr>
          <w:p>
            <w:pPr>
              <w:jc w:val="center"/>
            </w:pPr>
            <w:r>
              <w:rPr>
                <w:rFonts w:ascii="Calibri" w:cs="Calibri" w:eastAsia="Calibri" w:hAnsi="Calibri"/>
                <w:b w:val="false"/>
                <w:bCs w:val="false"/>
                <w:color w:val="000000"/>
                <w:sz w:val="18"/>
                <w:szCs w:val="18"/>
              </w:rPr>
              <w:t xml:space="preserve">cdc15</w:t>
            </w:r>
          </w:p>
        </w:tc>
        <w:tc>
          <w:tcPr>
            <w:tcW w:type="dxa" w:w="1600"/>
            <w:vAlign w:val="center"/>
          </w:tcPr>
          <w:p>
            <w:pPr>
              <w:jc w:val="center"/>
            </w:pPr>
            <w:r>
              <w:rPr>
                <w:rFonts w:ascii="Calibri" w:cs="Calibri" w:eastAsia="Calibri" w:hAnsi="Calibri"/>
                <w:b w:val="false"/>
                <w:bCs w:val="false"/>
                <w:color w:val="000000"/>
                <w:sz w:val="18"/>
                <w:szCs w:val="18"/>
              </w:rPr>
              <w:t xml:space="preserve">24</w:t>
            </w:r>
          </w:p>
        </w:tc>
        <w:tc>
          <w:tcPr>
            <w:tcW w:type="dxa" w:w="2200"/>
            <w:vAlign w:val="center"/>
          </w:tcPr>
          <w:p>
            <w:pPr>
              <w:jc w:val="center"/>
            </w:pPr>
            <w:r>
              <w:rPr>
                <w:rFonts w:ascii="Calibri" w:cs="Calibri" w:eastAsia="Calibri" w:hAnsi="Calibri"/>
                <w:b w:val="false"/>
                <w:bCs w:val="false"/>
                <w:color w:val="000000"/>
                <w:sz w:val="18"/>
                <w:szCs w:val="18"/>
              </w:rPr>
              <w:t xml:space="preserve">Evet</w:t>
            </w:r>
          </w:p>
        </w:tc>
        <w:tc>
          <w:tcPr>
            <w:tcW w:type="dxa" w:w="1200"/>
            <w:vAlign w:val="center"/>
          </w:tcPr>
          <w:p>
            <w:pPr>
              <w:jc w:val="center"/>
            </w:pPr>
            <w:r>
              <w:rPr>
                <w:rFonts w:ascii="Calibri" w:cs="Calibri" w:eastAsia="Calibri" w:hAnsi="Calibri"/>
                <w:b w:val="false"/>
                <w:bCs w:val="false"/>
                <w:color w:val="000000"/>
                <w:sz w:val="18"/>
                <w:szCs w:val="18"/>
              </w:rPr>
              <w:t xml:space="preserve">0.8735</w:t>
            </w:r>
          </w:p>
        </w:tc>
        <w:tc>
          <w:tcPr>
            <w:tcW w:type="dxa" w:w="1200"/>
            <w:vAlign w:val="center"/>
          </w:tcPr>
          <w:p>
            <w:pPr>
              <w:jc w:val="center"/>
            </w:pPr>
            <w:r>
              <w:rPr>
                <w:rFonts w:ascii="Calibri" w:cs="Calibri" w:eastAsia="Calibri" w:hAnsi="Calibri"/>
                <w:b w:val="false"/>
                <w:bCs w:val="false"/>
                <w:color w:val="000000"/>
                <w:sz w:val="18"/>
                <w:szCs w:val="18"/>
              </w:rPr>
              <w:t xml:space="preserve">0.8265</w:t>
            </w:r>
          </w:p>
        </w:tc>
        <w:tc>
          <w:tcPr>
            <w:tcW w:type="dxa" w:w="1200"/>
            <w:vAlign w:val="center"/>
          </w:tcPr>
          <w:p>
            <w:pPr>
              <w:jc w:val="center"/>
            </w:pPr>
            <w:r>
              <w:rPr>
                <w:rFonts w:ascii="Calibri" w:cs="Calibri" w:eastAsia="Calibri" w:hAnsi="Calibri"/>
                <w:b w:val="false"/>
                <w:bCs w:val="false"/>
                <w:color w:val="000000"/>
                <w:sz w:val="18"/>
                <w:szCs w:val="18"/>
              </w:rPr>
              <w:t xml:space="preserve">0.6593</w:t>
            </w:r>
          </w:p>
        </w:tc>
      </w:tr>
      <w:tr>
        <w:tc>
          <w:tcPr>
            <w:tcW w:type="dxa" w:w="1400"/>
            <w:vAlign w:val="center"/>
          </w:tcPr>
          <w:p>
            <w:pPr>
              <w:jc w:val="center"/>
            </w:pPr>
            <w:r>
              <w:rPr>
                <w:rFonts w:ascii="Calibri" w:cs="Calibri" w:eastAsia="Calibri" w:hAnsi="Calibri"/>
                <w:b w:val="false"/>
                <w:bCs w:val="false"/>
                <w:color w:val="000000"/>
                <w:sz w:val="18"/>
                <w:szCs w:val="18"/>
              </w:rPr>
              <w:t xml:space="preserve">alpha</w:t>
            </w:r>
          </w:p>
        </w:tc>
        <w:tc>
          <w:tcPr>
            <w:tcW w:type="dxa" w:w="1600"/>
            <w:vAlign w:val="center"/>
          </w:tcPr>
          <w:p>
            <w:pPr>
              <w:jc w:val="center"/>
            </w:pPr>
            <w:r>
              <w:rPr>
                <w:rFonts w:ascii="Calibri" w:cs="Calibri" w:eastAsia="Calibri" w:hAnsi="Calibri"/>
                <w:b w:val="false"/>
                <w:bCs w:val="false"/>
                <w:color w:val="000000"/>
                <w:sz w:val="18"/>
                <w:szCs w:val="18"/>
              </w:rPr>
              <w:t xml:space="preserve">18</w:t>
            </w:r>
          </w:p>
        </w:tc>
        <w:tc>
          <w:tcPr>
            <w:tcW w:type="dxa" w:w="2200"/>
            <w:vAlign w:val="center"/>
          </w:tcPr>
          <w:p>
            <w:pPr>
              <w:jc w:val="center"/>
            </w:pPr>
            <w:r>
              <w:rPr>
                <w:rFonts w:ascii="Calibri" w:cs="Calibri" w:eastAsia="Calibri" w:hAnsi="Calibri"/>
                <w:b w:val="false"/>
                <w:bCs w:val="false"/>
                <w:color w:val="000000"/>
                <w:sz w:val="18"/>
                <w:szCs w:val="18"/>
              </w:rPr>
              <w:t xml:space="preserve">Evet</w:t>
            </w:r>
          </w:p>
        </w:tc>
        <w:tc>
          <w:tcPr>
            <w:tcW w:type="dxa" w:w="1200"/>
            <w:vAlign w:val="center"/>
          </w:tcPr>
          <w:p>
            <w:pPr>
              <w:jc w:val="center"/>
            </w:pPr>
            <w:r>
              <w:rPr>
                <w:rFonts w:ascii="Calibri" w:cs="Calibri" w:eastAsia="Calibri" w:hAnsi="Calibri"/>
                <w:b w:val="false"/>
                <w:bCs w:val="false"/>
                <w:color w:val="000000"/>
                <w:sz w:val="18"/>
                <w:szCs w:val="18"/>
              </w:rPr>
              <w:t xml:space="preserve">0.8334</w:t>
            </w:r>
          </w:p>
        </w:tc>
        <w:tc>
          <w:tcPr>
            <w:tcW w:type="dxa" w:w="1200"/>
            <w:vAlign w:val="center"/>
          </w:tcPr>
          <w:p>
            <w:pPr>
              <w:jc w:val="center"/>
            </w:pPr>
            <w:r>
              <w:rPr>
                <w:rFonts w:ascii="Calibri" w:cs="Calibri" w:eastAsia="Calibri" w:hAnsi="Calibri"/>
                <w:b w:val="false"/>
                <w:bCs w:val="false"/>
                <w:color w:val="000000"/>
                <w:sz w:val="18"/>
                <w:szCs w:val="18"/>
              </w:rPr>
              <w:t xml:space="preserve">0.7757</w:t>
            </w:r>
          </w:p>
        </w:tc>
        <w:tc>
          <w:tcPr>
            <w:tcW w:type="dxa" w:w="1200"/>
            <w:vAlign w:val="center"/>
          </w:tcPr>
          <w:p>
            <w:pPr>
              <w:jc w:val="center"/>
            </w:pPr>
            <w:r>
              <w:rPr>
                <w:rFonts w:ascii="Calibri" w:cs="Calibri" w:eastAsia="Calibri" w:hAnsi="Calibri"/>
                <w:b w:val="false"/>
                <w:bCs w:val="false"/>
                <w:color w:val="000000"/>
                <w:sz w:val="18"/>
                <w:szCs w:val="18"/>
              </w:rPr>
              <w:t xml:space="preserve">0.5611</w:t>
            </w:r>
          </w:p>
        </w:tc>
      </w:tr>
      <w:tr>
        <w:tc>
          <w:tcPr>
            <w:tcW w:type="dxa" w:w="1400"/>
            <w:vAlign w:val="center"/>
          </w:tcPr>
          <w:p>
            <w:pPr>
              <w:jc w:val="center"/>
            </w:pPr>
            <w:r>
              <w:rPr>
                <w:rFonts w:ascii="Calibri" w:cs="Calibri" w:eastAsia="Calibri" w:hAnsi="Calibri"/>
                <w:b w:val="false"/>
                <w:bCs w:val="false"/>
                <w:color w:val="000000"/>
                <w:sz w:val="18"/>
                <w:szCs w:val="18"/>
              </w:rPr>
              <w:t xml:space="preserve">cdc28</w:t>
            </w:r>
          </w:p>
        </w:tc>
        <w:tc>
          <w:tcPr>
            <w:tcW w:type="dxa" w:w="1600"/>
            <w:vAlign w:val="center"/>
          </w:tcPr>
          <w:p>
            <w:pPr>
              <w:jc w:val="center"/>
            </w:pPr>
            <w:r>
              <w:rPr>
                <w:rFonts w:ascii="Calibri" w:cs="Calibri" w:eastAsia="Calibri" w:hAnsi="Calibri"/>
                <w:b w:val="false"/>
                <w:bCs w:val="false"/>
                <w:color w:val="000000"/>
                <w:sz w:val="18"/>
                <w:szCs w:val="18"/>
              </w:rPr>
              <w:t xml:space="preserve">17</w:t>
            </w:r>
          </w:p>
        </w:tc>
        <w:tc>
          <w:tcPr>
            <w:tcW w:type="dxa" w:w="2200"/>
            <w:vAlign w:val="center"/>
          </w:tcPr>
          <w:p>
            <w:pPr>
              <w:jc w:val="center"/>
            </w:pPr>
            <w:r>
              <w:rPr>
                <w:rFonts w:ascii="Calibri" w:cs="Calibri" w:eastAsia="Calibri" w:hAnsi="Calibri"/>
                <w:b w:val="false"/>
                <w:bCs w:val="false"/>
                <w:color w:val="000000"/>
                <w:sz w:val="18"/>
                <w:szCs w:val="18"/>
              </w:rPr>
              <w:t xml:space="preserve">Evet</w:t>
            </w:r>
          </w:p>
        </w:tc>
        <w:tc>
          <w:tcPr>
            <w:tcW w:type="dxa" w:w="1200"/>
            <w:vAlign w:val="center"/>
          </w:tcPr>
          <w:p>
            <w:pPr>
              <w:jc w:val="center"/>
            </w:pPr>
            <w:r>
              <w:rPr>
                <w:rFonts w:ascii="Calibri" w:cs="Calibri" w:eastAsia="Calibri" w:hAnsi="Calibri"/>
                <w:b w:val="false"/>
                <w:bCs w:val="false"/>
                <w:color w:val="000000"/>
                <w:sz w:val="18"/>
                <w:szCs w:val="18"/>
              </w:rPr>
              <w:t xml:space="preserve">0.8243</w:t>
            </w:r>
          </w:p>
        </w:tc>
        <w:tc>
          <w:tcPr>
            <w:tcW w:type="dxa" w:w="1200"/>
            <w:vAlign w:val="center"/>
          </w:tcPr>
          <w:p>
            <w:pPr>
              <w:jc w:val="center"/>
            </w:pPr>
            <w:r>
              <w:rPr>
                <w:rFonts w:ascii="Calibri" w:cs="Calibri" w:eastAsia="Calibri" w:hAnsi="Calibri"/>
                <w:b w:val="false"/>
                <w:bCs w:val="false"/>
                <w:color w:val="000000"/>
                <w:sz w:val="18"/>
                <w:szCs w:val="18"/>
              </w:rPr>
              <w:t xml:space="preserve">0.7520</w:t>
            </w:r>
          </w:p>
        </w:tc>
        <w:tc>
          <w:tcPr>
            <w:tcW w:type="dxa" w:w="1200"/>
            <w:vAlign w:val="center"/>
          </w:tcPr>
          <w:p>
            <w:pPr>
              <w:jc w:val="center"/>
            </w:pPr>
            <w:r>
              <w:rPr>
                <w:rFonts w:ascii="Calibri" w:cs="Calibri" w:eastAsia="Calibri" w:hAnsi="Calibri"/>
                <w:b w:val="false"/>
                <w:bCs w:val="false"/>
                <w:color w:val="000000"/>
                <w:sz w:val="18"/>
                <w:szCs w:val="18"/>
              </w:rPr>
              <w:t xml:space="preserve">0.5118</w:t>
            </w:r>
          </w:p>
        </w:tc>
      </w:tr>
      <w:tr>
        <w:tc>
          <w:tcPr>
            <w:tcW w:type="dxa" w:w="1400"/>
            <w:vAlign w:val="center"/>
          </w:tcPr>
          <w:p>
            <w:pPr>
              <w:jc w:val="center"/>
            </w:pPr>
            <w:r>
              <w:rPr>
                <w:rFonts w:ascii="Calibri" w:cs="Calibri" w:eastAsia="Calibri" w:hAnsi="Calibri"/>
                <w:b w:val="false"/>
                <w:bCs w:val="false"/>
                <w:color w:val="000000"/>
                <w:sz w:val="18"/>
                <w:szCs w:val="18"/>
              </w:rPr>
              <w:t xml:space="preserve">elu</w:t>
            </w:r>
          </w:p>
        </w:tc>
        <w:tc>
          <w:tcPr>
            <w:tcW w:type="dxa" w:w="1600"/>
            <w:vAlign w:val="center"/>
          </w:tcPr>
          <w:p>
            <w:pPr>
              <w:jc w:val="center"/>
            </w:pPr>
            <w:r>
              <w:rPr>
                <w:rFonts w:ascii="Calibri" w:cs="Calibri" w:eastAsia="Calibri" w:hAnsi="Calibri"/>
                <w:b w:val="false"/>
                <w:bCs w:val="false"/>
                <w:color w:val="000000"/>
                <w:sz w:val="18"/>
                <w:szCs w:val="18"/>
              </w:rPr>
              <w:t xml:space="preserve">14</w:t>
            </w:r>
          </w:p>
        </w:tc>
        <w:tc>
          <w:tcPr>
            <w:tcW w:type="dxa" w:w="2200"/>
            <w:vAlign w:val="center"/>
          </w:tcPr>
          <w:p>
            <w:pPr>
              <w:jc w:val="center"/>
            </w:pPr>
            <w:r>
              <w:rPr>
                <w:rFonts w:ascii="Calibri" w:cs="Calibri" w:eastAsia="Calibri" w:hAnsi="Calibri"/>
                <w:b w:val="false"/>
                <w:bCs w:val="false"/>
                <w:color w:val="000000"/>
                <w:sz w:val="18"/>
                <w:szCs w:val="18"/>
              </w:rPr>
              <w:t xml:space="preserve">Hayır</w:t>
            </w:r>
          </w:p>
        </w:tc>
        <w:tc>
          <w:tcPr>
            <w:tcW w:type="dxa" w:w="1200"/>
            <w:vAlign w:val="center"/>
          </w:tcPr>
          <w:p>
            <w:pPr>
              <w:jc w:val="center"/>
            </w:pPr>
            <w:r>
              <w:rPr>
                <w:rFonts w:ascii="Calibri" w:cs="Calibri" w:eastAsia="Calibri" w:hAnsi="Calibri"/>
                <w:b w:val="false"/>
                <w:bCs w:val="false"/>
                <w:color w:val="000000"/>
                <w:sz w:val="18"/>
                <w:szCs w:val="18"/>
              </w:rPr>
              <w:t xml:space="preserve">0.6853</w:t>
            </w:r>
          </w:p>
        </w:tc>
        <w:tc>
          <w:tcPr>
            <w:tcW w:type="dxa" w:w="1200"/>
            <w:vAlign w:val="center"/>
          </w:tcPr>
          <w:p>
            <w:pPr>
              <w:jc w:val="center"/>
            </w:pPr>
            <w:r>
              <w:rPr>
                <w:rFonts w:ascii="Calibri" w:cs="Calibri" w:eastAsia="Calibri" w:hAnsi="Calibri"/>
                <w:b w:val="false"/>
                <w:bCs w:val="false"/>
                <w:color w:val="000000"/>
                <w:sz w:val="18"/>
                <w:szCs w:val="18"/>
              </w:rPr>
              <w:t xml:space="preserve">0.6147</w:t>
            </w:r>
          </w:p>
        </w:tc>
        <w:tc>
          <w:tcPr>
            <w:tcW w:type="dxa" w:w="1200"/>
            <w:vAlign w:val="center"/>
          </w:tcPr>
          <w:p>
            <w:pPr>
              <w:jc w:val="center"/>
            </w:pPr>
            <w:r>
              <w:rPr>
                <w:rFonts w:ascii="Calibri" w:cs="Calibri" w:eastAsia="Calibri" w:hAnsi="Calibri"/>
                <w:b w:val="false"/>
                <w:bCs w:val="false"/>
                <w:color w:val="000000"/>
                <w:sz w:val="18"/>
                <w:szCs w:val="18"/>
              </w:rPr>
              <w:t xml:space="preserve">0.2517</w:t>
            </w:r>
          </w:p>
        </w:tc>
      </w:tr>
    </w:tbl>
    <w:p>
      <w:pPr>
        <w:spacing w:after="160" w:line="300"/>
        <w:jc w:val="both"/>
      </w:pPr>
      <w:r>
        <w:rPr>
          <w:rFonts w:ascii="Calibri" w:cs="Calibri" w:eastAsia="Calibri" w:hAnsi="Calibri"/>
          <w:b w:val="false"/>
          <w:bCs w:val="false"/>
          <w:i w:val="false"/>
          <w:iCs w:val="false"/>
          <w:sz w:val="22"/>
          <w:szCs w:val="22"/>
        </w:rPr>
        <w:t xml:space="preserve">Tekil deney performansı ile zaman noktası sayısı arasında monoton bir ilişki gözlemlenmiştir (bkz. Şekil 5.1). cdc15 (24 zaman noktası) en yüksek, elutriation (14 zaman noktası, ayrıca etikete katılmayan tek deney) en düşük tekil performansı göstermiştir. Bu örüntü, elutriation'ın düşük performansının bir 'anomali' değil, veri miktarıyla tutarlı, beklenen bir gözlem olduğunu düşündürmektedir.</w:t>
      </w:r>
    </w:p>
    <w:p>
      <w:pPr>
        <w:pStyle w:val="Heading2"/>
        <w:spacing w:after="150" w:before="300"/>
      </w:pPr>
      <w:r>
        <w:t xml:space="preserve">5.6 Bağımsız Doğrulama (Elutriation) Sonuçları</w:t>
      </w:r>
    </w:p>
    <w:p>
      <w:pPr>
        <w:spacing w:after="240" w:before="60"/>
        <w:jc w:val="center"/>
      </w:pPr>
      <w:r>
        <w:rPr>
          <w:rFonts w:ascii="Calibri" w:cs="Calibri" w:eastAsia="Calibri" w:hAnsi="Calibri"/>
          <w:i/>
          <w:iCs/>
          <w:sz w:val="20"/>
          <w:szCs w:val="20"/>
        </w:rPr>
        <w:t xml:space="preserve">Tablo 5.6 — Klasik taban çizgisi, bağımsız (ELU) model ve tam modelin test seti karşılaştırması</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400"/>
        <w:gridCol w:w="1400"/>
        <w:gridCol w:w="1400"/>
        <w:gridCol w:w="1400"/>
      </w:tblGrid>
      <w:tr>
        <w:trPr>
          <w:tblHeader/>
        </w:trPr>
        <w:tc>
          <w:tcPr>
            <w:tcW w:type="dxa" w:w="4400"/>
            <w:shd w:fill="2F5496" w:val="clear"/>
            <w:vAlign w:val="center"/>
          </w:tcPr>
          <w:p>
            <w:pPr>
              <w:jc w:val="center"/>
            </w:pPr>
            <w:r>
              <w:rPr>
                <w:rFonts w:ascii="Calibri" w:cs="Calibri" w:eastAsia="Calibri" w:hAnsi="Calibri"/>
                <w:b/>
                <w:bCs/>
                <w:color w:val="FFFFFF"/>
                <w:sz w:val="18"/>
                <w:szCs w:val="18"/>
              </w:rPr>
              <w:t xml:space="preserve">Yaklaşım</w:t>
            </w:r>
          </w:p>
        </w:tc>
        <w:tc>
          <w:tcPr>
            <w:tcW w:type="dxa" w:w="1400"/>
            <w:shd w:fill="2F5496" w:val="clear"/>
            <w:vAlign w:val="center"/>
          </w:tcPr>
          <w:p>
            <w:pPr>
              <w:jc w:val="center"/>
            </w:pPr>
            <w:r>
              <w:rPr>
                <w:rFonts w:ascii="Calibri" w:cs="Calibri" w:eastAsia="Calibri" w:hAnsi="Calibri"/>
                <w:b/>
                <w:bCs/>
                <w:color w:val="FFFFFF"/>
                <w:sz w:val="18"/>
                <w:szCs w:val="18"/>
              </w:rPr>
              <w:t xml:space="preserve">AUC</w:t>
            </w:r>
          </w:p>
        </w:tc>
        <w:tc>
          <w:tcPr>
            <w:tcW w:type="dxa" w:w="1400"/>
            <w:shd w:fill="2F5496" w:val="clear"/>
            <w:vAlign w:val="center"/>
          </w:tcPr>
          <w:p>
            <w:pPr>
              <w:jc w:val="center"/>
            </w:pPr>
            <w:r>
              <w:rPr>
                <w:rFonts w:ascii="Calibri" w:cs="Calibri" w:eastAsia="Calibri" w:hAnsi="Calibri"/>
                <w:b/>
                <w:bCs/>
                <w:color w:val="FFFFFF"/>
                <w:sz w:val="18"/>
                <w:szCs w:val="18"/>
              </w:rPr>
              <w:t xml:space="preserve">F1(M)</w:t>
            </w:r>
          </w:p>
        </w:tc>
        <w:tc>
          <w:tcPr>
            <w:tcW w:type="dxa" w:w="1400"/>
            <w:shd w:fill="2F5496" w:val="clear"/>
            <w:vAlign w:val="center"/>
          </w:tcPr>
          <w:p>
            <w:pPr>
              <w:jc w:val="center"/>
            </w:pPr>
            <w:r>
              <w:rPr>
                <w:rFonts w:ascii="Calibri" w:cs="Calibri" w:eastAsia="Calibri" w:hAnsi="Calibri"/>
                <w:b/>
                <w:bCs/>
                <w:color w:val="FFFFFF"/>
                <w:sz w:val="18"/>
                <w:szCs w:val="18"/>
              </w:rPr>
              <w:t xml:space="preserve">MCC</w:t>
            </w:r>
          </w:p>
        </w:tc>
      </w:tr>
      <w:tr>
        <w:tc>
          <w:tcPr>
            <w:tcW w:type="dxa" w:w="4400"/>
            <w:vAlign w:val="center"/>
          </w:tcPr>
          <w:p>
            <w:pPr>
              <w:jc w:val="center"/>
            </w:pPr>
            <w:r>
              <w:rPr>
                <w:rFonts w:ascii="Calibri" w:cs="Calibri" w:eastAsia="Calibri" w:hAnsi="Calibri"/>
                <w:b w:val="false"/>
                <w:bCs w:val="false"/>
                <w:color w:val="000000"/>
                <w:sz w:val="18"/>
                <w:szCs w:val="18"/>
              </w:rPr>
              <w:t xml:space="preserve">Fisher G-test (klasik baseline)</w:t>
            </w:r>
          </w:p>
        </w:tc>
        <w:tc>
          <w:tcPr>
            <w:tcW w:type="dxa" w:w="1400"/>
            <w:vAlign w:val="center"/>
          </w:tcPr>
          <w:p>
            <w:pPr>
              <w:jc w:val="center"/>
            </w:pPr>
            <w:r>
              <w:rPr>
                <w:rFonts w:ascii="Calibri" w:cs="Calibri" w:eastAsia="Calibri" w:hAnsi="Calibri"/>
                <w:b w:val="false"/>
                <w:bCs w:val="false"/>
                <w:color w:val="000000"/>
                <w:sz w:val="18"/>
                <w:szCs w:val="18"/>
              </w:rPr>
              <w:t xml:space="preserve">0.6622</w:t>
            </w:r>
          </w:p>
        </w:tc>
        <w:tc>
          <w:tcPr>
            <w:tcW w:type="dxa" w:w="1400"/>
            <w:vAlign w:val="center"/>
          </w:tcPr>
          <w:p>
            <w:pPr>
              <w:jc w:val="center"/>
            </w:pPr>
            <w:r>
              <w:rPr>
                <w:rFonts w:ascii="Calibri" w:cs="Calibri" w:eastAsia="Calibri" w:hAnsi="Calibri"/>
                <w:b w:val="false"/>
                <w:bCs w:val="false"/>
                <w:color w:val="000000"/>
                <w:sz w:val="18"/>
                <w:szCs w:val="18"/>
              </w:rPr>
              <w:t xml:space="preserve">0.5649</w:t>
            </w:r>
          </w:p>
        </w:tc>
        <w:tc>
          <w:tcPr>
            <w:tcW w:type="dxa" w:w="1400"/>
            <w:vAlign w:val="center"/>
          </w:tcPr>
          <w:p>
            <w:pPr>
              <w:jc w:val="center"/>
            </w:pPr>
            <w:r>
              <w:rPr>
                <w:rFonts w:ascii="Calibri" w:cs="Calibri" w:eastAsia="Calibri" w:hAnsi="Calibri"/>
                <w:b w:val="false"/>
                <w:bCs w:val="false"/>
                <w:color w:val="000000"/>
                <w:sz w:val="18"/>
                <w:szCs w:val="18"/>
              </w:rPr>
              <w:t xml:space="preserve">0.1675</w:t>
            </w:r>
          </w:p>
        </w:tc>
      </w:tr>
      <w:tr>
        <w:tc>
          <w:tcPr>
            <w:tcW w:type="dxa" w:w="4400"/>
            <w:vAlign w:val="center"/>
          </w:tcPr>
          <w:p>
            <w:pPr>
              <w:jc w:val="center"/>
            </w:pPr>
            <w:r>
              <w:rPr>
                <w:rFonts w:ascii="Calibri" w:cs="Calibri" w:eastAsia="Calibri" w:hAnsi="Calibri"/>
                <w:b w:val="false"/>
                <w:bCs w:val="false"/>
                <w:color w:val="000000"/>
                <w:sz w:val="18"/>
                <w:szCs w:val="18"/>
              </w:rPr>
              <w:t xml:space="preserve">Sadece-ELU modeli (bağımsız doğrulama)</w:t>
            </w:r>
          </w:p>
        </w:tc>
        <w:tc>
          <w:tcPr>
            <w:tcW w:type="dxa" w:w="1400"/>
            <w:vAlign w:val="center"/>
          </w:tcPr>
          <w:p>
            <w:pPr>
              <w:jc w:val="center"/>
            </w:pPr>
            <w:r>
              <w:rPr>
                <w:rFonts w:ascii="Calibri" w:cs="Calibri" w:eastAsia="Calibri" w:hAnsi="Calibri"/>
                <w:b w:val="false"/>
                <w:bCs w:val="false"/>
                <w:color w:val="000000"/>
                <w:sz w:val="18"/>
                <w:szCs w:val="18"/>
              </w:rPr>
              <w:t xml:space="preserve">0.6455</w:t>
            </w:r>
          </w:p>
        </w:tc>
        <w:tc>
          <w:tcPr>
            <w:tcW w:type="dxa" w:w="1400"/>
            <w:vAlign w:val="center"/>
          </w:tcPr>
          <w:p>
            <w:pPr>
              <w:jc w:val="center"/>
            </w:pPr>
            <w:r>
              <w:rPr>
                <w:rFonts w:ascii="Calibri" w:cs="Calibri" w:eastAsia="Calibri" w:hAnsi="Calibri"/>
                <w:b w:val="false"/>
                <w:bCs w:val="false"/>
                <w:color w:val="000000"/>
                <w:sz w:val="18"/>
                <w:szCs w:val="18"/>
              </w:rPr>
              <w:t xml:space="preserve">0.6073</w:t>
            </w:r>
          </w:p>
        </w:tc>
        <w:tc>
          <w:tcPr>
            <w:tcW w:type="dxa" w:w="1400"/>
            <w:vAlign w:val="center"/>
          </w:tcPr>
          <w:p>
            <w:pPr>
              <w:jc w:val="center"/>
            </w:pPr>
            <w:r>
              <w:rPr>
                <w:rFonts w:ascii="Calibri" w:cs="Calibri" w:eastAsia="Calibri" w:hAnsi="Calibri"/>
                <w:b w:val="false"/>
                <w:bCs w:val="false"/>
                <w:color w:val="000000"/>
                <w:sz w:val="18"/>
                <w:szCs w:val="18"/>
              </w:rPr>
              <w:t xml:space="preserve">0.2355</w:t>
            </w:r>
          </w:p>
        </w:tc>
      </w:tr>
      <w:tr>
        <w:tc>
          <w:tcPr>
            <w:tcW w:type="dxa" w:w="4400"/>
            <w:vAlign w:val="center"/>
          </w:tcPr>
          <w:p>
            <w:pPr>
              <w:jc w:val="center"/>
            </w:pPr>
            <w:r>
              <w:rPr>
                <w:rFonts w:ascii="Calibri" w:cs="Calibri" w:eastAsia="Calibri" w:hAnsi="Calibri"/>
                <w:b w:val="false"/>
                <w:bCs w:val="false"/>
                <w:color w:val="000000"/>
                <w:sz w:val="18"/>
                <w:szCs w:val="18"/>
              </w:rPr>
              <w:t xml:space="preserve">Tam model (alpha+cdc15+cdc28+elu)</w:t>
            </w:r>
          </w:p>
        </w:tc>
        <w:tc>
          <w:tcPr>
            <w:tcW w:type="dxa" w:w="1400"/>
            <w:vAlign w:val="center"/>
          </w:tcPr>
          <w:p>
            <w:pPr>
              <w:jc w:val="center"/>
            </w:pPr>
            <w:r>
              <w:rPr>
                <w:rFonts w:ascii="Calibri" w:cs="Calibri" w:eastAsia="Calibri" w:hAnsi="Calibri"/>
                <w:b w:val="false"/>
                <w:bCs w:val="false"/>
                <w:color w:val="000000"/>
                <w:sz w:val="18"/>
                <w:szCs w:val="18"/>
              </w:rPr>
              <w:t xml:space="preserve">0.9707</w:t>
            </w:r>
          </w:p>
        </w:tc>
        <w:tc>
          <w:tcPr>
            <w:tcW w:type="dxa" w:w="1400"/>
            <w:vAlign w:val="center"/>
          </w:tcPr>
          <w:p>
            <w:pPr>
              <w:jc w:val="center"/>
            </w:pPr>
            <w:r>
              <w:rPr>
                <w:rFonts w:ascii="Calibri" w:cs="Calibri" w:eastAsia="Calibri" w:hAnsi="Calibri"/>
                <w:b w:val="false"/>
                <w:bCs w:val="false"/>
                <w:color w:val="000000"/>
                <w:sz w:val="18"/>
                <w:szCs w:val="18"/>
              </w:rPr>
              <w:t xml:space="preserve">0.8871</w:t>
            </w:r>
          </w:p>
        </w:tc>
        <w:tc>
          <w:tcPr>
            <w:tcW w:type="dxa" w:w="1400"/>
            <w:vAlign w:val="center"/>
          </w:tcPr>
          <w:p>
            <w:pPr>
              <w:jc w:val="center"/>
            </w:pPr>
            <w:r>
              <w:rPr>
                <w:rFonts w:ascii="Calibri" w:cs="Calibri" w:eastAsia="Calibri" w:hAnsi="Calibri"/>
                <w:b w:val="false"/>
                <w:bCs w:val="false"/>
                <w:color w:val="000000"/>
                <w:sz w:val="18"/>
                <w:szCs w:val="18"/>
              </w:rPr>
              <w:t xml:space="preserve">0.7774</w:t>
            </w:r>
          </w:p>
        </w:tc>
      </w:tr>
    </w:tbl>
    <w:p>
      <w:pPr>
        <w:spacing w:after="160" w:line="300"/>
        <w:jc w:val="both"/>
      </w:pPr>
      <w:r>
        <w:rPr>
          <w:rFonts w:ascii="Calibri" w:cs="Calibri" w:eastAsia="Calibri" w:hAnsi="Calibri"/>
          <w:b w:val="false"/>
          <w:bCs w:val="false"/>
          <w:i w:val="false"/>
          <w:iCs w:val="false"/>
          <w:sz w:val="22"/>
          <w:szCs w:val="22"/>
        </w:rPr>
        <w:t xml:space="preserve">Sadece-elutriation modeli, klasik Fisher G-testine yakın ancak onu belirgin biçimde aşmayan bir performans göstermiştir (AUC=0.6455 vs 0.6622). Bu bulgu, modelin başarısının döngüsel bir ezberden değil, çoklu deney entegrasyonundan kaynaklandığını desteklemektedir: etiketin türetilmesine hiç katılmayan tek deneyden elde edilebilecek bağımsız sinyal sınırlıdır; asıl performans artışı, üç deneyin (alfa, cdc15, cdc28) birlikte kullanılmasından ve bunların çapraz tutarlılığından gelmektedir.</w:t>
      </w:r>
    </w:p>
    <w:p>
      <w:pPr>
        <w:pStyle w:val="Heading2"/>
        <w:spacing w:after="150" w:before="300"/>
      </w:pPr>
      <w:r>
        <w:t xml:space="preserve">5.7 Yeni Gen Adayları ve GO Zenginleştirme</w:t>
      </w:r>
    </w:p>
    <w:p>
      <w:pPr>
        <w:spacing w:after="160" w:line="300"/>
        <w:jc w:val="both"/>
      </w:pPr>
      <w:r>
        <w:rPr>
          <w:rFonts w:ascii="Calibri" w:cs="Calibri" w:eastAsia="Calibri" w:hAnsi="Calibri"/>
          <w:b w:val="false"/>
          <w:bCs w:val="false"/>
          <w:i w:val="false"/>
          <w:iCs w:val="false"/>
          <w:sz w:val="22"/>
          <w:szCs w:val="22"/>
        </w:rPr>
        <w:t xml:space="preserve">Model, 800 genlik altın standart dışında kalan 5378 gene uygulanmış; ≥0.80 olasılıkla periyodik tahmin edilen 16 aday belirlenmiştir. En yüksek olasılıklı adaylardan bazıları ve bilinen fonksiyonları Tablo 5.7'de sunulmuştur.</w:t>
      </w:r>
    </w:p>
    <w:p>
      <w:pPr>
        <w:spacing w:after="240" w:before="60"/>
        <w:jc w:val="center"/>
      </w:pPr>
      <w:r>
        <w:rPr>
          <w:rFonts w:ascii="Calibri" w:cs="Calibri" w:eastAsia="Calibri" w:hAnsi="Calibri"/>
          <w:i/>
          <w:iCs/>
          <w:sz w:val="20"/>
          <w:szCs w:val="20"/>
        </w:rPr>
        <w:t xml:space="preserve">Tablo 5.7 — Seçilmiş yeni periyodik gen adayları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300"/>
        <w:gridCol w:w="5400"/>
      </w:tblGrid>
      <w:tr>
        <w:trPr>
          <w:tblHeader/>
        </w:trPr>
        <w:tc>
          <w:tcPr>
            <w:tcW w:type="dxa" w:w="1300"/>
            <w:shd w:fill="2F5496" w:val="clear"/>
            <w:vAlign w:val="center"/>
          </w:tcPr>
          <w:p>
            <w:pPr>
              <w:jc w:val="center"/>
            </w:pPr>
            <w:r>
              <w:rPr>
                <w:rFonts w:ascii="Calibri" w:cs="Calibri" w:eastAsia="Calibri" w:hAnsi="Calibri"/>
                <w:b/>
                <w:bCs/>
                <w:color w:val="FFFFFF"/>
                <w:sz w:val="18"/>
                <w:szCs w:val="18"/>
              </w:rPr>
              <w:t xml:space="preserve">ORF</w:t>
            </w:r>
          </w:p>
        </w:tc>
        <w:tc>
          <w:tcPr>
            <w:tcW w:type="dxa" w:w="1000"/>
            <w:shd w:fill="2F5496" w:val="clear"/>
            <w:vAlign w:val="center"/>
          </w:tcPr>
          <w:p>
            <w:pPr>
              <w:jc w:val="center"/>
            </w:pPr>
            <w:r>
              <w:rPr>
                <w:rFonts w:ascii="Calibri" w:cs="Calibri" w:eastAsia="Calibri" w:hAnsi="Calibri"/>
                <w:b/>
                <w:bCs/>
                <w:color w:val="FFFFFF"/>
                <w:sz w:val="18"/>
                <w:szCs w:val="18"/>
              </w:rPr>
              <w:t xml:space="preserve">Gen adı</w:t>
            </w:r>
          </w:p>
        </w:tc>
        <w:tc>
          <w:tcPr>
            <w:tcW w:type="dxa" w:w="1300"/>
            <w:shd w:fill="2F5496" w:val="clear"/>
            <w:vAlign w:val="center"/>
          </w:tcPr>
          <w:p>
            <w:pPr>
              <w:jc w:val="center"/>
            </w:pPr>
            <w:r>
              <w:rPr>
                <w:rFonts w:ascii="Calibri" w:cs="Calibri" w:eastAsia="Calibri" w:hAnsi="Calibri"/>
                <w:b/>
                <w:bCs/>
                <w:color w:val="FFFFFF"/>
                <w:sz w:val="18"/>
                <w:szCs w:val="18"/>
              </w:rPr>
              <w:t xml:space="preserve">Tahmini olasılık</w:t>
            </w:r>
          </w:p>
        </w:tc>
        <w:tc>
          <w:tcPr>
            <w:tcW w:type="dxa" w:w="5400"/>
            <w:shd w:fill="2F5496" w:val="clear"/>
            <w:vAlign w:val="center"/>
          </w:tcPr>
          <w:p>
            <w:pPr>
              <w:jc w:val="center"/>
            </w:pPr>
            <w:r>
              <w:rPr>
                <w:rFonts w:ascii="Calibri" w:cs="Calibri" w:eastAsia="Calibri" w:hAnsi="Calibri"/>
                <w:b/>
                <w:bCs/>
                <w:color w:val="FFFFFF"/>
                <w:sz w:val="18"/>
                <w:szCs w:val="18"/>
              </w:rPr>
              <w:t xml:space="preserve">Bilinen fonksiyon</w:t>
            </w:r>
          </w:p>
        </w:tc>
      </w:tr>
      <w:tr>
        <w:tc>
          <w:tcPr>
            <w:tcW w:type="dxa" w:w="1300"/>
            <w:vAlign w:val="center"/>
          </w:tcPr>
          <w:p>
            <w:pPr>
              <w:jc w:val="center"/>
            </w:pPr>
            <w:r>
              <w:rPr>
                <w:rFonts w:ascii="Calibri" w:cs="Calibri" w:eastAsia="Calibri" w:hAnsi="Calibri"/>
                <w:b w:val="false"/>
                <w:bCs w:val="false"/>
                <w:color w:val="000000"/>
                <w:sz w:val="18"/>
                <w:szCs w:val="18"/>
              </w:rPr>
              <w:t xml:space="preserve">YNR028W</w:t>
            </w:r>
          </w:p>
        </w:tc>
        <w:tc>
          <w:tcPr>
            <w:tcW w:type="dxa" w:w="1000"/>
            <w:vAlign w:val="center"/>
          </w:tcPr>
          <w:p>
            <w:pPr>
              <w:jc w:val="center"/>
            </w:pPr>
            <w:r>
              <w:rPr>
                <w:rFonts w:ascii="Calibri" w:cs="Calibri" w:eastAsia="Calibri" w:hAnsi="Calibri"/>
                <w:b w:val="false"/>
                <w:bCs w:val="false"/>
                <w:color w:val="000000"/>
                <w:sz w:val="18"/>
                <w:szCs w:val="18"/>
              </w:rPr>
              <w:t xml:space="preserve">CPR8</w:t>
            </w:r>
          </w:p>
        </w:tc>
        <w:tc>
          <w:tcPr>
            <w:tcW w:type="dxa" w:w="1300"/>
            <w:vAlign w:val="center"/>
          </w:tcPr>
          <w:p>
            <w:pPr>
              <w:jc w:val="center"/>
            </w:pPr>
            <w:r>
              <w:rPr>
                <w:rFonts w:ascii="Calibri" w:cs="Calibri" w:eastAsia="Calibri" w:hAnsi="Calibri"/>
                <w:b w:val="false"/>
                <w:bCs w:val="false"/>
                <w:color w:val="000000"/>
                <w:sz w:val="18"/>
                <w:szCs w:val="18"/>
              </w:rPr>
              <w:t xml:space="preserve">0.999999</w:t>
            </w:r>
          </w:p>
        </w:tc>
        <w:tc>
          <w:tcPr>
            <w:tcW w:type="dxa" w:w="5400"/>
            <w:vAlign w:val="center"/>
          </w:tcPr>
          <w:p>
            <w:pPr>
              <w:jc w:val="center"/>
            </w:pPr>
            <w:r>
              <w:rPr>
                <w:rFonts w:ascii="Calibri" w:cs="Calibri" w:eastAsia="Calibri" w:hAnsi="Calibri"/>
                <w:b w:val="false"/>
                <w:bCs w:val="false"/>
                <w:color w:val="000000"/>
                <w:sz w:val="18"/>
                <w:szCs w:val="18"/>
              </w:rPr>
              <w:t xml:space="preserve">Peptidil-prolil izomeraz (siklofilin)</w:t>
            </w:r>
          </w:p>
        </w:tc>
      </w:tr>
      <w:tr>
        <w:tc>
          <w:tcPr>
            <w:tcW w:type="dxa" w:w="1300"/>
            <w:vAlign w:val="center"/>
          </w:tcPr>
          <w:p>
            <w:pPr>
              <w:jc w:val="center"/>
            </w:pPr>
            <w:r>
              <w:rPr>
                <w:rFonts w:ascii="Calibri" w:cs="Calibri" w:eastAsia="Calibri" w:hAnsi="Calibri"/>
                <w:b w:val="false"/>
                <w:bCs w:val="false"/>
                <w:color w:val="000000"/>
                <w:sz w:val="18"/>
                <w:szCs w:val="18"/>
              </w:rPr>
              <w:t xml:space="preserve">YBL032W</w:t>
            </w:r>
          </w:p>
        </w:tc>
        <w:tc>
          <w:tcPr>
            <w:tcW w:type="dxa" w:w="1000"/>
            <w:vAlign w:val="center"/>
          </w:tcPr>
          <w:p>
            <w:pPr>
              <w:jc w:val="center"/>
            </w:pPr>
            <w:r>
              <w:rPr>
                <w:rFonts w:ascii="Calibri" w:cs="Calibri" w:eastAsia="Calibri" w:hAnsi="Calibri"/>
                <w:b w:val="false"/>
                <w:bCs w:val="false"/>
                <w:color w:val="000000"/>
                <w:sz w:val="18"/>
                <w:szCs w:val="18"/>
              </w:rPr>
              <w:t xml:space="preserve">HEK2</w:t>
            </w:r>
          </w:p>
        </w:tc>
        <w:tc>
          <w:tcPr>
            <w:tcW w:type="dxa" w:w="1300"/>
            <w:vAlign w:val="center"/>
          </w:tcPr>
          <w:p>
            <w:pPr>
              <w:jc w:val="center"/>
            </w:pPr>
            <w:r>
              <w:rPr>
                <w:rFonts w:ascii="Calibri" w:cs="Calibri" w:eastAsia="Calibri" w:hAnsi="Calibri"/>
                <w:b w:val="false"/>
                <w:bCs w:val="false"/>
                <w:color w:val="000000"/>
                <w:sz w:val="18"/>
                <w:szCs w:val="18"/>
              </w:rPr>
              <w:t xml:space="preserve">0.999967</w:t>
            </w:r>
          </w:p>
        </w:tc>
        <w:tc>
          <w:tcPr>
            <w:tcW w:type="dxa" w:w="5400"/>
            <w:vAlign w:val="center"/>
          </w:tcPr>
          <w:p>
            <w:pPr>
              <w:jc w:val="center"/>
            </w:pPr>
            <w:r>
              <w:rPr>
                <w:rFonts w:ascii="Calibri" w:cs="Calibri" w:eastAsia="Calibri" w:hAnsi="Calibri"/>
                <w:b w:val="false"/>
                <w:bCs w:val="false"/>
                <w:color w:val="000000"/>
                <w:sz w:val="18"/>
                <w:szCs w:val="18"/>
              </w:rPr>
              <w:t xml:space="preserve">ASH1 mRNA lokalizasyonunda rol oynayan RNA bağlayıcı protein</w:t>
            </w:r>
          </w:p>
        </w:tc>
      </w:tr>
      <w:tr>
        <w:tc>
          <w:tcPr>
            <w:tcW w:type="dxa" w:w="1300"/>
            <w:vAlign w:val="center"/>
          </w:tcPr>
          <w:p>
            <w:pPr>
              <w:jc w:val="center"/>
            </w:pPr>
            <w:r>
              <w:rPr>
                <w:rFonts w:ascii="Calibri" w:cs="Calibri" w:eastAsia="Calibri" w:hAnsi="Calibri"/>
                <w:b w:val="false"/>
                <w:bCs w:val="false"/>
                <w:color w:val="000000"/>
                <w:sz w:val="18"/>
                <w:szCs w:val="18"/>
              </w:rPr>
              <w:t xml:space="preserve">YHR139C</w:t>
            </w:r>
          </w:p>
        </w:tc>
        <w:tc>
          <w:tcPr>
            <w:tcW w:type="dxa" w:w="1000"/>
            <w:vAlign w:val="center"/>
          </w:tcPr>
          <w:p>
            <w:pPr>
              <w:jc w:val="center"/>
            </w:pPr>
            <w:r>
              <w:rPr>
                <w:rFonts w:ascii="Calibri" w:cs="Calibri" w:eastAsia="Calibri" w:hAnsi="Calibri"/>
                <w:b w:val="false"/>
                <w:bCs w:val="false"/>
                <w:color w:val="000000"/>
                <w:sz w:val="18"/>
                <w:szCs w:val="18"/>
              </w:rPr>
              <w:t xml:space="preserve">SPS100</w:t>
            </w:r>
          </w:p>
        </w:tc>
        <w:tc>
          <w:tcPr>
            <w:tcW w:type="dxa" w:w="1300"/>
            <w:vAlign w:val="center"/>
          </w:tcPr>
          <w:p>
            <w:pPr>
              <w:jc w:val="center"/>
            </w:pPr>
            <w:r>
              <w:rPr>
                <w:rFonts w:ascii="Calibri" w:cs="Calibri" w:eastAsia="Calibri" w:hAnsi="Calibri"/>
                <w:b w:val="false"/>
                <w:bCs w:val="false"/>
                <w:color w:val="000000"/>
                <w:sz w:val="18"/>
                <w:szCs w:val="18"/>
              </w:rPr>
              <w:t xml:space="preserve">0.999731</w:t>
            </w:r>
          </w:p>
        </w:tc>
        <w:tc>
          <w:tcPr>
            <w:tcW w:type="dxa" w:w="5400"/>
            <w:vAlign w:val="center"/>
          </w:tcPr>
          <w:p>
            <w:pPr>
              <w:jc w:val="center"/>
            </w:pPr>
            <w:r>
              <w:rPr>
                <w:rFonts w:ascii="Calibri" w:cs="Calibri" w:eastAsia="Calibri" w:hAnsi="Calibri"/>
                <w:b w:val="false"/>
                <w:bCs w:val="false"/>
                <w:color w:val="000000"/>
                <w:sz w:val="18"/>
                <w:szCs w:val="18"/>
              </w:rPr>
              <w:t xml:space="preserve">Spor duvarı olgunlaşması için gerekli</w:t>
            </w:r>
          </w:p>
        </w:tc>
      </w:tr>
      <w:tr>
        <w:tc>
          <w:tcPr>
            <w:tcW w:type="dxa" w:w="1300"/>
            <w:vAlign w:val="center"/>
          </w:tcPr>
          <w:p>
            <w:pPr>
              <w:jc w:val="center"/>
            </w:pPr>
            <w:r>
              <w:rPr>
                <w:rFonts w:ascii="Calibri" w:cs="Calibri" w:eastAsia="Calibri" w:hAnsi="Calibri"/>
                <w:b w:val="false"/>
                <w:bCs w:val="false"/>
                <w:color w:val="000000"/>
                <w:sz w:val="18"/>
                <w:szCs w:val="18"/>
              </w:rPr>
              <w:t xml:space="preserve">YDR523C</w:t>
            </w:r>
          </w:p>
        </w:tc>
        <w:tc>
          <w:tcPr>
            <w:tcW w:type="dxa" w:w="1000"/>
            <w:vAlign w:val="center"/>
          </w:tcPr>
          <w:p>
            <w:pPr>
              <w:jc w:val="center"/>
            </w:pPr>
            <w:r>
              <w:rPr>
                <w:rFonts w:ascii="Calibri" w:cs="Calibri" w:eastAsia="Calibri" w:hAnsi="Calibri"/>
                <w:b w:val="false"/>
                <w:bCs w:val="false"/>
                <w:color w:val="000000"/>
                <w:sz w:val="18"/>
                <w:szCs w:val="18"/>
              </w:rPr>
              <w:t xml:space="preserve">SPS1</w:t>
            </w:r>
          </w:p>
        </w:tc>
        <w:tc>
          <w:tcPr>
            <w:tcW w:type="dxa" w:w="1300"/>
            <w:vAlign w:val="center"/>
          </w:tcPr>
          <w:p>
            <w:pPr>
              <w:jc w:val="center"/>
            </w:pPr>
            <w:r>
              <w:rPr>
                <w:rFonts w:ascii="Calibri" w:cs="Calibri" w:eastAsia="Calibri" w:hAnsi="Calibri"/>
                <w:b w:val="false"/>
                <w:bCs w:val="false"/>
                <w:color w:val="000000"/>
                <w:sz w:val="18"/>
                <w:szCs w:val="18"/>
              </w:rPr>
              <w:t xml:space="preserve">0.999713</w:t>
            </w:r>
          </w:p>
        </w:tc>
        <w:tc>
          <w:tcPr>
            <w:tcW w:type="dxa" w:w="5400"/>
            <w:vAlign w:val="center"/>
          </w:tcPr>
          <w:p>
            <w:pPr>
              <w:jc w:val="center"/>
            </w:pPr>
            <w:r>
              <w:rPr>
                <w:rFonts w:ascii="Calibri" w:cs="Calibri" w:eastAsia="Calibri" w:hAnsi="Calibri"/>
                <w:b w:val="false"/>
                <w:bCs w:val="false"/>
                <w:color w:val="000000"/>
                <w:sz w:val="18"/>
                <w:szCs w:val="18"/>
              </w:rPr>
              <w:t xml:space="preserve">Spor paketlenmesi ve spor duvarı sentezi</w:t>
            </w:r>
          </w:p>
        </w:tc>
      </w:tr>
      <w:tr>
        <w:tc>
          <w:tcPr>
            <w:tcW w:type="dxa" w:w="1300"/>
            <w:vAlign w:val="center"/>
          </w:tcPr>
          <w:p>
            <w:pPr>
              <w:jc w:val="center"/>
            </w:pPr>
            <w:r>
              <w:rPr>
                <w:rFonts w:ascii="Calibri" w:cs="Calibri" w:eastAsia="Calibri" w:hAnsi="Calibri"/>
                <w:b w:val="false"/>
                <w:bCs w:val="false"/>
                <w:color w:val="000000"/>
                <w:sz w:val="18"/>
                <w:szCs w:val="18"/>
              </w:rPr>
              <w:t xml:space="preserve">YFL068W</w:t>
            </w:r>
          </w:p>
        </w:tc>
        <w:tc>
          <w:tcPr>
            <w:tcW w:type="dxa" w:w="1000"/>
            <w:vAlign w:val="center"/>
          </w:tcPr>
          <w:p>
            <w:pPr>
              <w:jc w:val="center"/>
            </w:pPr>
            <w:r>
              <w:rPr>
                <w:rFonts w:ascii="Calibri" w:cs="Calibri" w:eastAsia="Calibri" w:hAnsi="Calibri"/>
                <w:b w:val="false"/>
                <w:bCs w:val="false"/>
                <w:color w:val="000000"/>
                <w:sz w:val="18"/>
                <w:szCs w:val="18"/>
              </w:rPr>
              <w:t xml:space="preserve">—</w:t>
            </w:r>
          </w:p>
        </w:tc>
        <w:tc>
          <w:tcPr>
            <w:tcW w:type="dxa" w:w="1300"/>
            <w:vAlign w:val="center"/>
          </w:tcPr>
          <w:p>
            <w:pPr>
              <w:jc w:val="center"/>
            </w:pPr>
            <w:r>
              <w:rPr>
                <w:rFonts w:ascii="Calibri" w:cs="Calibri" w:eastAsia="Calibri" w:hAnsi="Calibri"/>
                <w:b w:val="false"/>
                <w:bCs w:val="false"/>
                <w:color w:val="000000"/>
                <w:sz w:val="18"/>
                <w:szCs w:val="18"/>
              </w:rPr>
              <w:t xml:space="preserve">0.999239</w:t>
            </w:r>
          </w:p>
        </w:tc>
        <w:tc>
          <w:tcPr>
            <w:tcW w:type="dxa" w:w="5400"/>
            <w:vAlign w:val="center"/>
          </w:tcPr>
          <w:p>
            <w:pPr>
              <w:jc w:val="center"/>
            </w:pPr>
            <w:r>
              <w:rPr>
                <w:rFonts w:ascii="Calibri" w:cs="Calibri" w:eastAsia="Calibri" w:hAnsi="Calibri"/>
                <w:b w:val="false"/>
                <w:bCs w:val="false"/>
                <w:color w:val="000000"/>
                <w:sz w:val="18"/>
                <w:szCs w:val="18"/>
              </w:rPr>
              <w:t xml:space="preserve">Fonksiyonu bilinmiyor</w:t>
            </w:r>
          </w:p>
        </w:tc>
      </w:tr>
      <w:tr>
        <w:tc>
          <w:tcPr>
            <w:tcW w:type="dxa" w:w="1300"/>
            <w:vAlign w:val="center"/>
          </w:tcPr>
          <w:p>
            <w:pPr>
              <w:jc w:val="center"/>
            </w:pPr>
            <w:r>
              <w:rPr>
                <w:rFonts w:ascii="Calibri" w:cs="Calibri" w:eastAsia="Calibri" w:hAnsi="Calibri"/>
                <w:b w:val="false"/>
                <w:bCs w:val="false"/>
                <w:color w:val="000000"/>
                <w:sz w:val="18"/>
                <w:szCs w:val="18"/>
              </w:rPr>
              <w:t xml:space="preserve">YDL009C</w:t>
            </w:r>
          </w:p>
        </w:tc>
        <w:tc>
          <w:tcPr>
            <w:tcW w:type="dxa" w:w="1000"/>
            <w:vAlign w:val="center"/>
          </w:tcPr>
          <w:p>
            <w:pPr>
              <w:jc w:val="center"/>
            </w:pPr>
            <w:r>
              <w:rPr>
                <w:rFonts w:ascii="Calibri" w:cs="Calibri" w:eastAsia="Calibri" w:hAnsi="Calibri"/>
                <w:b w:val="false"/>
                <w:bCs w:val="false"/>
                <w:color w:val="000000"/>
                <w:sz w:val="18"/>
                <w:szCs w:val="18"/>
              </w:rPr>
              <w:t xml:space="preserve">—</w:t>
            </w:r>
          </w:p>
        </w:tc>
        <w:tc>
          <w:tcPr>
            <w:tcW w:type="dxa" w:w="1300"/>
            <w:vAlign w:val="center"/>
          </w:tcPr>
          <w:p>
            <w:pPr>
              <w:jc w:val="center"/>
            </w:pPr>
            <w:r>
              <w:rPr>
                <w:rFonts w:ascii="Calibri" w:cs="Calibri" w:eastAsia="Calibri" w:hAnsi="Calibri"/>
                <w:b w:val="false"/>
                <w:bCs w:val="false"/>
                <w:color w:val="000000"/>
                <w:sz w:val="18"/>
                <w:szCs w:val="18"/>
              </w:rPr>
              <w:t xml:space="preserve">0.997035</w:t>
            </w:r>
          </w:p>
        </w:tc>
        <w:tc>
          <w:tcPr>
            <w:tcW w:type="dxa" w:w="5400"/>
            <w:vAlign w:val="center"/>
          </w:tcPr>
          <w:p>
            <w:pPr>
              <w:jc w:val="center"/>
            </w:pPr>
            <w:r>
              <w:rPr>
                <w:rFonts w:ascii="Calibri" w:cs="Calibri" w:eastAsia="Calibri" w:hAnsi="Calibri"/>
                <w:b w:val="false"/>
                <w:bCs w:val="false"/>
                <w:color w:val="000000"/>
                <w:sz w:val="18"/>
                <w:szCs w:val="18"/>
              </w:rPr>
              <w:t xml:space="preserve">Fonksiyonu bilinmiyor</w:t>
            </w:r>
          </w:p>
        </w:tc>
      </w:tr>
      <w:tr>
        <w:tc>
          <w:tcPr>
            <w:tcW w:type="dxa" w:w="1300"/>
            <w:vAlign w:val="center"/>
          </w:tcPr>
          <w:p>
            <w:pPr>
              <w:jc w:val="center"/>
            </w:pPr>
            <w:r>
              <w:rPr>
                <w:rFonts w:ascii="Calibri" w:cs="Calibri" w:eastAsia="Calibri" w:hAnsi="Calibri"/>
                <w:b w:val="false"/>
                <w:bCs w:val="false"/>
                <w:color w:val="000000"/>
                <w:sz w:val="18"/>
                <w:szCs w:val="18"/>
              </w:rPr>
              <w:t xml:space="preserve">YDR518W</w:t>
            </w:r>
          </w:p>
        </w:tc>
        <w:tc>
          <w:tcPr>
            <w:tcW w:type="dxa" w:w="1000"/>
            <w:vAlign w:val="center"/>
          </w:tcPr>
          <w:p>
            <w:pPr>
              <w:jc w:val="center"/>
            </w:pPr>
            <w:r>
              <w:rPr>
                <w:rFonts w:ascii="Calibri" w:cs="Calibri" w:eastAsia="Calibri" w:hAnsi="Calibri"/>
                <w:b w:val="false"/>
                <w:bCs w:val="false"/>
                <w:color w:val="000000"/>
                <w:sz w:val="18"/>
                <w:szCs w:val="18"/>
              </w:rPr>
              <w:t xml:space="preserve">EUG1</w:t>
            </w:r>
          </w:p>
        </w:tc>
        <w:tc>
          <w:tcPr>
            <w:tcW w:type="dxa" w:w="1300"/>
            <w:vAlign w:val="center"/>
          </w:tcPr>
          <w:p>
            <w:pPr>
              <w:jc w:val="center"/>
            </w:pPr>
            <w:r>
              <w:rPr>
                <w:rFonts w:ascii="Calibri" w:cs="Calibri" w:eastAsia="Calibri" w:hAnsi="Calibri"/>
                <w:b w:val="false"/>
                <w:bCs w:val="false"/>
                <w:color w:val="000000"/>
                <w:sz w:val="18"/>
                <w:szCs w:val="18"/>
              </w:rPr>
              <w:t xml:space="preserve">0.995681</w:t>
            </w:r>
          </w:p>
        </w:tc>
        <w:tc>
          <w:tcPr>
            <w:tcW w:type="dxa" w:w="5400"/>
            <w:vAlign w:val="center"/>
          </w:tcPr>
          <w:p>
            <w:pPr>
              <w:jc w:val="center"/>
            </w:pPr>
            <w:r>
              <w:rPr>
                <w:rFonts w:ascii="Calibri" w:cs="Calibri" w:eastAsia="Calibri" w:hAnsi="Calibri"/>
                <w:b w:val="false"/>
                <w:bCs w:val="false"/>
                <w:color w:val="000000"/>
                <w:sz w:val="18"/>
                <w:szCs w:val="18"/>
              </w:rPr>
              <w:t xml:space="preserve">ER lümeninde protein disülfit izomeraz</w:t>
            </w:r>
          </w:p>
        </w:tc>
      </w:tr>
      <w:tr>
        <w:tc>
          <w:tcPr>
            <w:tcW w:type="dxa" w:w="1300"/>
            <w:vAlign w:val="center"/>
          </w:tcPr>
          <w:p>
            <w:pPr>
              <w:jc w:val="center"/>
            </w:pPr>
            <w:r>
              <w:rPr>
                <w:rFonts w:ascii="Calibri" w:cs="Calibri" w:eastAsia="Calibri" w:hAnsi="Calibri"/>
                <w:b w:val="false"/>
                <w:bCs w:val="false"/>
                <w:color w:val="000000"/>
                <w:sz w:val="18"/>
                <w:szCs w:val="18"/>
              </w:rPr>
              <w:t xml:space="preserve">YDR044W</w:t>
            </w:r>
          </w:p>
        </w:tc>
        <w:tc>
          <w:tcPr>
            <w:tcW w:type="dxa" w:w="1000"/>
            <w:vAlign w:val="center"/>
          </w:tcPr>
          <w:p>
            <w:pPr>
              <w:jc w:val="center"/>
            </w:pPr>
            <w:r>
              <w:rPr>
                <w:rFonts w:ascii="Calibri" w:cs="Calibri" w:eastAsia="Calibri" w:hAnsi="Calibri"/>
                <w:b w:val="false"/>
                <w:bCs w:val="false"/>
                <w:color w:val="000000"/>
                <w:sz w:val="18"/>
                <w:szCs w:val="18"/>
              </w:rPr>
              <w:t xml:space="preserve">HEM13</w:t>
            </w:r>
          </w:p>
        </w:tc>
        <w:tc>
          <w:tcPr>
            <w:tcW w:type="dxa" w:w="1300"/>
            <w:vAlign w:val="center"/>
          </w:tcPr>
          <w:p>
            <w:pPr>
              <w:jc w:val="center"/>
            </w:pPr>
            <w:r>
              <w:rPr>
                <w:rFonts w:ascii="Calibri" w:cs="Calibri" w:eastAsia="Calibri" w:hAnsi="Calibri"/>
                <w:b w:val="false"/>
                <w:bCs w:val="false"/>
                <w:color w:val="000000"/>
                <w:sz w:val="18"/>
                <w:szCs w:val="18"/>
              </w:rPr>
              <w:t xml:space="preserve">0.974016</w:t>
            </w:r>
          </w:p>
        </w:tc>
        <w:tc>
          <w:tcPr>
            <w:tcW w:type="dxa" w:w="5400"/>
            <w:vAlign w:val="center"/>
          </w:tcPr>
          <w:p>
            <w:pPr>
              <w:jc w:val="center"/>
            </w:pPr>
            <w:r>
              <w:rPr>
                <w:rFonts w:ascii="Calibri" w:cs="Calibri" w:eastAsia="Calibri" w:hAnsi="Calibri"/>
                <w:b w:val="false"/>
                <w:bCs w:val="false"/>
                <w:color w:val="000000"/>
                <w:sz w:val="18"/>
                <w:szCs w:val="18"/>
              </w:rPr>
              <w:t xml:space="preserve">Hem biyosentez yolunda koproporfirinojen oksidaz</w:t>
            </w:r>
          </w:p>
        </w:tc>
      </w:tr>
      <w:tr>
        <w:tc>
          <w:tcPr>
            <w:tcW w:type="dxa" w:w="1300"/>
            <w:vAlign w:val="center"/>
          </w:tcPr>
          <w:p>
            <w:pPr>
              <w:jc w:val="center"/>
            </w:pPr>
            <w:r>
              <w:rPr>
                <w:rFonts w:ascii="Calibri" w:cs="Calibri" w:eastAsia="Calibri" w:hAnsi="Calibri"/>
                <w:b w:val="false"/>
                <w:bCs w:val="false"/>
                <w:color w:val="000000"/>
                <w:sz w:val="18"/>
                <w:szCs w:val="18"/>
              </w:rPr>
              <w:t xml:space="preserve">YPR183W</w:t>
            </w:r>
          </w:p>
        </w:tc>
        <w:tc>
          <w:tcPr>
            <w:tcW w:type="dxa" w:w="1000"/>
            <w:vAlign w:val="center"/>
          </w:tcPr>
          <w:p>
            <w:pPr>
              <w:jc w:val="center"/>
            </w:pPr>
            <w:r>
              <w:rPr>
                <w:rFonts w:ascii="Calibri" w:cs="Calibri" w:eastAsia="Calibri" w:hAnsi="Calibri"/>
                <w:b w:val="false"/>
                <w:bCs w:val="false"/>
                <w:color w:val="000000"/>
                <w:sz w:val="18"/>
                <w:szCs w:val="18"/>
              </w:rPr>
              <w:t xml:space="preserve">DPM1</w:t>
            </w:r>
          </w:p>
        </w:tc>
        <w:tc>
          <w:tcPr>
            <w:tcW w:type="dxa" w:w="1300"/>
            <w:vAlign w:val="center"/>
          </w:tcPr>
          <w:p>
            <w:pPr>
              <w:jc w:val="center"/>
            </w:pPr>
            <w:r>
              <w:rPr>
                <w:rFonts w:ascii="Calibri" w:cs="Calibri" w:eastAsia="Calibri" w:hAnsi="Calibri"/>
                <w:b w:val="false"/>
                <w:bCs w:val="false"/>
                <w:color w:val="000000"/>
                <w:sz w:val="18"/>
                <w:szCs w:val="18"/>
              </w:rPr>
              <w:t xml:space="preserve">0.937281</w:t>
            </w:r>
          </w:p>
        </w:tc>
        <w:tc>
          <w:tcPr>
            <w:tcW w:type="dxa" w:w="5400"/>
            <w:vAlign w:val="center"/>
          </w:tcPr>
          <w:p>
            <w:pPr>
              <w:jc w:val="center"/>
            </w:pPr>
            <w:r>
              <w:rPr>
                <w:rFonts w:ascii="Calibri" w:cs="Calibri" w:eastAsia="Calibri" w:hAnsi="Calibri"/>
                <w:b w:val="false"/>
                <w:bCs w:val="false"/>
                <w:color w:val="000000"/>
                <w:sz w:val="18"/>
                <w:szCs w:val="18"/>
              </w:rPr>
              <w:t xml:space="preserve">Dolikol-fosfat-mannoz sentazı (GPI/glikozilasyon)</w:t>
            </w:r>
          </w:p>
        </w:tc>
      </w:tr>
      <w:tr>
        <w:tc>
          <w:tcPr>
            <w:tcW w:type="dxa" w:w="1300"/>
            <w:vAlign w:val="center"/>
          </w:tcPr>
          <w:p>
            <w:pPr>
              <w:jc w:val="center"/>
            </w:pPr>
            <w:r>
              <w:rPr>
                <w:rFonts w:ascii="Calibri" w:cs="Calibri" w:eastAsia="Calibri" w:hAnsi="Calibri"/>
                <w:b w:val="false"/>
                <w:bCs w:val="false"/>
                <w:color w:val="000000"/>
                <w:sz w:val="18"/>
                <w:szCs w:val="18"/>
              </w:rPr>
              <w:t xml:space="preserve">YPR165W</w:t>
            </w:r>
          </w:p>
        </w:tc>
        <w:tc>
          <w:tcPr>
            <w:tcW w:type="dxa" w:w="1000"/>
            <w:vAlign w:val="center"/>
          </w:tcPr>
          <w:p>
            <w:pPr>
              <w:jc w:val="center"/>
            </w:pPr>
            <w:r>
              <w:rPr>
                <w:rFonts w:ascii="Calibri" w:cs="Calibri" w:eastAsia="Calibri" w:hAnsi="Calibri"/>
                <w:b w:val="false"/>
                <w:bCs w:val="false"/>
                <w:color w:val="000000"/>
                <w:sz w:val="18"/>
                <w:szCs w:val="18"/>
              </w:rPr>
              <w:t xml:space="preserve">RHO1</w:t>
            </w:r>
          </w:p>
        </w:tc>
        <w:tc>
          <w:tcPr>
            <w:tcW w:type="dxa" w:w="1300"/>
            <w:vAlign w:val="center"/>
          </w:tcPr>
          <w:p>
            <w:pPr>
              <w:jc w:val="center"/>
            </w:pPr>
            <w:r>
              <w:rPr>
                <w:rFonts w:ascii="Calibri" w:cs="Calibri" w:eastAsia="Calibri" w:hAnsi="Calibri"/>
                <w:b w:val="false"/>
                <w:bCs w:val="false"/>
                <w:color w:val="000000"/>
                <w:sz w:val="18"/>
                <w:szCs w:val="18"/>
              </w:rPr>
              <w:t xml:space="preserve">0.631521</w:t>
            </w:r>
          </w:p>
        </w:tc>
        <w:tc>
          <w:tcPr>
            <w:tcW w:type="dxa" w:w="5400"/>
            <w:vAlign w:val="center"/>
          </w:tcPr>
          <w:p>
            <w:pPr>
              <w:jc w:val="center"/>
            </w:pPr>
            <w:r>
              <w:rPr>
                <w:rFonts w:ascii="Calibri" w:cs="Calibri" w:eastAsia="Calibri" w:hAnsi="Calibri"/>
                <w:b w:val="false"/>
                <w:bCs w:val="false"/>
                <w:color w:val="000000"/>
                <w:sz w:val="18"/>
                <w:szCs w:val="18"/>
              </w:rPr>
              <w:t xml:space="preserve">1,3-beta-glukan sentaz düzenleyicisi (hücre duvarı)</w:t>
            </w:r>
          </w:p>
        </w:tc>
      </w:tr>
    </w:tbl>
    <w:p>
      <w:pPr>
        <w:spacing w:after="160" w:line="300"/>
        <w:jc w:val="both"/>
      </w:pPr>
      <w:r>
        <w:rPr>
          <w:rFonts w:ascii="Calibri" w:cs="Calibri" w:eastAsia="Calibri" w:hAnsi="Calibri"/>
          <w:b w:val="false"/>
          <w:bCs w:val="false"/>
          <w:i w:val="false"/>
          <w:iCs w:val="false"/>
          <w:sz w:val="22"/>
          <w:szCs w:val="22"/>
        </w:rPr>
        <w:t xml:space="preserve">Bu 16 aday üzerinde yapılan GO zenginleştirme analizi, aşağıdaki terimde istatistiksel olarak anlamlı bir zenginleşme ortaya koymuştur:</w:t>
      </w:r>
    </w:p>
    <w:p>
      <w:pPr>
        <w:spacing w:after="240" w:before="60"/>
        <w:jc w:val="center"/>
      </w:pPr>
      <w:r>
        <w:rPr>
          <w:rFonts w:ascii="Calibri" w:cs="Calibri" w:eastAsia="Calibri" w:hAnsi="Calibri"/>
          <w:i/>
          <w:iCs/>
          <w:sz w:val="20"/>
          <w:szCs w:val="20"/>
        </w:rPr>
        <w:t xml:space="preserve">Tablo 5.8 — GO zenginleştirme sonucu (g:SCS düzeltmesi ile anlamlı, p_adj&lt;0.05)</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1400"/>
        <w:gridCol w:w="1600"/>
        <w:gridCol w:w="1800"/>
      </w:tblGrid>
      <w:tr>
        <w:trPr>
          <w:tblHeader/>
        </w:trPr>
        <w:tc>
          <w:tcPr>
            <w:tcW w:type="dxa" w:w="1600"/>
            <w:shd w:fill="2F5496" w:val="clear"/>
            <w:vAlign w:val="center"/>
          </w:tcPr>
          <w:p>
            <w:pPr>
              <w:jc w:val="center"/>
            </w:pPr>
            <w:r>
              <w:rPr>
                <w:rFonts w:ascii="Calibri" w:cs="Calibri" w:eastAsia="Calibri" w:hAnsi="Calibri"/>
                <w:b/>
                <w:bCs/>
                <w:color w:val="FFFFFF"/>
                <w:sz w:val="18"/>
                <w:szCs w:val="18"/>
              </w:rPr>
              <w:t xml:space="preserve">GO Terim ID</w:t>
            </w:r>
          </w:p>
        </w:tc>
        <w:tc>
          <w:tcPr>
            <w:tcW w:type="dxa" w:w="3600"/>
            <w:shd w:fill="2F5496" w:val="clear"/>
            <w:vAlign w:val="center"/>
          </w:tcPr>
          <w:p>
            <w:pPr>
              <w:jc w:val="center"/>
            </w:pPr>
            <w:r>
              <w:rPr>
                <w:rFonts w:ascii="Calibri" w:cs="Calibri" w:eastAsia="Calibri" w:hAnsi="Calibri"/>
                <w:b/>
                <w:bCs/>
                <w:color w:val="FFFFFF"/>
                <w:sz w:val="18"/>
                <w:szCs w:val="18"/>
              </w:rPr>
              <w:t xml:space="preserve">Terim adı</w:t>
            </w:r>
          </w:p>
        </w:tc>
        <w:tc>
          <w:tcPr>
            <w:tcW w:type="dxa" w:w="1400"/>
            <w:shd w:fill="2F5496" w:val="clear"/>
            <w:vAlign w:val="center"/>
          </w:tcPr>
          <w:p>
            <w:pPr>
              <w:jc w:val="center"/>
            </w:pPr>
            <w:r>
              <w:rPr>
                <w:rFonts w:ascii="Calibri" w:cs="Calibri" w:eastAsia="Calibri" w:hAnsi="Calibri"/>
                <w:b/>
                <w:bCs/>
                <w:color w:val="FFFFFF"/>
                <w:sz w:val="18"/>
                <w:szCs w:val="18"/>
              </w:rPr>
              <w:t xml:space="preserve">Terim büyüklüğü</w:t>
            </w:r>
          </w:p>
        </w:tc>
        <w:tc>
          <w:tcPr>
            <w:tcW w:type="dxa" w:w="1600"/>
            <w:shd w:fill="2F5496" w:val="clear"/>
            <w:vAlign w:val="center"/>
          </w:tcPr>
          <w:p>
            <w:pPr>
              <w:jc w:val="center"/>
            </w:pPr>
            <w:r>
              <w:rPr>
                <w:rFonts w:ascii="Calibri" w:cs="Calibri" w:eastAsia="Calibri" w:hAnsi="Calibri"/>
                <w:b/>
                <w:bCs/>
                <w:color w:val="FFFFFF"/>
                <w:sz w:val="18"/>
                <w:szCs w:val="18"/>
              </w:rPr>
              <w:t xml:space="preserve">Kesişim büyüklüğü</w:t>
            </w:r>
          </w:p>
        </w:tc>
        <w:tc>
          <w:tcPr>
            <w:tcW w:type="dxa" w:w="1800"/>
            <w:shd w:fill="2F5496" w:val="clear"/>
            <w:vAlign w:val="center"/>
          </w:tcPr>
          <w:p>
            <w:pPr>
              <w:jc w:val="center"/>
            </w:pPr>
            <w:r>
              <w:rPr>
                <w:rFonts w:ascii="Calibri" w:cs="Calibri" w:eastAsia="Calibri" w:hAnsi="Calibri"/>
                <w:b/>
                <w:bCs/>
                <w:color w:val="FFFFFF"/>
                <w:sz w:val="18"/>
                <w:szCs w:val="18"/>
              </w:rPr>
              <w:t xml:space="preserve">Düzeltilmiş p-değeri</w:t>
            </w:r>
          </w:p>
        </w:tc>
      </w:tr>
      <w:tr>
        <w:tc>
          <w:tcPr>
            <w:tcW w:type="dxa" w:w="1600"/>
            <w:vAlign w:val="center"/>
          </w:tcPr>
          <w:p>
            <w:pPr>
              <w:jc w:val="center"/>
            </w:pPr>
            <w:r>
              <w:rPr>
                <w:rFonts w:ascii="Calibri" w:cs="Calibri" w:eastAsia="Calibri" w:hAnsi="Calibri"/>
                <w:b w:val="false"/>
                <w:bCs w:val="false"/>
                <w:color w:val="000000"/>
                <w:sz w:val="18"/>
                <w:szCs w:val="18"/>
              </w:rPr>
              <w:t xml:space="preserve">GO:0009272</w:t>
            </w:r>
          </w:p>
        </w:tc>
        <w:tc>
          <w:tcPr>
            <w:tcW w:type="dxa" w:w="3600"/>
            <w:vAlign w:val="center"/>
          </w:tcPr>
          <w:p>
            <w:pPr>
              <w:jc w:val="center"/>
            </w:pPr>
            <w:r>
              <w:rPr>
                <w:rFonts w:ascii="Calibri" w:cs="Calibri" w:eastAsia="Calibri" w:hAnsi="Calibri"/>
                <w:b w:val="false"/>
                <w:bCs w:val="false"/>
                <w:color w:val="000000"/>
                <w:sz w:val="18"/>
                <w:szCs w:val="18"/>
              </w:rPr>
              <w:t xml:space="preserve">fungal-type cell wall biogenesis</w:t>
            </w:r>
          </w:p>
        </w:tc>
        <w:tc>
          <w:tcPr>
            <w:tcW w:type="dxa" w:w="1400"/>
            <w:vAlign w:val="center"/>
          </w:tcPr>
          <w:p>
            <w:pPr>
              <w:jc w:val="center"/>
            </w:pPr>
            <w:r>
              <w:rPr>
                <w:rFonts w:ascii="Calibri" w:cs="Calibri" w:eastAsia="Calibri" w:hAnsi="Calibri"/>
                <w:b w:val="false"/>
                <w:bCs w:val="false"/>
                <w:color w:val="000000"/>
                <w:sz w:val="18"/>
                <w:szCs w:val="18"/>
              </w:rPr>
              <w:t xml:space="preserve">80</w:t>
            </w:r>
          </w:p>
        </w:tc>
        <w:tc>
          <w:tcPr>
            <w:tcW w:type="dxa" w:w="1600"/>
            <w:vAlign w:val="center"/>
          </w:tcPr>
          <w:p>
            <w:pPr>
              <w:jc w:val="center"/>
            </w:pPr>
            <w:r>
              <w:rPr>
                <w:rFonts w:ascii="Calibri" w:cs="Calibri" w:eastAsia="Calibri" w:hAnsi="Calibri"/>
                <w:b w:val="false"/>
                <w:bCs w:val="false"/>
                <w:color w:val="000000"/>
                <w:sz w:val="18"/>
                <w:szCs w:val="18"/>
              </w:rPr>
              <w:t xml:space="preserve">4</w:t>
            </w:r>
          </w:p>
        </w:tc>
        <w:tc>
          <w:tcPr>
            <w:tcW w:type="dxa" w:w="1800"/>
            <w:vAlign w:val="center"/>
          </w:tcPr>
          <w:p>
            <w:pPr>
              <w:jc w:val="center"/>
            </w:pPr>
            <w:r>
              <w:rPr>
                <w:rFonts w:ascii="Calibri" w:cs="Calibri" w:eastAsia="Calibri" w:hAnsi="Calibri"/>
                <w:b w:val="false"/>
                <w:bCs w:val="false"/>
                <w:color w:val="000000"/>
                <w:sz w:val="18"/>
                <w:szCs w:val="18"/>
              </w:rPr>
              <w:t xml:space="preserve">0.0137 (FDR) / 0.0189 (g:SCS)</w:t>
            </w:r>
          </w:p>
        </w:tc>
      </w:tr>
    </w:tbl>
    <w:p>
      <w:pPr>
        <w:spacing w:after="160" w:line="300"/>
        <w:jc w:val="both"/>
      </w:pPr>
      <w:r>
        <w:rPr>
          <w:rFonts w:ascii="Calibri" w:cs="Calibri" w:eastAsia="Calibri" w:hAnsi="Calibri"/>
          <w:b w:val="false"/>
          <w:bCs w:val="false"/>
          <w:i w:val="false"/>
          <w:iCs w:val="false"/>
          <w:sz w:val="22"/>
          <w:szCs w:val="22"/>
        </w:rPr>
        <w:t xml:space="preserve">Bu zenginleşmeye katkı sağladığı değerlendirilen genler arasında SPS100 ve SPS1 (doğrudan spor duvarı sentezi ile ilişkili), DPM1 ve RHO1 (hücre duvarı biyosentezinin düzenleyici bileşenleri) bulunmaktadır. Bu genlerin işlevsel akrabalığı, maya hücre döngüsünün M/G1 fazıyla iyi bilinen ilişkisiyle (Spellman ve ark., 1998) örtüşmektedir. Aday listesindeki iki gen (YAL004W, YOR331C) SGD veritabanında 'dubious ORF' (şüpheli açık okuma çerçevesi) olarak işaretlenmiş olup, muhtemelen örtüştükleri doğrulanmış genlerin (sırasıyla SSA1, VMA4) ifade profillerini yansıtmaktadır.</w:t>
      </w:r>
    </w:p>
    <w:p>
      <w:pPr>
        <w:pStyle w:val="Heading1"/>
        <w:spacing w:after="200" w:before="400"/>
      </w:pPr>
      <w:r>
        <w:t xml:space="preserve">6. TARTIŞMA</w:t>
      </w:r>
    </w:p>
    <w:p>
      <w:pPr>
        <w:pStyle w:val="Heading2"/>
        <w:spacing w:after="150" w:before="300"/>
      </w:pPr>
      <w:r>
        <w:t xml:space="preserve">6.1 Referans Çalışma ile Karşılaştırma</w:t>
      </w:r>
    </w:p>
    <w:p>
      <w:pPr>
        <w:spacing w:after="160" w:line="300"/>
        <w:jc w:val="both"/>
      </w:pPr>
      <w:r>
        <w:rPr>
          <w:rFonts w:ascii="Calibri" w:cs="Calibri" w:eastAsia="Calibri" w:hAnsi="Calibri"/>
          <w:b w:val="false"/>
          <w:bCs w:val="false"/>
          <w:i w:val="false"/>
          <w:iCs w:val="false"/>
          <w:sz w:val="22"/>
          <w:szCs w:val="22"/>
        </w:rPr>
        <w:t xml:space="preserve">Bu çalışma, giriş bölümünde belirtilen üç metodolojik soruna doğrudan çözüm sunmaktadır. Test setinde eşik optimizasyonu yapılması sorunu, eşik aramasının yalnızca eğitim setinin kutu-dışı tahminleri üzerinde yapılması ve test setinin yalnızca bir kez kullanılmasıyla giderilmiştir. Bu değişikliğin somut etkisi Bölüm 5.3'te gösterilmiştir: eğitim setinde 'en iyi' görünen eşik (0.48), test setinde varsayılan eşikten (0.50) yalnızca ihmal edilebilir düzeyde farklı performans göstermiştir — bu, doğru metodolojinin, referans çalışmadaki gibi yanıltıcı bir 'iyileşme' iddiasını önlediğinin doğrudan kanıtıdır.</w:t>
      </w:r>
    </w:p>
    <w:p>
      <w:pPr>
        <w:pStyle w:val="Heading2"/>
        <w:spacing w:after="150" w:before="300"/>
      </w:pPr>
      <w:r>
        <w:t xml:space="preserve">6.2 Döngüsellik Sorununa Getirilen Çözüm</w:t>
      </w:r>
    </w:p>
    <w:p>
      <w:pPr>
        <w:spacing w:after="160" w:line="300"/>
        <w:jc w:val="both"/>
      </w:pPr>
      <w:r>
        <w:rPr>
          <w:rFonts w:ascii="Calibri" w:cs="Calibri" w:eastAsia="Calibri" w:hAnsi="Calibri"/>
          <w:b w:val="false"/>
          <w:bCs w:val="false"/>
          <w:i w:val="false"/>
          <w:iCs w:val="false"/>
          <w:sz w:val="22"/>
          <w:szCs w:val="22"/>
        </w:rPr>
        <w:t xml:space="preserve">İkinci sorun olan döngüsellik riski, iki tamamlayıcı analizle ele alınmıştır: (i) SHAP analizinde, etiketin türetilmesine katılmayan elutriation deneyinden gelen özniteliklerin (örn. elu_autocorr_lag2) yine de model kararına ölçülebilir katkı sağladığının gösterilmesi, ve (ii) yalnızca elutriation özniteliklerini kullanan bağımsız bir modelin, klasik taban çizgisine yakın ama üstünde bir performans göstermesi (Bölüm 5.6). Her iki bulgu da, modelin salt etiketleme algoritmasının istatistiksel imzasını ezberlemediğine, çoklu-deney entegrasyonundan gerçek bir katma değer ürettiğine işaret etmektedir.</w:t>
      </w:r>
    </w:p>
    <w:p>
      <w:pPr>
        <w:pStyle w:val="Heading2"/>
        <w:spacing w:after="150" w:before="300"/>
      </w:pPr>
      <w:r>
        <w:t xml:space="preserve">6.3 Tek-Deney Bağımlılığı Sorununa Getirilen Çözüm</w:t>
      </w:r>
    </w:p>
    <w:p>
      <w:pPr>
        <w:spacing w:after="160" w:line="300"/>
        <w:jc w:val="both"/>
      </w:pPr>
      <w:r>
        <w:rPr>
          <w:rFonts w:ascii="Calibri" w:cs="Calibri" w:eastAsia="Calibri" w:hAnsi="Calibri"/>
          <w:b w:val="false"/>
          <w:bCs w:val="false"/>
          <w:i w:val="false"/>
          <w:iCs w:val="false"/>
          <w:sz w:val="22"/>
          <w:szCs w:val="22"/>
        </w:rPr>
        <w:t xml:space="preserve">Üçüncü sorun, dört deneyin tamamının entegre edilmesi ve çapraz-deney tutarlılık özniteliklerinin geliştirilmesiyle giderilmiştir. Bu özniteliklerin SHAP analizinde en belirleyici ikinci ve üçüncü sırada çıkması (Tablo 5.3), bu tasarım kararının deneysel olarak doğrulandığını göstermektedir.</w:t>
      </w:r>
    </w:p>
    <w:p>
      <w:pPr>
        <w:pStyle w:val="Heading2"/>
        <w:spacing w:after="150" w:before="300"/>
      </w:pPr>
      <w:r>
        <w:t xml:space="preserve">6.4 Bulguların Biyolojik Yorumu</w:t>
      </w:r>
    </w:p>
    <w:p>
      <w:pPr>
        <w:spacing w:after="160" w:line="300"/>
        <w:jc w:val="both"/>
      </w:pPr>
      <w:r>
        <w:rPr>
          <w:rFonts w:ascii="Calibri" w:cs="Calibri" w:eastAsia="Calibri" w:hAnsi="Calibri"/>
          <w:b w:val="false"/>
          <w:bCs w:val="false"/>
          <w:i w:val="false"/>
          <w:iCs w:val="false"/>
          <w:sz w:val="22"/>
          <w:szCs w:val="22"/>
        </w:rPr>
        <w:t xml:space="preserve">Yeni gen keşfi analizi, yalnızca istatistiksel bir doğrulama değil, biyolojik olarak tutarlı bir doğrulama da sunmaktadır. SPS100 ve SPS1 gibi sporülasyon-spesifik genlerin, etiketlenmemiş aday havuzundan model tarafından bağımsız olarak yüksek olasılıkla periyodik tahmin edilmesi, ve bu genlerin GO zenginleştirme analizinde de anlamlı çıkması, modelin literatürde bilinen M/G1 fazı hücre duvarı/spor duvarı gen kümesiyle örtüşen gerçek bir biyolojik sinyali yakaladığına işaret etmektedir.</w:t>
      </w:r>
    </w:p>
    <w:p>
      <w:pPr>
        <w:pStyle w:val="Heading1"/>
        <w:spacing w:after="200" w:before="400"/>
      </w:pPr>
      <w:r>
        <w:t xml:space="preserve">7. SINIRLILIKLAR</w:t>
      </w:r>
    </w:p>
    <w:p>
      <w:pPr>
        <w:pStyle w:val="ListParagraph"/>
        <w:numPr>
          <w:ilvl w:val="0"/>
          <w:numId w:val="1"/>
        </w:numPr>
        <w:spacing w:after="80"/>
      </w:pPr>
      <w:r>
        <w:rPr>
          <w:rFonts w:ascii="Calibri" w:cs="Calibri" w:eastAsia="Calibri" w:hAnsi="Calibri"/>
          <w:sz w:val="22"/>
          <w:szCs w:val="22"/>
        </w:rPr>
        <w:t xml:space="preserve">Otokorelasyon hesaplamaları, zaman noktaları arasındaki değişken aralıklara rağmen ardışık indeks çiftleri üzerinden yaklaşık olarak hesaplanmıştır; bu, eşit olmayan örneklemeyi tam olarak modellemeyen bir yaklaşıklıktır.</w:t>
      </w:r>
    </w:p>
    <w:p>
      <w:pPr>
        <w:pStyle w:val="ListParagraph"/>
        <w:numPr>
          <w:ilvl w:val="0"/>
          <w:numId w:val="1"/>
        </w:numPr>
        <w:spacing w:after="80"/>
      </w:pPr>
      <w:r>
        <w:rPr>
          <w:rFonts w:ascii="Calibri" w:cs="Calibri" w:eastAsia="Calibri" w:hAnsi="Calibri"/>
          <w:sz w:val="22"/>
          <w:szCs w:val="22"/>
        </w:rPr>
        <w:t xml:space="preserve">Sinüzoidal eğri uydurma, kısa ve gürültülü zaman serilerinde (özellikle elutriation'da 14 nokta) sıklıkla yakınsama uyarıları (OptimizeWarning) üretmiştir; bu durumda nötr değerler atanmış olup, bu genler için bilgi kaybı söz konusu olabilir.</w:t>
      </w:r>
    </w:p>
    <w:p>
      <w:pPr>
        <w:pStyle w:val="ListParagraph"/>
        <w:numPr>
          <w:ilvl w:val="0"/>
          <w:numId w:val="1"/>
        </w:numPr>
        <w:spacing w:after="80"/>
      </w:pPr>
      <w:r>
        <w:rPr>
          <w:rFonts w:ascii="Calibri" w:cs="Calibri" w:eastAsia="Calibri" w:hAnsi="Calibri"/>
          <w:sz w:val="22"/>
          <w:szCs w:val="22"/>
        </w:rPr>
        <w:t xml:space="preserve">Yeni gen keşfi analizinde aday sayısı (n=16) istatistiksel güç açısından sınırlıdır; GO zenginleştirme sonuçları, daha büyük aday havuzları ile teyit edilmelidir.</w:t>
      </w:r>
    </w:p>
    <w:p>
      <w:pPr>
        <w:pStyle w:val="ListParagraph"/>
        <w:numPr>
          <w:ilvl w:val="0"/>
          <w:numId w:val="1"/>
        </w:numPr>
        <w:spacing w:after="80"/>
      </w:pPr>
      <w:r>
        <w:rPr>
          <w:rFonts w:ascii="Calibri" w:cs="Calibri" w:eastAsia="Calibri" w:hAnsi="Calibri"/>
          <w:sz w:val="22"/>
          <w:szCs w:val="22"/>
        </w:rPr>
        <w:t xml:space="preserve">GO zenginleştirmeye katkı sağlayan spesifik genlerin kimliği, g:Profiler arayüzünün kesişim gen listesi doğrudan alınmadan, terim tanımlarıyla ORF fonksiyon açıklamaları eşleştirilerek çıkarılmıştır; bu, otomatik değil yarı-elle yapılan bir adımdır ve ileride API üzerinden programatik olarak doğrulanmalıdır.</w:t>
      </w:r>
    </w:p>
    <w:p>
      <w:pPr>
        <w:pStyle w:val="ListParagraph"/>
        <w:numPr>
          <w:ilvl w:val="0"/>
          <w:numId w:val="1"/>
        </w:numPr>
        <w:spacing w:after="80"/>
      </w:pPr>
      <w:r>
        <w:rPr>
          <w:rFonts w:ascii="Calibri" w:cs="Calibri" w:eastAsia="Calibri" w:hAnsi="Calibri"/>
          <w:sz w:val="22"/>
          <w:szCs w:val="22"/>
        </w:rPr>
        <w:t xml:space="preserve">Model, yalnızca tek bir random_state (42) ile eğitilmiştir; farklı tohum değerleriyle tekrarlanan deneyler ve güven aralıkları raporlanmamıştır.</w:t>
      </w:r>
    </w:p>
    <w:p>
      <w:pPr>
        <w:pStyle w:val="ListParagraph"/>
        <w:numPr>
          <w:ilvl w:val="0"/>
          <w:numId w:val="1"/>
        </w:numPr>
        <w:spacing w:after="80"/>
      </w:pPr>
      <w:r>
        <w:rPr>
          <w:rFonts w:ascii="Calibri" w:cs="Calibri" w:eastAsia="Calibri" w:hAnsi="Calibri"/>
          <w:sz w:val="22"/>
          <w:szCs w:val="22"/>
        </w:rPr>
        <w:t xml:space="preserve">Model karşılaştırmaları arasında istatistiksel anlamlılık testi (örn. 5×2cv paired t-test) uygulanmamıştır; LightGBM'in diğer boosting modellerinden (XGBoost, CatBoost) anlamlı derecede üstün olup olmadığı doğrulanmamıştır.</w:t>
      </w:r>
    </w:p>
    <w:p>
      <w:pPr>
        <w:pStyle w:val="ListParagraph"/>
        <w:numPr>
          <w:ilvl w:val="0"/>
          <w:numId w:val="1"/>
        </w:numPr>
        <w:spacing w:after="80"/>
      </w:pPr>
      <w:r>
        <w:rPr>
          <w:rFonts w:ascii="Calibri" w:cs="Calibri" w:eastAsia="Calibri" w:hAnsi="Calibri"/>
          <w:sz w:val="22"/>
          <w:szCs w:val="22"/>
        </w:rPr>
        <w:t xml:space="preserve">Yalnızca alfa+cdc15+cdc28'den türetilen orijinal Spellman etiketi kullanılmıştır; Pramila ve ark. (2006) veya Rowicka ve ark. (2007) gibi bağımsız gold-standard listeleriyle dış doğrulama yapılmamıştır.</w:t>
      </w:r>
    </w:p>
    <w:p>
      <w:pPr>
        <w:pStyle w:val="ListParagraph"/>
        <w:numPr>
          <w:ilvl w:val="0"/>
          <w:numId w:val="1"/>
        </w:numPr>
        <w:spacing w:after="80"/>
      </w:pPr>
      <w:r>
        <w:rPr>
          <w:rFonts w:ascii="Calibri" w:cs="Calibri" w:eastAsia="Calibri" w:hAnsi="Calibri"/>
          <w:sz w:val="22"/>
          <w:szCs w:val="22"/>
        </w:rPr>
        <w:t xml:space="preserve">Nested cross-validation yerine tek bir train/test ayrımı ve tek katmanlı 5-fold CV kullanılmıştır; hiperparametreler manuel olarak (literatür ve önceki çalışmadan esinlenerek) belirlenmiş, sistematik bir arama (grid/random search, Optuna) yapılmamıştır.</w:t>
      </w:r>
    </w:p>
    <w:p>
      <w:pPr>
        <w:pStyle w:val="Heading1"/>
        <w:spacing w:after="200" w:before="400"/>
      </w:pPr>
      <w:r>
        <w:t xml:space="preserve">8. SONUÇ VE GELECEK ÇALIŞMALAR</w:t>
      </w:r>
    </w:p>
    <w:p>
      <w:pPr>
        <w:spacing w:after="160" w:line="300"/>
        <w:jc w:val="both"/>
      </w:pPr>
      <w:r>
        <w:rPr>
          <w:rFonts w:ascii="Calibri" w:cs="Calibri" w:eastAsia="Calibri" w:hAnsi="Calibri"/>
          <w:b w:val="false"/>
          <w:bCs w:val="false"/>
          <w:i w:val="false"/>
          <w:iCs w:val="false"/>
          <w:sz w:val="22"/>
          <w:szCs w:val="22"/>
        </w:rPr>
        <w:t xml:space="preserve">Bu tez, maya hücre döngüsünde periyodik gen ifadesinin sınıflandırılması problemini, önceki çalışmalarda tespit edilen üç kritik metodolojik zafiyeti (test seti sızıntısı, etiket-özellik döngüselliği, tek-deney bağımlılığı) doğrudan hedef alan bir yaklaşımla ele almıştır. Dört deneyin tam entegrasyonu, Lomb–Scargle periodogramı, çapraz-deney tutarlılık öznitelikleri ve sızıntısız bir değerlendirme protokolü ile, klasik Fisher G-test taban çizgisinin (AUC=0.66) belirgin şekilde üzerinde (AUC=0.97) bir performansa ulaşılmıştır. Bağımsız elutriation doğrulaması ve SHAP analizi, bu performansın döngüsel bir ezberden değil gerçek çoklu-deney entegrasyonundan kaynaklandığını göstermiştir. Son olarak, model altın standart dışındaki genlere uygulanarak biyolojik olarak anlamlı yeni gen adayları (hücre duvarı/spor duvarı biyogenezi ile ilişkili) önerilmiştir.</w:t>
      </w:r>
    </w:p>
    <w:p>
      <w:pPr>
        <w:spacing w:after="160" w:line="300"/>
        <w:jc w:val="both"/>
      </w:pPr>
      <w:r>
        <w:rPr>
          <w:rFonts w:ascii="Calibri" w:cs="Calibri" w:eastAsia="Calibri" w:hAnsi="Calibri"/>
          <w:b w:val="false"/>
          <w:bCs w:val="false"/>
          <w:i w:val="false"/>
          <w:iCs w:val="false"/>
          <w:sz w:val="22"/>
          <w:szCs w:val="22"/>
        </w:rPr>
        <w:t xml:space="preserve">Gelecek çalışmalar için önerilen yönler şunlardır:</w:t>
      </w:r>
    </w:p>
    <w:p>
      <w:pPr>
        <w:pStyle w:val="ListParagraph"/>
        <w:numPr>
          <w:ilvl w:val="0"/>
          <w:numId w:val="1"/>
        </w:numPr>
        <w:spacing w:after="80"/>
      </w:pPr>
      <w:r>
        <w:rPr>
          <w:rFonts w:ascii="Calibri" w:cs="Calibri" w:eastAsia="Calibri" w:hAnsi="Calibri"/>
          <w:sz w:val="22"/>
          <w:szCs w:val="22"/>
        </w:rPr>
        <w:t xml:space="preserve">Bağımsız gold-standard listeleri (Pramila ve ark. 2006; Rowicka ve ark. 2007) ile dış doğrulama yapılması;</w:t>
      </w:r>
    </w:p>
    <w:p>
      <w:pPr>
        <w:pStyle w:val="ListParagraph"/>
        <w:numPr>
          <w:ilvl w:val="0"/>
          <w:numId w:val="1"/>
        </w:numPr>
        <w:spacing w:after="80"/>
      </w:pPr>
      <w:r>
        <w:rPr>
          <w:rFonts w:ascii="Calibri" w:cs="Calibri" w:eastAsia="Calibri" w:hAnsi="Calibri"/>
          <w:sz w:val="22"/>
          <w:szCs w:val="22"/>
        </w:rPr>
        <w:t xml:space="preserve">Nested cross-validation ve sistematik hiperparametre araması ile modelin daha sıkı biçimde değerlendirilmesi;</w:t>
      </w:r>
    </w:p>
    <w:p>
      <w:pPr>
        <w:pStyle w:val="ListParagraph"/>
        <w:numPr>
          <w:ilvl w:val="0"/>
          <w:numId w:val="1"/>
        </w:numPr>
        <w:spacing w:after="80"/>
      </w:pPr>
      <w:r>
        <w:rPr>
          <w:rFonts w:ascii="Calibri" w:cs="Calibri" w:eastAsia="Calibri" w:hAnsi="Calibri"/>
          <w:sz w:val="22"/>
          <w:szCs w:val="22"/>
        </w:rPr>
        <w:t xml:space="preserve">Ham zaman serisini doğrudan işleyen 1D-CNN/LSTM mimarileriyle el-yapımı özniteliklerin karşılaştırılması;</w:t>
      </w:r>
    </w:p>
    <w:p>
      <w:pPr>
        <w:pStyle w:val="ListParagraph"/>
        <w:numPr>
          <w:ilvl w:val="0"/>
          <w:numId w:val="1"/>
        </w:numPr>
        <w:spacing w:after="80"/>
      </w:pPr>
      <w:r>
        <w:rPr>
          <w:rFonts w:ascii="Calibri" w:cs="Calibri" w:eastAsia="Calibri" w:hAnsi="Calibri"/>
          <w:sz w:val="22"/>
          <w:szCs w:val="22"/>
        </w:rPr>
        <w:t xml:space="preserve">Yeni gen adaylarının (özellikle fonksiyonu bilinmeyen YFL068W ve YDL009C) qPCR gibi bağımsız deneysel yöntemlerle doğrulanması;</w:t>
      </w:r>
    </w:p>
    <w:p>
      <w:pPr>
        <w:pStyle w:val="ListParagraph"/>
        <w:numPr>
          <w:ilvl w:val="0"/>
          <w:numId w:val="1"/>
        </w:numPr>
        <w:spacing w:after="80"/>
      </w:pPr>
      <w:r>
        <w:rPr>
          <w:rFonts w:ascii="Calibri" w:cs="Calibri" w:eastAsia="Calibri" w:hAnsi="Calibri"/>
          <w:sz w:val="22"/>
          <w:szCs w:val="22"/>
        </w:rPr>
        <w:t xml:space="preserve">Aday havuzunun genişletilerek GO zenginleştirme analizinin istatistiksel gücünün artırılması.</w:t>
      </w:r>
    </w:p>
    <w:p>
      <w:pPr>
        <w:pStyle w:val="Heading1"/>
        <w:spacing w:after="200" w:before="400"/>
      </w:pPr>
      <w:r>
        <w:t xml:space="preserve">KAYNAKÇA</w:t>
      </w:r>
    </w:p>
    <w:p>
      <w:pPr>
        <w:spacing w:after="160" w:line="300"/>
        <w:jc w:val="left"/>
      </w:pPr>
      <w:r>
        <w:rPr>
          <w:rFonts w:ascii="Calibri" w:cs="Calibri" w:eastAsia="Calibri" w:hAnsi="Calibri"/>
          <w:b w:val="false"/>
          <w:bCs w:val="false"/>
          <w:i w:val="false"/>
          <w:iCs w:val="false"/>
          <w:sz w:val="22"/>
          <w:szCs w:val="22"/>
        </w:rPr>
        <w:t xml:space="preserve">Cheng, C., Fu, Y., Shen, L., &amp; Gerstein, M. (2013). Identification of yeast cell cycle regulated genes based on genomic features. BMC Systems Biology, 7(1), 70.</w:t>
      </w:r>
    </w:p>
    <w:p>
      <w:pPr>
        <w:spacing w:after="160" w:line="300"/>
        <w:jc w:val="left"/>
      </w:pPr>
      <w:r>
        <w:rPr>
          <w:rFonts w:ascii="Calibri" w:cs="Calibri" w:eastAsia="Calibri" w:hAnsi="Calibri"/>
          <w:b w:val="false"/>
          <w:bCs w:val="false"/>
          <w:i w:val="false"/>
          <w:iCs w:val="false"/>
          <w:sz w:val="22"/>
          <w:szCs w:val="22"/>
        </w:rPr>
        <w:t xml:space="preserve">Chen, C. R., Shu, W. Y., Chang, C. W., &amp; Hsu, I. C. (2014). Identification of under-detected periodicity in time-series microarray data by using empirical mode decomposition. PLoS ONE, 9(11), e111719.</w:t>
      </w:r>
    </w:p>
    <w:p>
      <w:pPr>
        <w:spacing w:after="160" w:line="300"/>
        <w:jc w:val="left"/>
      </w:pPr>
      <w:r>
        <w:rPr>
          <w:rFonts w:ascii="Calibri" w:cs="Calibri" w:eastAsia="Calibri" w:hAnsi="Calibri"/>
          <w:b w:val="false"/>
          <w:bCs w:val="false"/>
          <w:i w:val="false"/>
          <w:iCs w:val="false"/>
          <w:sz w:val="22"/>
          <w:szCs w:val="22"/>
        </w:rPr>
        <w:t xml:space="preserve">Liew, A. W. C., Xian, J., Wu, S., Smith, D., &amp; Yan, H. (2007). Spectral estimation in unevenly sampled space of periodically expressed microarray time series data. BMC Bioinformatics, 8(1), 137.</w:t>
      </w:r>
    </w:p>
    <w:p>
      <w:pPr>
        <w:spacing w:after="160" w:line="300"/>
        <w:jc w:val="left"/>
      </w:pPr>
      <w:r>
        <w:rPr>
          <w:rFonts w:ascii="Calibri" w:cs="Calibri" w:eastAsia="Calibri" w:hAnsi="Calibri"/>
          <w:b w:val="false"/>
          <w:bCs w:val="false"/>
          <w:i w:val="false"/>
          <w:iCs w:val="false"/>
          <w:sz w:val="22"/>
          <w:szCs w:val="22"/>
        </w:rPr>
        <w:t xml:space="preserve">Lundberg, S. M., &amp; Lee, S. I. (2017). A unified approach to interpreting model predictions. Advances in Neural Information Processing Systems, 30.</w:t>
      </w:r>
    </w:p>
    <w:p>
      <w:pPr>
        <w:spacing w:after="160" w:line="300"/>
        <w:jc w:val="left"/>
      </w:pPr>
      <w:r>
        <w:rPr>
          <w:rFonts w:ascii="Calibri" w:cs="Calibri" w:eastAsia="Calibri" w:hAnsi="Calibri"/>
          <w:b w:val="false"/>
          <w:bCs w:val="false"/>
          <w:i w:val="false"/>
          <w:iCs w:val="false"/>
          <w:sz w:val="22"/>
          <w:szCs w:val="22"/>
        </w:rPr>
        <w:t xml:space="preserve">Pramila, T., Wu, W., Miles, S., Noble, W. S., &amp; Breeden, L. L. (2006). The Forkhead transcription factor Hcm1 regulates chromosome segregation genes and fills the S-phase gap in the transcriptional circuitry of the cell cycle. Genes &amp; Development, 20(16), 2266–2278.</w:t>
      </w:r>
    </w:p>
    <w:p>
      <w:pPr>
        <w:spacing w:after="160" w:line="300"/>
        <w:jc w:val="left"/>
      </w:pPr>
      <w:r>
        <w:rPr>
          <w:rFonts w:ascii="Calibri" w:cs="Calibri" w:eastAsia="Calibri" w:hAnsi="Calibri"/>
          <w:b w:val="false"/>
          <w:bCs w:val="false"/>
          <w:i w:val="false"/>
          <w:iCs w:val="false"/>
          <w:sz w:val="22"/>
          <w:szCs w:val="22"/>
        </w:rPr>
        <w:t xml:space="preserve">Reimand, J., Kull, M., Peterson, H., Hansen, J., &amp; Vilo, J. (2007). g:Profiler — a web-based toolset for functional profiling of gene lists from large-scale experiments. Nucleic Acids Research, 35(suppl_2), W193–W200.</w:t>
      </w:r>
    </w:p>
    <w:p>
      <w:pPr>
        <w:spacing w:after="160" w:line="300"/>
        <w:jc w:val="left"/>
      </w:pPr>
      <w:r>
        <w:rPr>
          <w:rFonts w:ascii="Calibri" w:cs="Calibri" w:eastAsia="Calibri" w:hAnsi="Calibri"/>
          <w:b w:val="false"/>
          <w:bCs w:val="false"/>
          <w:i w:val="false"/>
          <w:iCs w:val="false"/>
          <w:sz w:val="22"/>
          <w:szCs w:val="22"/>
        </w:rPr>
        <w:t xml:space="preserve">Rowicka, M., Kudlicki, A., Tu, B. P., &amp; Otwinowski, Z. (2007). High-resolution timing of cell cycle-regulated gene expression. Proceedings of the National Academy of Sciences, 104(43), 16892–16897.</w:t>
      </w:r>
    </w:p>
    <w:p>
      <w:pPr>
        <w:spacing w:after="160" w:line="300"/>
        <w:jc w:val="left"/>
      </w:pPr>
      <w:r>
        <w:rPr>
          <w:rFonts w:ascii="Calibri" w:cs="Calibri" w:eastAsia="Calibri" w:hAnsi="Calibri"/>
          <w:b w:val="false"/>
          <w:bCs w:val="false"/>
          <w:i w:val="false"/>
          <w:iCs w:val="false"/>
          <w:sz w:val="22"/>
          <w:szCs w:val="22"/>
        </w:rPr>
        <w:t xml:space="preserve">Spellman, P. T., Sherlock, G., Zhang, M. Q., Iyer, V. R., Anders, K., Eisen, M. B., ... &amp; Futcher, B. (1998). Comprehensive identification of cell cycle–regulated genes of the yeast Saccharomyces cerevisiae by microarray hybridization. Molecular Biology of the Cell, 9(12), 3273–3297.</w:t>
      </w:r>
    </w:p>
    <w:p>
      <w:pPr>
        <w:spacing w:after="160" w:line="300"/>
        <w:jc w:val="left"/>
      </w:pPr>
      <w:r>
        <w:rPr>
          <w:rFonts w:ascii="Calibri" w:cs="Calibri" w:eastAsia="Calibri" w:hAnsi="Calibri"/>
          <w:b w:val="false"/>
          <w:bCs w:val="false"/>
          <w:i w:val="false"/>
          <w:iCs w:val="false"/>
          <w:sz w:val="22"/>
          <w:szCs w:val="22"/>
        </w:rPr>
        <w:t xml:space="preserve">Wu, W. S., &amp; Li, W. H. (2008). Systematic identification of yeast cell cycle transcription factors using multiple data sources. BMC Bioinformatics, 9(1), 522.</w:t>
      </w:r>
    </w:p>
    <w:p>
      <w:pPr>
        <w:pStyle w:val="Heading1"/>
        <w:spacing w:after="200" w:before="400"/>
      </w:pPr>
      <w:r>
        <w:t xml:space="preserve">EK A: TEKRARLANABİLİRLİK VE KOD</w:t>
      </w:r>
    </w:p>
    <w:p>
      <w:pPr>
        <w:spacing w:after="160" w:line="300"/>
        <w:jc w:val="both"/>
      </w:pPr>
      <w:r>
        <w:rPr>
          <w:rFonts w:ascii="Calibri" w:cs="Calibri" w:eastAsia="Calibri" w:hAnsi="Calibri"/>
          <w:b w:val="false"/>
          <w:bCs w:val="false"/>
          <w:i w:val="false"/>
          <w:iCs w:val="false"/>
          <w:sz w:val="22"/>
          <w:szCs w:val="22"/>
        </w:rPr>
        <w:t xml:space="preserve">Bu çalışmanın tüm veri temini (R/Bioconductor yeastCC), ön işleme, özellik mühendisliği, model eğitimi ve değerlendirme adımları, sürüm kontrolü altında (git) tutulan, modüler Python ve R betikleri olarak uygulanmıştır. Kullanılan başlıca kütüphaneler: pandas, numpy, scikit-learn, scipy, lightgbm, xgboost, catboost, shap, gprofiler-official. Tüm ara sonuçlar (data/processed/), model dosyaları (models/) ve sonuç tabloları (results/tables/, results/figures/) proje deposunda saklanmıştır.</w:t>
      </w:r>
    </w:p>
    <w:p>
      <w:pPr>
        <w:pStyle w:val="Heading1"/>
        <w:spacing w:after="200" w:before="400"/>
      </w:pPr>
      <w:r>
        <w:t xml:space="preserve">EK B: EK TABLOLAR VE ŞEKİLLER</w:t>
      </w:r>
    </w:p>
    <w:p>
      <w:pPr>
        <w:spacing w:after="160" w:line="300"/>
        <w:jc w:val="both"/>
      </w:pPr>
      <w:r>
        <w:rPr>
          <w:rFonts w:ascii="Calibri" w:cs="Calibri" w:eastAsia="Calibri" w:hAnsi="Calibri"/>
          <w:b w:val="false"/>
          <w:bCs w:val="false"/>
          <w:i w:val="false"/>
          <w:iCs w:val="false"/>
          <w:sz w:val="22"/>
          <w:szCs w:val="22"/>
        </w:rPr>
        <w:t xml:space="preserve">Şekil 5.1 (n_timepoints_vs_auc.png): Zaman noktası sayısı ile tekil-deney AUC değeri arasındaki ilişkiyi gösteren dağılım grafiği.</w:t>
      </w:r>
    </w:p>
    <w:p>
      <w:pPr>
        <w:spacing w:after="160" w:line="300"/>
        <w:jc w:val="both"/>
      </w:pPr>
      <w:r>
        <w:rPr>
          <w:rFonts w:ascii="Calibri" w:cs="Calibri" w:eastAsia="Calibri" w:hAnsi="Calibri"/>
          <w:b w:val="false"/>
          <w:bCs w:val="false"/>
          <w:i w:val="false"/>
          <w:iCs w:val="false"/>
          <w:sz w:val="22"/>
          <w:szCs w:val="22"/>
        </w:rPr>
        <w:t xml:space="preserve">Şekil 5.2 (shap_summary.png): En önemli 20 özniteliğin SHAP özet grafiği.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sz w:val="16"/>
        <w:szCs w:val="16"/>
      </w:rPr>
      <w:t xml:space="preserve">Periyodik Genlerin Sınıflandırılması — Yüksek Lisans Tezi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80" w:before="36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2F549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2026-08-07T09:41:08.302Z</dcterms:created>
  <dcterms:modified xsi:type="dcterms:W3CDTF">2026-08-07T09:41:08.325Z</dcterms:modified>
</cp:coreProperties>
</file>

<file path=docProps/custom.xml><?xml version="1.0" encoding="utf-8"?>
<Properties xmlns="http://schemas.openxmlformats.org/officeDocument/2006/custom-properties" xmlns:vt="http://schemas.openxmlformats.org/officeDocument/2006/docPropsVTypes"/>
</file>