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5 Update</w:t>
      </w:r>
    </w:p>
    <w:p>
      <w:pPr>
        <w:pStyle w:val="Heading2"/>
      </w:pPr>
      <w:r>
        <w:t>Progress and issues resolved</w:t>
      </w:r>
    </w:p>
    <w:p>
      <w:r>
        <w:rPr>
          <w:b/>
        </w:rPr>
        <w:t>Trust Scoring Evaluation</w:t>
        <w:br/>
      </w:r>
    </w:p>
    <w:p>
      <w:r>
        <w:t>Completed evaluation of the wallet trust scoring system developed in Week 4. Analyzed the distribution of human trust scores to verify that the scoring system produces a reasonable spread of values across wallets. Reviewed trust tier assignments (Gold, Silver, Bronze) to ensure the classification thresholds produce balanced segmentation.</w:t>
      </w:r>
    </w:p>
    <w:p>
      <w:r>
        <w:rPr>
          <w:b/>
        </w:rPr>
        <w:t>Behavior Analysis</w:t>
        <w:br/>
      </w:r>
    </w:p>
    <w:p>
      <w:r>
        <w:t>Investigated relationships between behavioral features and trust scores, including wallet age, transaction burst patterns, and interaction diversity. Generated visualizations to understand how these behavioral signals influence trust scoring. Observed that wallets with longer histories and more diverse counterparties generally receive higher trust scores, while burst transaction behavior tends to lower scores.</w:t>
      </w:r>
    </w:p>
    <w:p>
      <w:r>
        <w:rPr>
          <w:b/>
        </w:rPr>
        <w:t>Model Validation</w:t>
        <w:br/>
      </w:r>
    </w:p>
    <w:p>
      <w:r>
        <w:t>Conducted sanity checks by simulating human-like and bot-like wallet profiles. Verified that the scoring framework assigns lower scores to bot-like behavior (high burst activity, few counterparties, very new wallets) and higher scores to human-like activity patterns.</w:t>
      </w:r>
    </w:p>
    <w:p>
      <w:r>
        <w:rPr>
          <w:b/>
        </w:rPr>
        <w:t>Issues Encountered</w:t>
        <w:br/>
      </w:r>
    </w:p>
    <w:p>
      <w:r>
        <w:t>Lack of labeled ground-truth data (human vs bot wallets) limits the ability to quantitatively validate the scoring system. Current scoring weights remain heuristic and will require calibration once labeled data becomes available.</w:t>
      </w:r>
    </w:p>
    <w:p>
      <w:pPr>
        <w:pStyle w:val="Heading2"/>
      </w:pPr>
      <w:r>
        <w:t>Next Week Plan</w:t>
      </w:r>
    </w:p>
    <w:p>
      <w:r>
        <w:t>Refine scoring thresholds and weights based on observed feature-score relationships.</w:t>
      </w:r>
    </w:p>
    <w:p>
      <w:r>
        <w:t>Expand the dataset with additional wallet samples to improve evaluation robustness.</w:t>
      </w:r>
    </w:p>
    <w:p>
      <w:r>
        <w:t>Explore additional behavioral features such as transaction timing patterns and contract interaction diversity.</w:t>
      </w:r>
    </w:p>
    <w:p>
      <w:r>
        <w:t>Prepare documentation summarizing the trust scoring framework and evaluation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