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324A" w14:textId="77777777" w:rsidR="007A08CA" w:rsidRPr="002B4EEE" w:rsidRDefault="007A08CA" w:rsidP="007A08CA">
      <w:pPr>
        <w:pStyle w:val="1"/>
      </w:pPr>
      <w:r w:rsidRPr="00F407F7">
        <w:br/>
      </w:r>
      <w:r w:rsidRPr="00F407F7">
        <w:br/>
      </w:r>
      <w:bookmarkStart w:id="0" w:name="_Toc416517040"/>
      <w:bookmarkStart w:id="1" w:name="_Toc416515963"/>
      <w:bookmarkStart w:id="2" w:name="_Toc416520806"/>
      <w:bookmarkStart w:id="3" w:name="_Toc416520925"/>
      <w:bookmarkStart w:id="4" w:name="_Toc416516975"/>
      <w:r w:rsidRPr="00F407F7">
        <w:rPr>
          <w:noProof/>
        </w:rPr>
        <w:drawing>
          <wp:anchor distT="0" distB="0" distL="114300" distR="114300" simplePos="0" relativeHeight="251673600" behindDoc="0" locked="0" layoutInCell="1" allowOverlap="1" wp14:anchorId="2A786294" wp14:editId="676A95EA">
            <wp:simplePos x="0" y="0"/>
            <wp:positionH relativeFrom="column">
              <wp:posOffset>1926590</wp:posOffset>
            </wp:positionH>
            <wp:positionV relativeFrom="paragraph">
              <wp:posOffset>1455420</wp:posOffset>
            </wp:positionV>
            <wp:extent cx="2091690" cy="424180"/>
            <wp:effectExtent l="19050" t="0" r="3810" b="0"/>
            <wp:wrapTopAndBottom/>
            <wp:docPr id="3" name="Picture 24" descr="浙江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浙江财~1"/>
                    <pic:cNvPicPr>
                      <a:picLocks noChangeAspect="1" noChangeArrowheads="1"/>
                    </pic:cNvPicPr>
                  </pic:nvPicPr>
                  <pic:blipFill>
                    <a:blip r:embed="rId7" cstate="print"/>
                    <a:srcRect/>
                    <a:stretch>
                      <a:fillRect/>
                    </a:stretch>
                  </pic:blipFill>
                  <pic:spPr>
                    <a:xfrm>
                      <a:off x="0" y="0"/>
                      <a:ext cx="2091690" cy="424180"/>
                    </a:xfrm>
                    <a:prstGeom prst="rect">
                      <a:avLst/>
                    </a:prstGeom>
                    <a:noFill/>
                    <a:ln w="9525" cmpd="sng">
                      <a:noFill/>
                      <a:miter lim="800000"/>
                      <a:headEnd/>
                      <a:tailEnd/>
                    </a:ln>
                    <a:effectLst/>
                  </pic:spPr>
                </pic:pic>
              </a:graphicData>
            </a:graphic>
          </wp:anchor>
        </w:drawing>
      </w:r>
      <w:r w:rsidRPr="00F407F7">
        <w:rPr>
          <w:noProof/>
        </w:rPr>
        <w:drawing>
          <wp:anchor distT="0" distB="0" distL="114300" distR="114300" simplePos="0" relativeHeight="251674624" behindDoc="0" locked="0" layoutInCell="1" allowOverlap="1" wp14:anchorId="7F061D27" wp14:editId="289957A2">
            <wp:simplePos x="0" y="0"/>
            <wp:positionH relativeFrom="column">
              <wp:posOffset>2383155</wp:posOffset>
            </wp:positionH>
            <wp:positionV relativeFrom="paragraph">
              <wp:posOffset>21590</wp:posOffset>
            </wp:positionV>
            <wp:extent cx="1130300" cy="1126490"/>
            <wp:effectExtent l="19050" t="0" r="0" b="0"/>
            <wp:wrapTopAndBottom/>
            <wp:docPr id="2" name="图片 2"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徽"/>
                    <pic:cNvPicPr>
                      <a:picLocks noChangeAspect="1" noChangeArrowheads="1"/>
                    </pic:cNvPicPr>
                  </pic:nvPicPr>
                  <pic:blipFill>
                    <a:blip r:embed="rId8" cstate="print"/>
                    <a:srcRect/>
                    <a:stretch>
                      <a:fillRect/>
                    </a:stretch>
                  </pic:blipFill>
                  <pic:spPr>
                    <a:xfrm>
                      <a:off x="0" y="0"/>
                      <a:ext cx="1130300" cy="1126490"/>
                    </a:xfrm>
                    <a:prstGeom prst="rect">
                      <a:avLst/>
                    </a:prstGeom>
                    <a:noFill/>
                    <a:ln w="9525" cmpd="sng">
                      <a:noFill/>
                      <a:miter lim="800000"/>
                      <a:headEnd/>
                      <a:tailEnd/>
                    </a:ln>
                    <a:effectLst/>
                  </pic:spPr>
                </pic:pic>
              </a:graphicData>
            </a:graphic>
          </wp:anchor>
        </w:drawing>
      </w:r>
      <w:bookmarkEnd w:id="0"/>
      <w:bookmarkEnd w:id="1"/>
      <w:bookmarkEnd w:id="2"/>
      <w:bookmarkEnd w:id="3"/>
      <w:bookmarkEnd w:id="4"/>
      <w:r w:rsidRPr="00F407F7">
        <w:rPr>
          <w:rFonts w:hint="eastAsia"/>
          <w:bCs w:val="0"/>
        </w:rPr>
        <w:t>G</w:t>
      </w:r>
      <w:r w:rsidRPr="00F407F7">
        <w:rPr>
          <w:bCs w:val="0"/>
        </w:rPr>
        <w:t>raduat</w:t>
      </w:r>
      <w:r w:rsidRPr="00F407F7">
        <w:rPr>
          <w:rFonts w:hint="eastAsia"/>
          <w:bCs w:val="0"/>
        </w:rPr>
        <w:t>ion</w:t>
      </w:r>
      <w:r w:rsidRPr="00F407F7">
        <w:rPr>
          <w:bCs w:val="0"/>
        </w:rPr>
        <w:t xml:space="preserve"> </w:t>
      </w:r>
      <w:r w:rsidRPr="00F407F7">
        <w:rPr>
          <w:rFonts w:hint="eastAsia"/>
          <w:bCs w:val="0"/>
        </w:rPr>
        <w:t>T</w:t>
      </w:r>
      <w:r w:rsidRPr="00F407F7">
        <w:rPr>
          <w:bCs w:val="0"/>
        </w:rPr>
        <w:t xml:space="preserve">hesis </w:t>
      </w:r>
    </w:p>
    <w:p w14:paraId="1FB71E3F" w14:textId="187943D6" w:rsidR="007A08CA" w:rsidRPr="00F407F7" w:rsidRDefault="007A08CA" w:rsidP="007A08CA">
      <w:pPr>
        <w:pStyle w:val="1"/>
        <w:rPr>
          <w:bCs w:val="0"/>
        </w:rPr>
      </w:pPr>
      <w:r w:rsidRPr="00F407F7">
        <w:rPr>
          <w:rFonts w:hint="eastAsia"/>
          <w:bCs w:val="0"/>
        </w:rPr>
        <w:t xml:space="preserve">of </w:t>
      </w:r>
      <w:r>
        <w:rPr>
          <w:bCs w:val="0"/>
        </w:rPr>
        <w:t xml:space="preserve">a </w:t>
      </w:r>
      <w:r w:rsidRPr="00F407F7">
        <w:rPr>
          <w:bCs w:val="0"/>
        </w:rPr>
        <w:t>bachelor’s degree</w:t>
      </w:r>
    </w:p>
    <w:p w14:paraId="4F1016CD" w14:textId="77777777" w:rsidR="007A08CA" w:rsidRPr="00F407F7" w:rsidRDefault="007A08CA" w:rsidP="007A08CA">
      <w:pPr>
        <w:spacing w:line="360" w:lineRule="auto"/>
        <w:jc w:val="center"/>
        <w:outlineLvl w:val="0"/>
        <w:rPr>
          <w:rFonts w:ascii="Times New Roman" w:hAnsi="Times New Roman" w:cs="Times New Roman"/>
          <w:b/>
        </w:rPr>
      </w:pPr>
    </w:p>
    <w:p w14:paraId="4F1F02BE" w14:textId="7F2C183E" w:rsidR="007A08CA" w:rsidRDefault="007A08CA" w:rsidP="007A08CA">
      <w:pPr>
        <w:spacing w:after="0"/>
        <w:jc w:val="center"/>
        <w:rPr>
          <w:rFonts w:ascii="Times New Roman" w:eastAsia="SimHei" w:hAnsi="Times New Roman" w:cs="Times New Roman"/>
          <w:sz w:val="36"/>
        </w:rPr>
      </w:pPr>
      <w:r w:rsidRPr="00F407F7">
        <w:rPr>
          <w:rFonts w:ascii="Times New Roman" w:hAnsi="Times New Roman" w:cs="Times New Roman"/>
          <w:b/>
          <w:noProof/>
          <w:sz w:val="44"/>
        </w:rPr>
        <mc:AlternateContent>
          <mc:Choice Requires="wps">
            <w:drawing>
              <wp:anchor distT="0" distB="0" distL="114300" distR="114300" simplePos="0" relativeHeight="251675648" behindDoc="0" locked="0" layoutInCell="1" allowOverlap="1" wp14:anchorId="1DC39C13" wp14:editId="74473D8C">
                <wp:simplePos x="0" y="0"/>
                <wp:positionH relativeFrom="column">
                  <wp:posOffset>1013460</wp:posOffset>
                </wp:positionH>
                <wp:positionV relativeFrom="paragraph">
                  <wp:posOffset>294640</wp:posOffset>
                </wp:positionV>
                <wp:extent cx="3845560" cy="0"/>
                <wp:effectExtent l="13335" t="8890" r="8255" b="10160"/>
                <wp:wrapNone/>
                <wp:docPr id="12"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3F1C64C1" id="直线 11"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79.8pt,23.2pt" to="382.6pt,2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">
                <v:stroke dashstyle="1 1"/>
              </v:line>
            </w:pict>
          </mc:Fallback>
        </mc:AlternateContent>
      </w:r>
      <w:r w:rsidRPr="00F407F7">
        <w:rPr>
          <w:rFonts w:ascii="Times New Roman" w:eastAsia="SimHei" w:hAnsi="Times New Roman" w:cs="Times New Roman"/>
          <w:sz w:val="36"/>
        </w:rPr>
        <w:t>Title</w:t>
      </w:r>
      <w:r w:rsidRPr="00F407F7">
        <w:rPr>
          <w:rFonts w:ascii="Times New Roman" w:eastAsia="SimHei" w:hAnsi="Times New Roman" w:cs="Times New Roman"/>
          <w:sz w:val="36"/>
        </w:rPr>
        <w:t>：</w:t>
      </w:r>
      <w:r w:rsidRPr="00F407F7">
        <w:rPr>
          <w:rFonts w:ascii="Times New Roman" w:eastAsia="SimHei" w:hAnsi="Times New Roman" w:cs="Times New Roman"/>
          <w:sz w:val="36"/>
        </w:rPr>
        <w:t xml:space="preserve">   THE DIMINISHING MARGINAL RETURNS OF </w:t>
      </w:r>
    </w:p>
    <w:p w14:paraId="7D7736C1" w14:textId="77777777" w:rsidR="007A08CA" w:rsidRDefault="007A08CA" w:rsidP="007A08CA">
      <w:pPr>
        <w:spacing w:after="0"/>
        <w:jc w:val="center"/>
        <w:rPr>
          <w:rFonts w:ascii="Times New Roman" w:eastAsia="SimHei" w:hAnsi="Times New Roman" w:cs="Times New Roman"/>
          <w:sz w:val="36"/>
        </w:rPr>
      </w:pPr>
    </w:p>
    <w:p w14:paraId="73B91913" w14:textId="1CBC4386" w:rsidR="007A08CA" w:rsidRDefault="007A08CA" w:rsidP="007A08CA">
      <w:pPr>
        <w:spacing w:after="0"/>
        <w:jc w:val="center"/>
        <w:rPr>
          <w:rFonts w:ascii="Times New Roman" w:eastAsia="SimHei" w:hAnsi="Times New Roman" w:cs="Times New Roman"/>
          <w:sz w:val="36"/>
        </w:rPr>
      </w:pPr>
      <w:r w:rsidRPr="00F407F7">
        <w:rPr>
          <w:rFonts w:ascii="Times New Roman" w:eastAsia="SimHei" w:hAnsi="Times New Roman" w:cs="Times New Roman"/>
          <w:sz w:val="36"/>
        </w:rPr>
        <w:t>SOVEREIGN DEBT</w:t>
      </w:r>
    </w:p>
    <w:p w14:paraId="1F03D6E1" w14:textId="77777777" w:rsidR="007A08CA" w:rsidRPr="00F407F7" w:rsidRDefault="007A08CA" w:rsidP="007A08CA">
      <w:pPr>
        <w:spacing w:after="0"/>
        <w:ind w:left="720"/>
        <w:jc w:val="center"/>
        <w:rPr>
          <w:rFonts w:ascii="Times New Roman" w:hAnsi="Times New Roman" w:cs="Times New Roman"/>
          <w:b/>
          <w:sz w:val="32"/>
        </w:rPr>
      </w:pPr>
      <w:r w:rsidRPr="00F407F7">
        <w:rPr>
          <w:rFonts w:ascii="Times New Roman" w:hAnsi="Times New Roman" w:cs="Times New Roman"/>
          <w:b/>
          <w:noProof/>
          <w:sz w:val="44"/>
        </w:rPr>
        <mc:AlternateContent>
          <mc:Choice Requires="wps">
            <w:drawing>
              <wp:anchor distT="0" distB="0" distL="114300" distR="114300" simplePos="0" relativeHeight="251683840" behindDoc="0" locked="0" layoutInCell="1" allowOverlap="1" wp14:anchorId="6C1109FC" wp14:editId="64B8F890">
                <wp:simplePos x="0" y="0"/>
                <wp:positionH relativeFrom="column">
                  <wp:posOffset>1024255</wp:posOffset>
                </wp:positionH>
                <wp:positionV relativeFrom="paragraph">
                  <wp:posOffset>33655</wp:posOffset>
                </wp:positionV>
                <wp:extent cx="3845560" cy="0"/>
                <wp:effectExtent l="13335" t="8890" r="8255" b="10160"/>
                <wp:wrapNone/>
                <wp:docPr id="1574134743"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65B53B6F" id="直线 11"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80.65pt,2.65pt" to="383.45pt,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">
                <v:stroke dashstyle="1 1"/>
              </v:line>
            </w:pict>
          </mc:Fallback>
        </mc:AlternateContent>
      </w:r>
    </w:p>
    <w:p w14:paraId="71573BA5" w14:textId="77777777" w:rsidR="007A08CA" w:rsidRPr="00F407F7" w:rsidRDefault="007A08CA" w:rsidP="007A08CA">
      <w:pPr>
        <w:spacing w:line="276" w:lineRule="auto"/>
        <w:rPr>
          <w:rFonts w:ascii="Times New Roman" w:hAnsi="Times New Roman" w:cs="Times New Roman"/>
        </w:rPr>
      </w:pPr>
    </w:p>
    <w:p w14:paraId="3A9814D7" w14:textId="14806556" w:rsidR="007A08CA" w:rsidRPr="00F407F7" w:rsidRDefault="007A08CA" w:rsidP="007A08CA">
      <w:pPr>
        <w:spacing w:line="276" w:lineRule="auto"/>
        <w:ind w:left="400" w:firstLine="720"/>
        <w:jc w:val="left"/>
        <w:rPr>
          <w:rFonts w:ascii="Times New Roman" w:eastAsia="SimHei" w:hAnsi="Times New Roman" w:cs="Times New Roman"/>
          <w:sz w:val="32"/>
          <w:szCs w:val="32"/>
        </w:rPr>
      </w:pPr>
      <w:r w:rsidRPr="00F407F7">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7249B6F" wp14:editId="426BB31D">
                <wp:simplePos x="0" y="0"/>
                <wp:positionH relativeFrom="column">
                  <wp:posOffset>1318260</wp:posOffset>
                </wp:positionH>
                <wp:positionV relativeFrom="paragraph">
                  <wp:posOffset>276225</wp:posOffset>
                </wp:positionV>
                <wp:extent cx="3472815" cy="0"/>
                <wp:effectExtent l="13335" t="9525" r="9525" b="9525"/>
                <wp:wrapNone/>
                <wp:docPr id="10"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2815" cy="0"/>
                        </a:xfrm>
                        <a:prstGeom prst="line">
                          <a:avLst/>
                        </a:prstGeom>
                        <a:noFill/>
                        <a:ln w="9525">
                          <a:solidFill>
                            <a:srgbClr val="000000"/>
                          </a:solidFill>
                          <a:prstDash val="sysDot"/>
                          <a:round/>
                        </a:ln>
                      </wps:spPr>
                      <wps:bodyPr/>
                    </wps:wsp>
                  </a:graphicData>
                </a:graphic>
              </wp:anchor>
            </w:drawing>
          </mc:Choice>
          <mc:Fallback>
            <w:pict>
              <v:line w14:anchorId="04A8A709" id="直线 13"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03.8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">
                <v:stroke dashstyle="1 1"/>
              </v:line>
            </w:pict>
          </mc:Fallback>
        </mc:AlternateContent>
      </w:r>
      <w:r w:rsidRPr="00F407F7">
        <w:rPr>
          <w:rFonts w:ascii="Times New Roman" w:hAnsi="Times New Roman" w:cs="Times New Roman"/>
          <w:sz w:val="32"/>
          <w:szCs w:val="32"/>
        </w:rPr>
        <w:t>Name</w:t>
      </w:r>
      <w:r w:rsidRPr="00F407F7">
        <w:rPr>
          <w:rFonts w:ascii="Times New Roman" w:hAnsi="Times New Roman" w:cs="Times New Roman" w:hint="eastAsia"/>
          <w:sz w:val="32"/>
          <w:szCs w:val="32"/>
        </w:rPr>
        <w:t>:</w:t>
      </w:r>
      <w:r w:rsidRPr="00F407F7">
        <w:rPr>
          <w:rFonts w:ascii="Times New Roman" w:eastAsia="SimHei" w:hAnsi="Times New Roman" w:cs="Times New Roman"/>
          <w:color w:val="FF0000"/>
          <w:sz w:val="36"/>
        </w:rPr>
        <w:t xml:space="preserve"> </w:t>
      </w:r>
      <w:r>
        <w:rPr>
          <w:rFonts w:ascii="Times New Roman" w:eastAsia="SimHei" w:hAnsi="Times New Roman" w:cs="Times New Roman"/>
          <w:color w:val="FF0000"/>
          <w:sz w:val="36"/>
        </w:rPr>
        <w:t xml:space="preserve">     </w:t>
      </w:r>
      <w:r>
        <w:rPr>
          <w:rFonts w:ascii="Times New Roman" w:eastAsia="SimHei" w:hAnsi="Times New Roman" w:cs="Times New Roman"/>
          <w:color w:val="FF0000"/>
          <w:sz w:val="36"/>
        </w:rPr>
        <w:tab/>
      </w:r>
      <w:r w:rsidRPr="00F407F7">
        <w:rPr>
          <w:rFonts w:ascii="Times New Roman" w:hAnsi="Times New Roman" w:cs="Times New Roman"/>
          <w:color w:val="000000" w:themeColor="text1"/>
          <w:sz w:val="32"/>
          <w:szCs w:val="32"/>
        </w:rPr>
        <w:t>Zorenko Roman</w:t>
      </w:r>
    </w:p>
    <w:p w14:paraId="77644528" w14:textId="2AE97272" w:rsidR="007A08CA" w:rsidRPr="00F407F7" w:rsidRDefault="007A08CA" w:rsidP="007A08CA">
      <w:pPr>
        <w:spacing w:line="276" w:lineRule="auto"/>
        <w:ind w:firstLineChars="350" w:firstLine="1120"/>
        <w:jc w:val="left"/>
        <w:rPr>
          <w:rFonts w:ascii="Times New Roman" w:hAnsi="Times New Roman" w:cs="Times New Roman"/>
          <w:sz w:val="32"/>
          <w:szCs w:val="32"/>
        </w:rPr>
      </w:pPr>
      <w:r w:rsidRPr="00F407F7">
        <w:rPr>
          <w:rFonts w:ascii="Times New Roman" w:hAnsi="Times New Roman" w:cs="Times New Roman"/>
          <w:noProof/>
          <w:sz w:val="32"/>
          <w:szCs w:val="32"/>
        </w:rPr>
        <mc:AlternateContent>
          <mc:Choice Requires="wps">
            <w:drawing>
              <wp:anchor distT="0" distB="0" distL="114300" distR="114300" simplePos="0" relativeHeight="251679744" behindDoc="0" locked="0" layoutInCell="1" allowOverlap="1" wp14:anchorId="38C32572" wp14:editId="31804BF3">
                <wp:simplePos x="0" y="0"/>
                <wp:positionH relativeFrom="column">
                  <wp:posOffset>2650490</wp:posOffset>
                </wp:positionH>
                <wp:positionV relativeFrom="paragraph">
                  <wp:posOffset>266700</wp:posOffset>
                </wp:positionV>
                <wp:extent cx="2140585" cy="0"/>
                <wp:effectExtent l="12065" t="9525" r="9525" b="9525"/>
                <wp:wrapNone/>
                <wp:docPr id="9"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prstDash val="sysDot"/>
                          <a:round/>
                        </a:ln>
                      </wps:spPr>
                      <wps:bodyPr/>
                    </wps:wsp>
                  </a:graphicData>
                </a:graphic>
              </wp:anchor>
            </w:drawing>
          </mc:Choice>
          <mc:Fallback>
            <w:pict>
              <v:line w14:anchorId="37CA4981" id="直线 1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08.7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">
                <v:stroke dashstyle="1 1"/>
              </v:line>
            </w:pict>
          </mc:Fallback>
        </mc:AlternateContent>
      </w:r>
      <w:r w:rsidRPr="00F407F7">
        <w:rPr>
          <w:rFonts w:ascii="Times New Roman" w:hAnsi="Times New Roman" w:cs="Times New Roman"/>
          <w:sz w:val="32"/>
          <w:szCs w:val="32"/>
        </w:rPr>
        <w:t>Registration number</w:t>
      </w:r>
      <w:r w:rsidRPr="00F407F7">
        <w:rPr>
          <w:rFonts w:ascii="Times New Roman" w:hAnsi="Times New Roman" w:cs="Times New Roman" w:hint="eastAsia"/>
          <w:sz w:val="32"/>
          <w:szCs w:val="32"/>
        </w:rPr>
        <w:t>:</w:t>
      </w:r>
      <w:r w:rsidRPr="00F407F7">
        <w:rPr>
          <w:rFonts w:ascii="Times New Roman" w:hAnsi="Times New Roman" w:cs="Times New Roman"/>
          <w:color w:val="FF0000"/>
          <w:sz w:val="32"/>
          <w:szCs w:val="32"/>
        </w:rPr>
        <w:t xml:space="preserve"> </w:t>
      </w:r>
      <w:r>
        <w:rPr>
          <w:rFonts w:ascii="Times New Roman" w:hAnsi="Times New Roman" w:cs="Times New Roman"/>
          <w:color w:val="FF0000"/>
          <w:sz w:val="32"/>
          <w:szCs w:val="32"/>
        </w:rPr>
        <w:t xml:space="preserve">      </w:t>
      </w:r>
      <w:r w:rsidRPr="00F407F7">
        <w:rPr>
          <w:rFonts w:ascii="Times New Roman" w:hAnsi="Times New Roman" w:cs="Times New Roman"/>
          <w:color w:val="000000" w:themeColor="text1"/>
          <w:sz w:val="32"/>
          <w:szCs w:val="32"/>
        </w:rPr>
        <w:t>220721010110</w:t>
      </w:r>
    </w:p>
    <w:p w14:paraId="5CBE138E" w14:textId="550784E9" w:rsidR="007A08CA" w:rsidRPr="00F407F7" w:rsidRDefault="007A08CA" w:rsidP="007A08CA">
      <w:pPr>
        <w:spacing w:line="276" w:lineRule="auto"/>
        <w:ind w:left="400" w:firstLine="720"/>
        <w:jc w:val="left"/>
        <w:rPr>
          <w:rFonts w:ascii="Times New Roman" w:eastAsia="SimHei" w:hAnsi="Times New Roman" w:cs="Times New Roman"/>
          <w:sz w:val="32"/>
          <w:szCs w:val="32"/>
          <w:lang w:val="en-US"/>
        </w:rPr>
      </w:pPr>
      <w:r w:rsidRPr="00F407F7">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1EE7256" wp14:editId="53A5048A">
                <wp:simplePos x="0" y="0"/>
                <wp:positionH relativeFrom="column">
                  <wp:posOffset>1259840</wp:posOffset>
                </wp:positionH>
                <wp:positionV relativeFrom="paragraph">
                  <wp:posOffset>276225</wp:posOffset>
                </wp:positionV>
                <wp:extent cx="3531235" cy="0"/>
                <wp:effectExtent l="12065" t="9525" r="9525" b="9525"/>
                <wp:wrapNone/>
                <wp:docPr id="8"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1235" cy="0"/>
                        </a:xfrm>
                        <a:prstGeom prst="line">
                          <a:avLst/>
                        </a:prstGeom>
                        <a:noFill/>
                        <a:ln w="9525">
                          <a:solidFill>
                            <a:srgbClr val="000000"/>
                          </a:solidFill>
                          <a:prstDash val="sysDot"/>
                          <a:round/>
                        </a:ln>
                      </wps:spPr>
                      <wps:bodyPr/>
                    </wps:wsp>
                  </a:graphicData>
                </a:graphic>
              </wp:anchor>
            </w:drawing>
          </mc:Choice>
          <mc:Fallback>
            <w:pict>
              <v:line w14:anchorId="43A271CC" id="直线 1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99.2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">
                <v:stroke dashstyle="1 1"/>
              </v:line>
            </w:pict>
          </mc:Fallback>
        </mc:AlternateContent>
      </w:r>
      <w:r w:rsidRPr="00F407F7">
        <w:rPr>
          <w:rFonts w:ascii="Times New Roman" w:hAnsi="Times New Roman" w:cs="Times New Roman"/>
          <w:sz w:val="32"/>
          <w:szCs w:val="32"/>
        </w:rPr>
        <w:t>Tutor</w:t>
      </w:r>
      <w:r w:rsidRPr="00F407F7">
        <w:rPr>
          <w:rFonts w:ascii="Times New Roman" w:hAnsi="Times New Roman" w:cs="Times New Roman" w:hint="eastAsia"/>
          <w:sz w:val="32"/>
          <w:szCs w:val="32"/>
        </w:rPr>
        <w:t>:</w:t>
      </w:r>
    </w:p>
    <w:p w14:paraId="03010A61" w14:textId="3E4C073F" w:rsidR="007A08CA" w:rsidRPr="00F407F7" w:rsidRDefault="007A08CA" w:rsidP="007A08CA">
      <w:pPr>
        <w:spacing w:line="276" w:lineRule="auto"/>
        <w:ind w:firstLineChars="350" w:firstLine="1120"/>
        <w:jc w:val="left"/>
        <w:rPr>
          <w:rFonts w:ascii="Times New Roman" w:hAnsi="Times New Roman" w:cs="Times New Roman"/>
          <w:sz w:val="32"/>
          <w:szCs w:val="32"/>
        </w:rPr>
      </w:pPr>
      <w:r w:rsidRPr="00F407F7">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7CABFDEB" wp14:editId="6D390DC4">
                <wp:simplePos x="0" y="0"/>
                <wp:positionH relativeFrom="column">
                  <wp:posOffset>1419225</wp:posOffset>
                </wp:positionH>
                <wp:positionV relativeFrom="paragraph">
                  <wp:posOffset>266700</wp:posOffset>
                </wp:positionV>
                <wp:extent cx="3371850" cy="0"/>
                <wp:effectExtent l="9525" t="9525" r="9525" b="9525"/>
                <wp:wrapNone/>
                <wp:docPr id="7"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71850" cy="0"/>
                        </a:xfrm>
                        <a:prstGeom prst="line">
                          <a:avLst/>
                        </a:prstGeom>
                        <a:noFill/>
                        <a:ln w="9525">
                          <a:solidFill>
                            <a:srgbClr val="000000"/>
                          </a:solidFill>
                          <a:prstDash val="sysDot"/>
                          <a:round/>
                        </a:ln>
                      </wps:spPr>
                      <wps:bodyPr/>
                    </wps:wsp>
                  </a:graphicData>
                </a:graphic>
              </wp:anchor>
            </w:drawing>
          </mc:Choice>
          <mc:Fallback>
            <w:pict>
              <v:line w14:anchorId="323341F2" id="直线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11.75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">
                <v:stroke dashstyle="1 1"/>
              </v:line>
            </w:pict>
          </mc:Fallback>
        </mc:AlternateContent>
      </w:r>
      <w:r w:rsidRPr="00F407F7">
        <w:rPr>
          <w:rFonts w:ascii="Times New Roman" w:hAnsi="Times New Roman" w:cs="Times New Roman" w:hint="eastAsia"/>
          <w:sz w:val="32"/>
          <w:szCs w:val="32"/>
        </w:rPr>
        <w:t>School:</w:t>
      </w:r>
      <w:r>
        <w:rPr>
          <w:rFonts w:ascii="Times New Roman" w:hAnsi="Times New Roman" w:cs="Times New Roman"/>
          <w:sz w:val="32"/>
          <w:szCs w:val="32"/>
        </w:rPr>
        <w:t xml:space="preserve"> </w:t>
      </w:r>
      <w:r w:rsidRPr="00F407F7">
        <w:rPr>
          <w:rFonts w:ascii="Times New Roman" w:hAnsi="Times New Roman" w:cs="Times New Roman"/>
          <w:color w:val="000000" w:themeColor="text1"/>
          <w:sz w:val="32"/>
          <w:szCs w:val="32"/>
        </w:rPr>
        <w:t>School of Economics</w:t>
      </w:r>
    </w:p>
    <w:p w14:paraId="59F7CBE8" w14:textId="05BEC8EB" w:rsidR="007A08CA" w:rsidRPr="00F407F7" w:rsidRDefault="007A08CA" w:rsidP="007A08CA">
      <w:pPr>
        <w:spacing w:line="276" w:lineRule="auto"/>
        <w:ind w:left="400" w:firstLine="720"/>
        <w:jc w:val="left"/>
        <w:rPr>
          <w:rFonts w:ascii="Times New Roman" w:hAnsi="Times New Roman" w:cs="Times New Roman"/>
          <w:sz w:val="32"/>
          <w:szCs w:val="32"/>
          <w:u w:val="single"/>
        </w:rPr>
      </w:pPr>
      <w:r w:rsidRPr="00F407F7">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0D1F989" wp14:editId="525ED4CF">
                <wp:simplePos x="0" y="0"/>
                <wp:positionH relativeFrom="column">
                  <wp:posOffset>1318260</wp:posOffset>
                </wp:positionH>
                <wp:positionV relativeFrom="paragraph">
                  <wp:posOffset>278130</wp:posOffset>
                </wp:positionV>
                <wp:extent cx="3453765" cy="0"/>
                <wp:effectExtent l="13335" t="11430" r="9525" b="7620"/>
                <wp:wrapNone/>
                <wp:docPr id="6" name="直线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3765" cy="0"/>
                        </a:xfrm>
                        <a:prstGeom prst="line">
                          <a:avLst/>
                        </a:prstGeom>
                        <a:noFill/>
                        <a:ln w="9525">
                          <a:solidFill>
                            <a:srgbClr val="000000"/>
                          </a:solidFill>
                          <a:prstDash val="sysDot"/>
                          <a:round/>
                        </a:ln>
                      </wps:spPr>
                      <wps:bodyPr/>
                    </wps:wsp>
                  </a:graphicData>
                </a:graphic>
              </wp:anchor>
            </w:drawing>
          </mc:Choice>
          <mc:Fallback>
            <w:pict>
              <v:line w14:anchorId="44B0FDA4" id="直线 1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03.8pt,21.9pt" to="375.7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">
                <v:stroke dashstyle="1 1"/>
              </v:line>
            </w:pict>
          </mc:Fallback>
        </mc:AlternateContent>
      </w:r>
      <w:r w:rsidRPr="00F407F7">
        <w:rPr>
          <w:rFonts w:ascii="Times New Roman" w:hAnsi="Times New Roman" w:cs="Times New Roman"/>
          <w:bCs/>
          <w:color w:val="000000"/>
          <w:sz w:val="32"/>
          <w:szCs w:val="32"/>
        </w:rPr>
        <w:t>Major</w:t>
      </w:r>
      <w:r w:rsidRPr="00F407F7">
        <w:rPr>
          <w:rFonts w:ascii="Times New Roman" w:hAnsi="Times New Roman" w:cs="Times New Roman" w:hint="eastAsia"/>
          <w:bCs/>
          <w:color w:val="000000"/>
          <w:sz w:val="32"/>
          <w:szCs w:val="32"/>
        </w:rPr>
        <w:t>:</w:t>
      </w:r>
      <w:r w:rsidRPr="00F407F7">
        <w:rPr>
          <w:rFonts w:ascii="Times New Roman" w:hAnsi="Times New Roman" w:cs="Times New Roman"/>
          <w:color w:val="FF0000"/>
          <w:sz w:val="32"/>
          <w:szCs w:val="32"/>
        </w:rPr>
        <w:t xml:space="preserve"> </w:t>
      </w:r>
      <w:r>
        <w:rPr>
          <w:rFonts w:ascii="Times New Roman" w:hAnsi="Times New Roman" w:cs="Times New Roman"/>
          <w:color w:val="FF0000"/>
          <w:sz w:val="32"/>
          <w:szCs w:val="32"/>
        </w:rPr>
        <w:t xml:space="preserve"> </w:t>
      </w:r>
      <w:r w:rsidRPr="00F407F7">
        <w:rPr>
          <w:rFonts w:ascii="Times New Roman" w:hAnsi="Times New Roman" w:cs="Times New Roman"/>
          <w:color w:val="000000" w:themeColor="text1"/>
          <w:sz w:val="32"/>
          <w:szCs w:val="32"/>
        </w:rPr>
        <w:t>International Economics and Trade</w:t>
      </w:r>
    </w:p>
    <w:p w14:paraId="1256649E" w14:textId="032E885C" w:rsidR="007A08CA" w:rsidRPr="00F407F7" w:rsidRDefault="007A08CA" w:rsidP="007A08CA">
      <w:pPr>
        <w:spacing w:line="276" w:lineRule="auto"/>
        <w:ind w:left="400" w:firstLine="720"/>
        <w:jc w:val="left"/>
        <w:rPr>
          <w:rFonts w:ascii="Times New Roman" w:hAnsi="Times New Roman" w:cs="Times New Roman"/>
          <w:smallCaps/>
          <w:sz w:val="32"/>
          <w:szCs w:val="32"/>
          <w:u w:val="dotted"/>
        </w:rPr>
      </w:pPr>
      <w:r w:rsidRPr="00F407F7">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1B16F373" wp14:editId="5A864BFB">
                <wp:simplePos x="0" y="0"/>
                <wp:positionH relativeFrom="column">
                  <wp:posOffset>1356995</wp:posOffset>
                </wp:positionH>
                <wp:positionV relativeFrom="paragraph">
                  <wp:posOffset>272415</wp:posOffset>
                </wp:positionV>
                <wp:extent cx="3415030" cy="0"/>
                <wp:effectExtent l="13970" t="5715" r="9525" b="13335"/>
                <wp:wrapNone/>
                <wp:docPr id="5" name="直线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5030" cy="0"/>
                        </a:xfrm>
                        <a:prstGeom prst="line">
                          <a:avLst/>
                        </a:prstGeom>
                        <a:noFill/>
                        <a:ln w="9525">
                          <a:solidFill>
                            <a:srgbClr val="000000"/>
                          </a:solidFill>
                          <a:prstDash val="sysDot"/>
                          <a:round/>
                        </a:ln>
                      </wps:spPr>
                      <wps:bodyPr/>
                    </wps:wsp>
                  </a:graphicData>
                </a:graphic>
              </wp:anchor>
            </w:drawing>
          </mc:Choice>
          <mc:Fallback>
            <w:pict>
              <v:line w14:anchorId="5C66987A" id="直线 1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06.85pt,21.45pt" to="375.7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">
                <v:stroke dashstyle="1 1"/>
              </v:line>
            </w:pict>
          </mc:Fallback>
        </mc:AlternateContent>
      </w:r>
      <w:r w:rsidRPr="00F407F7">
        <w:rPr>
          <w:rFonts w:ascii="Times New Roman" w:hAnsi="Times New Roman" w:cs="Times New Roman" w:hint="eastAsia"/>
          <w:sz w:val="32"/>
          <w:szCs w:val="32"/>
        </w:rPr>
        <w:t>Grade</w:t>
      </w:r>
      <w:r w:rsidRPr="00F407F7">
        <w:rPr>
          <w:rFonts w:ascii="Times New Roman" w:hAnsi="Times New Roman" w:cs="Times New Roman" w:hint="eastAsia"/>
          <w:bCs/>
          <w:color w:val="000000"/>
          <w:sz w:val="32"/>
          <w:szCs w:val="32"/>
        </w:rPr>
        <w:t>:</w:t>
      </w:r>
      <w:r w:rsidRPr="00F407F7">
        <w:rPr>
          <w:rFonts w:ascii="Times New Roman" w:hAnsi="Times New Roman" w:cs="Times New Roman"/>
          <w:color w:val="FF0000"/>
          <w:sz w:val="32"/>
          <w:szCs w:val="32"/>
        </w:rPr>
        <w:t xml:space="preserve"> </w:t>
      </w:r>
      <w:r>
        <w:rPr>
          <w:rFonts w:ascii="Times New Roman" w:hAnsi="Times New Roman" w:cs="Times New Roman"/>
          <w:color w:val="FF0000"/>
          <w:sz w:val="32"/>
          <w:szCs w:val="32"/>
        </w:rPr>
        <w:t xml:space="preserve"> </w:t>
      </w:r>
      <w:r w:rsidRPr="00F407F7">
        <w:rPr>
          <w:rFonts w:ascii="Times New Roman" w:hAnsi="Times New Roman" w:cs="Times New Roman"/>
          <w:color w:val="000000" w:themeColor="text1"/>
          <w:sz w:val="32"/>
          <w:szCs w:val="32"/>
        </w:rPr>
        <w:t>2026</w:t>
      </w:r>
    </w:p>
    <w:p w14:paraId="175ECA02" w14:textId="4FCF8B7B" w:rsidR="007A08CA" w:rsidRPr="00F407F7" w:rsidRDefault="007A08CA" w:rsidP="007A08CA">
      <w:pPr>
        <w:spacing w:line="276" w:lineRule="auto"/>
        <w:ind w:left="1440" w:firstLine="720"/>
        <w:jc w:val="left"/>
        <w:rPr>
          <w:rFonts w:ascii="Times New Roman" w:eastAsia="SimHei" w:hAnsi="Times New Roman" w:cs="Times New Roman"/>
          <w:sz w:val="28"/>
        </w:rPr>
      </w:pPr>
      <w:r w:rsidRPr="00F407F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D1DC7C7" wp14:editId="2A861734">
                <wp:simplePos x="0" y="0"/>
                <wp:positionH relativeFrom="column">
                  <wp:posOffset>2089150</wp:posOffset>
                </wp:positionH>
                <wp:positionV relativeFrom="paragraph">
                  <wp:posOffset>267335</wp:posOffset>
                </wp:positionV>
                <wp:extent cx="2137410" cy="0"/>
                <wp:effectExtent l="12700" t="10160" r="12065" b="8890"/>
                <wp:wrapNone/>
                <wp:docPr id="4"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prstDash val="sysDot"/>
                          <a:round/>
                        </a:ln>
                      </wps:spPr>
                      <wps:bodyPr/>
                    </wps:wsp>
                  </a:graphicData>
                </a:graphic>
              </wp:anchor>
            </w:drawing>
          </mc:Choice>
          <mc:Fallback>
            <w:pict>
              <v:line w14:anchorId="301C4728" id="直线 1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64.5pt,21.05pt" to="332.8pt,2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">
                <v:stroke dashstyle="1 1"/>
              </v:line>
            </w:pict>
          </mc:Fallback>
        </mc:AlternateContent>
      </w:r>
      <w:r w:rsidRPr="00F407F7">
        <w:rPr>
          <w:rFonts w:ascii="Times New Roman" w:eastAsia="SimHei" w:hAnsi="Times New Roman" w:cs="Times New Roman" w:hint="eastAsia"/>
          <w:sz w:val="28"/>
        </w:rPr>
        <w:t xml:space="preserve">Date:     </w:t>
      </w:r>
      <w:r>
        <w:rPr>
          <w:rFonts w:ascii="Times New Roman" w:eastAsia="SimHei" w:hAnsi="Times New Roman" w:cs="Times New Roman"/>
          <w:sz w:val="28"/>
        </w:rPr>
        <w:t xml:space="preserve">        </w:t>
      </w:r>
      <w:r w:rsidRPr="00F407F7">
        <w:rPr>
          <w:rFonts w:ascii="Times New Roman" w:eastAsia="SimHei" w:hAnsi="Times New Roman" w:cs="Times New Roman"/>
          <w:sz w:val="28"/>
        </w:rPr>
        <w:t>05/05/2026</w:t>
      </w:r>
    </w:p>
    <w:p w14:paraId="549D237C" w14:textId="0227C9BA" w:rsidR="007A08CA" w:rsidRDefault="007A08CA" w:rsidP="007A08CA">
      <w:pPr>
        <w:rPr>
          <w:rFonts w:eastAsia="SimHei"/>
          <w:sz w:val="36"/>
        </w:rPr>
      </w:pPr>
    </w:p>
    <w:p w14:paraId="4B7299FE" w14:textId="617C8A77" w:rsidR="007A08CA" w:rsidRDefault="007A08CA">
      <w:pPr>
        <w:spacing w:line="278" w:lineRule="auto"/>
        <w:jc w:val="left"/>
        <w:rPr>
          <w:rFonts w:eastAsia="SimHei"/>
          <w:sz w:val="36"/>
        </w:rPr>
      </w:pPr>
    </w:p>
    <w:p w14:paraId="7173CA60" w14:textId="77777777" w:rsidR="007A08CA" w:rsidRDefault="007A08CA" w:rsidP="007A08CA">
      <w:pPr>
        <w:rPr>
          <w:rFonts w:eastAsia="SimHei"/>
          <w:sz w:val="36"/>
        </w:rPr>
      </w:pPr>
    </w:p>
    <w:p w14:paraId="2B673E50" w14:textId="77777777" w:rsidR="007A08CA" w:rsidRDefault="007A08CA" w:rsidP="007A08CA">
      <w:pPr>
        <w:jc w:val="center"/>
        <w:rPr>
          <w:rFonts w:eastAsia="SimHei"/>
          <w:sz w:val="36"/>
        </w:rPr>
      </w:pPr>
      <w:r>
        <w:rPr>
          <w:rFonts w:eastAsia="SimHei" w:hint="eastAsia"/>
          <w:sz w:val="36"/>
        </w:rPr>
        <w:t>声明及论文使用的授权</w:t>
      </w:r>
    </w:p>
    <w:p w14:paraId="32CE5CFA" w14:textId="77777777" w:rsidR="007A08CA" w:rsidRDefault="007A08CA" w:rsidP="007A08CA">
      <w:pPr>
        <w:rPr>
          <w:sz w:val="20"/>
        </w:rPr>
      </w:pPr>
    </w:p>
    <w:p w14:paraId="31D1BB76" w14:textId="77777777" w:rsidR="007A08CA" w:rsidRDefault="007A08CA" w:rsidP="007A08CA">
      <w:pPr>
        <w:rPr>
          <w:sz w:val="20"/>
        </w:rPr>
      </w:pPr>
    </w:p>
    <w:p w14:paraId="56117322" w14:textId="77777777" w:rsidR="007A08CA" w:rsidRDefault="007A08CA" w:rsidP="007A08CA">
      <w:pPr>
        <w:rPr>
          <w:sz w:val="20"/>
        </w:rPr>
      </w:pPr>
    </w:p>
    <w:p w14:paraId="767AD450" w14:textId="77777777" w:rsidR="007A08CA" w:rsidRDefault="007A08CA" w:rsidP="007A08CA">
      <w:pPr>
        <w:pStyle w:val="BodyTextIndent"/>
        <w:ind w:left="480" w:firstLine="600"/>
        <w:rPr>
          <w:sz w:val="30"/>
        </w:rPr>
      </w:pPr>
      <w:r>
        <w:rPr>
          <w:rFonts w:hint="eastAsia"/>
          <w:sz w:val="30"/>
        </w:rPr>
        <w:t>本人郑重声明所呈交的论文是我个人在导师的指导下独立完成的。除了文中特别加以标注和致谢的地方外，论文中不包含其他人已经发表或撰写的研究成果。</w:t>
      </w:r>
      <w:r>
        <w:rPr>
          <w:rFonts w:hint="eastAsia"/>
          <w:sz w:val="30"/>
        </w:rPr>
        <w:t xml:space="preserve">  </w:t>
      </w:r>
    </w:p>
    <w:p w14:paraId="612FEFA8" w14:textId="77777777" w:rsidR="007A08CA" w:rsidRDefault="007A08CA" w:rsidP="007A08CA">
      <w:pPr>
        <w:pStyle w:val="BodyTextIndent"/>
        <w:ind w:left="480" w:firstLine="600"/>
        <w:rPr>
          <w:sz w:val="30"/>
        </w:rPr>
      </w:pPr>
    </w:p>
    <w:p w14:paraId="0709DDC5" w14:textId="77777777" w:rsidR="007A08CA" w:rsidRDefault="007A08CA" w:rsidP="007A08CA">
      <w:pPr>
        <w:pStyle w:val="BodyTextIndent"/>
        <w:ind w:left="480" w:firstLineChars="140" w:firstLine="420"/>
        <w:rPr>
          <w:sz w:val="30"/>
        </w:rPr>
      </w:pPr>
      <w:r>
        <w:rPr>
          <w:rFonts w:hint="eastAsia"/>
          <w:sz w:val="30"/>
        </w:rPr>
        <w:t>论文作者签名</w:t>
      </w:r>
      <w:r>
        <w:rPr>
          <w:rFonts w:hint="eastAsia"/>
          <w:sz w:val="30"/>
        </w:rPr>
        <w:t>(</w:t>
      </w:r>
      <w:r>
        <w:rPr>
          <w:sz w:val="30"/>
        </w:rPr>
        <w:t>signature</w:t>
      </w:r>
      <w:r>
        <w:rPr>
          <w:rFonts w:hint="eastAsia"/>
          <w:sz w:val="30"/>
        </w:rPr>
        <w:t>)</w:t>
      </w:r>
      <w:r>
        <w:rPr>
          <w:rFonts w:hint="eastAsia"/>
          <w:sz w:val="30"/>
        </w:rPr>
        <w:t>：</w:t>
      </w:r>
      <w:r>
        <w:rPr>
          <w:rFonts w:hint="eastAsia"/>
          <w:sz w:val="30"/>
        </w:rPr>
        <w:t xml:space="preserve">                 </w:t>
      </w:r>
      <w:r>
        <w:rPr>
          <w:rFonts w:hint="eastAsia"/>
          <w:sz w:val="30"/>
        </w:rPr>
        <w:t>年</w:t>
      </w:r>
      <w:r>
        <w:rPr>
          <w:rFonts w:hint="eastAsia"/>
          <w:sz w:val="30"/>
        </w:rPr>
        <w:t xml:space="preserve">   </w:t>
      </w:r>
      <w:r>
        <w:rPr>
          <w:rFonts w:hint="eastAsia"/>
          <w:sz w:val="30"/>
        </w:rPr>
        <w:t>月</w:t>
      </w:r>
      <w:r>
        <w:rPr>
          <w:rFonts w:hint="eastAsia"/>
          <w:sz w:val="30"/>
        </w:rPr>
        <w:t xml:space="preserve">   </w:t>
      </w:r>
      <w:r>
        <w:rPr>
          <w:rFonts w:hint="eastAsia"/>
          <w:sz w:val="30"/>
        </w:rPr>
        <w:t>日</w:t>
      </w:r>
    </w:p>
    <w:p w14:paraId="208D8AF6" w14:textId="77777777" w:rsidR="007A08CA" w:rsidRDefault="007A08CA" w:rsidP="007A08CA"/>
    <w:p w14:paraId="7118C247" w14:textId="77777777" w:rsidR="007A08CA" w:rsidRDefault="007A08CA" w:rsidP="007A08CA"/>
    <w:p w14:paraId="5DE1FF7F" w14:textId="77777777" w:rsidR="007A08CA" w:rsidRDefault="007A08CA" w:rsidP="007A08CA"/>
    <w:p w14:paraId="4213A5F2" w14:textId="77777777" w:rsidR="007A08CA" w:rsidRDefault="007A08CA" w:rsidP="007A08CA"/>
    <w:p w14:paraId="06D20398" w14:textId="77777777" w:rsidR="007A08CA" w:rsidRDefault="007A08CA" w:rsidP="007A08CA"/>
    <w:p w14:paraId="41E0870E" w14:textId="77777777" w:rsidR="007A08CA" w:rsidRDefault="007A08CA" w:rsidP="007A08CA"/>
    <w:p w14:paraId="5DA9FDB3" w14:textId="77777777" w:rsidR="007A08CA" w:rsidRDefault="007A08CA" w:rsidP="007A08CA">
      <w:pPr>
        <w:pStyle w:val="BodyTextIndent"/>
        <w:ind w:left="480" w:firstLine="600"/>
        <w:rPr>
          <w:sz w:val="30"/>
        </w:rPr>
      </w:pPr>
      <w:r>
        <w:rPr>
          <w:rFonts w:hint="eastAsia"/>
          <w:sz w:val="30"/>
        </w:rPr>
        <w:t>本人同意浙江财经大学有关保留使用学位论文的规定，即：学校有权保留送交论文的复印件，允许论文被查阅和借阅；学校可以上网公布全部内容，可以采用影印、缩印或其他复制手段保存论文。</w:t>
      </w:r>
    </w:p>
    <w:p w14:paraId="5D769F28" w14:textId="77777777" w:rsidR="007A08CA" w:rsidRDefault="007A08CA" w:rsidP="007A08CA">
      <w:pPr>
        <w:pStyle w:val="BodyTextIndent"/>
        <w:ind w:left="480" w:firstLine="600"/>
        <w:rPr>
          <w:sz w:val="30"/>
        </w:rPr>
      </w:pPr>
    </w:p>
    <w:p w14:paraId="2AC4A749" w14:textId="77777777" w:rsidR="007A08CA" w:rsidRDefault="007A08CA" w:rsidP="007A08CA">
      <w:pPr>
        <w:pStyle w:val="BodyTextIndent"/>
        <w:ind w:left="480" w:firstLineChars="140" w:firstLine="420"/>
        <w:rPr>
          <w:sz w:val="30"/>
        </w:rPr>
      </w:pPr>
      <w:r>
        <w:rPr>
          <w:rFonts w:hint="eastAsia"/>
          <w:sz w:val="30"/>
        </w:rPr>
        <w:t>论文作者签名</w:t>
      </w:r>
      <w:r>
        <w:rPr>
          <w:rFonts w:hint="eastAsia"/>
          <w:sz w:val="30"/>
        </w:rPr>
        <w:t>(</w:t>
      </w:r>
      <w:r>
        <w:rPr>
          <w:sz w:val="30"/>
        </w:rPr>
        <w:t>signature</w:t>
      </w:r>
      <w:r>
        <w:rPr>
          <w:rFonts w:hint="eastAsia"/>
          <w:sz w:val="30"/>
        </w:rPr>
        <w:t>)</w:t>
      </w:r>
      <w:r>
        <w:rPr>
          <w:rFonts w:hint="eastAsia"/>
          <w:sz w:val="30"/>
        </w:rPr>
        <w:t>：</w:t>
      </w:r>
      <w:r>
        <w:rPr>
          <w:rFonts w:hint="eastAsia"/>
          <w:sz w:val="30"/>
        </w:rPr>
        <w:t xml:space="preserve">                 </w:t>
      </w:r>
      <w:r>
        <w:rPr>
          <w:rFonts w:hint="eastAsia"/>
          <w:sz w:val="30"/>
        </w:rPr>
        <w:t>年</w:t>
      </w:r>
      <w:r>
        <w:rPr>
          <w:rFonts w:hint="eastAsia"/>
          <w:sz w:val="30"/>
        </w:rPr>
        <w:t xml:space="preserve">   </w:t>
      </w:r>
      <w:r>
        <w:rPr>
          <w:rFonts w:hint="eastAsia"/>
          <w:sz w:val="30"/>
        </w:rPr>
        <w:t>月</w:t>
      </w:r>
      <w:r>
        <w:rPr>
          <w:rFonts w:hint="eastAsia"/>
          <w:sz w:val="30"/>
        </w:rPr>
        <w:t xml:space="preserve">   </w:t>
      </w:r>
      <w:r>
        <w:rPr>
          <w:rFonts w:hint="eastAsia"/>
          <w:sz w:val="30"/>
        </w:rPr>
        <w:t>日</w:t>
      </w:r>
    </w:p>
    <w:p w14:paraId="71DE6A2E" w14:textId="77777777" w:rsidR="00A41504" w:rsidRDefault="00A41504">
      <w:pPr>
        <w:spacing w:line="278" w:lineRule="auto"/>
        <w:jc w:val="left"/>
        <w:rPr>
          <w:rFonts w:ascii="Times New Roman" w:hAnsi="Times New Roman" w:cs="Times New Roman"/>
          <w:b/>
        </w:rPr>
      </w:pPr>
      <w:r>
        <w:rPr>
          <w:rFonts w:ascii="Times New Roman" w:hAnsi="Times New Roman" w:cs="Times New Roman"/>
          <w:b/>
        </w:rPr>
        <w:br w:type="page"/>
      </w:r>
    </w:p>
    <w:p w14:paraId="5ADD4283" w14:textId="4DBD4A76" w:rsidR="00A244C6" w:rsidRPr="007B550D" w:rsidRDefault="00A244C6" w:rsidP="007B550D">
      <w:pPr>
        <w:spacing w:after="0"/>
        <w:jc w:val="center"/>
        <w:rPr>
          <w:rFonts w:ascii="Times New Roman" w:hAnsi="Times New Roman" w:cs="Times New Roman"/>
          <w:b/>
        </w:rPr>
      </w:pPr>
      <w:r w:rsidRPr="007B550D">
        <w:rPr>
          <w:rFonts w:ascii="Times New Roman" w:hAnsi="Times New Roman" w:cs="Times New Roman"/>
          <w:b/>
        </w:rPr>
        <w:lastRenderedPageBreak/>
        <w:t>THE DIMINISHING MARGINAL RETURNS OF SOVEREIGN DEBT</w:t>
      </w:r>
    </w:p>
    <w:p w14:paraId="754D86F6" w14:textId="77777777" w:rsidR="00A244C6" w:rsidRPr="007B550D" w:rsidRDefault="00A244C6" w:rsidP="007B550D">
      <w:pPr>
        <w:spacing w:after="0"/>
        <w:jc w:val="center"/>
        <w:rPr>
          <w:rFonts w:ascii="Times New Roman" w:hAnsi="Times New Roman" w:cs="Times New Roman"/>
        </w:rPr>
      </w:pPr>
      <w:r w:rsidRPr="007B550D">
        <w:rPr>
          <w:rFonts w:ascii="Times New Roman" w:hAnsi="Times New Roman" w:cs="Times New Roman"/>
        </w:rPr>
        <w:t>--Dynamic Regimes and Elite Capture</w:t>
      </w:r>
    </w:p>
    <w:p w14:paraId="2EC6C0A8" w14:textId="23FFB154" w:rsidR="00A244C6" w:rsidRPr="007B550D" w:rsidRDefault="00A244C6" w:rsidP="007B550D">
      <w:pPr>
        <w:pStyle w:val="NormalWeb"/>
        <w:spacing w:before="0" w:after="0" w:line="400" w:lineRule="exact"/>
      </w:pPr>
      <w:r w:rsidRPr="007B550D">
        <w:rPr>
          <w:rFonts w:hint="eastAsia"/>
          <w:b/>
          <w:color w:val="000000"/>
        </w:rPr>
        <w:t>Abstract</w:t>
      </w:r>
      <w:r w:rsidRPr="007B550D">
        <w:rPr>
          <w:b/>
          <w:color w:val="000000"/>
        </w:rPr>
        <w:t>:</w:t>
      </w:r>
      <w:r w:rsidRPr="007B550D">
        <w:t xml:space="preserve"> The global financial system has pivoted from temporary crisis management to a regime of permanent hyper-leverage. This thesis deconstructs the traditional Keynesian assumption of the debt multiplier, arguing that the relationship </w:t>
      </w:r>
      <w:r w:rsidR="007A08CA">
        <w:t>among</w:t>
      </w:r>
      <w:r w:rsidRPr="007B550D">
        <w:t xml:space="preserve"> sovereign leverage, economic growth, and wealth distribution is non-linear and governed by structural event horizons—mathematical tipping points </w:t>
      </w:r>
      <w:r w:rsidR="007A08CA">
        <w:t>at which</w:t>
      </w:r>
      <w:r w:rsidRPr="007B550D">
        <w:t xml:space="preserve"> debt ceases to stimulate and begins to actively cannibalize the economy.</w:t>
      </w:r>
    </w:p>
    <w:p w14:paraId="19D9C633" w14:textId="77777777" w:rsidR="00A244C6" w:rsidRPr="007B550D" w:rsidRDefault="00A244C6" w:rsidP="007B550D">
      <w:pPr>
        <w:pStyle w:val="NormalWeb"/>
        <w:spacing w:before="0" w:after="0" w:line="400" w:lineRule="exact"/>
      </w:pPr>
      <w:r w:rsidRPr="007B550D">
        <w:t>Utilizing a computational stack built in Python and "vibecoded" through human-AI collaboration, I analyze panel data (1995–2022) across three institutional blocs: Advanced OECD, Emerging OECD, and BRICS. Difference GMM diagnostics prove that standard linear models are mathematically bankrupt in this context. Consequently, the methodology advances to Hansen’s Panel Threshold framework, employing a thousand-iteration SSR grid search to isolate exact saturation points.</w:t>
      </w:r>
    </w:p>
    <w:p w14:paraId="52954BD9" w14:textId="42295379" w:rsidR="00A244C6" w:rsidRPr="007B550D" w:rsidRDefault="00A244C6" w:rsidP="007B550D">
      <w:pPr>
        <w:pStyle w:val="NormalWeb"/>
        <w:spacing w:before="0" w:after="0" w:line="400" w:lineRule="exact"/>
      </w:pPr>
      <w:r w:rsidRPr="007B550D">
        <w:t>The findings invalidate the traditional 90% "Reinhart-Rogoff" rule. Thresholds trigger significantly earlier: approximately 65.7% for advanced economies and as low as 22.7% for the BRICS bloc. Crucially, the research introduces "variance basins" (+1 and +3 standard deviation zones), proving that debt efficiency degrades through a marsh of increasing volatility rather than falling off a single cliff. Beyond these thresholds, sovereign borrowing engages a "Cantillon funnel." New liquidity bypasses the real economy</w:t>
      </w:r>
      <w:r w:rsidR="007A08CA">
        <w:t>,</w:t>
      </w:r>
      <w:r w:rsidRPr="007B550D">
        <w:t xml:space="preserve"> </w:t>
      </w:r>
      <w:r w:rsidR="007A08CA">
        <w:t>hyperinflating</w:t>
      </w:r>
      <w:r w:rsidRPr="007B550D">
        <w:t xml:space="preserve"> asset prices</w:t>
      </w:r>
      <w:r w:rsidR="007A08CA">
        <w:t xml:space="preserve"> and</w:t>
      </w:r>
      <w:r w:rsidRPr="007B550D">
        <w:t xml:space="preserve"> accelerating wealth capture by the top 10% while leaving the bottom 50% mathematically underwater.</w:t>
      </w:r>
    </w:p>
    <w:p w14:paraId="448B9BF3" w14:textId="77777777" w:rsidR="00A244C6" w:rsidRPr="007B550D" w:rsidRDefault="00A244C6" w:rsidP="007B550D">
      <w:pPr>
        <w:pStyle w:val="NormalWeb"/>
        <w:spacing w:before="0" w:after="0" w:line="400" w:lineRule="exact"/>
      </w:pPr>
      <w:r w:rsidRPr="007B550D">
        <w:t>To survive this closing fiscal window, the thesis proposes a structural pivot: the establishment of independent debt authorities with statutory hard caps, the implementation of in-kind wealth recapture models to hedge against asset inflation, and the development of multipolar capital centers to break the developed world's monopoly on global liquidity.</w:t>
      </w:r>
    </w:p>
    <w:p w14:paraId="3AEA8422" w14:textId="77777777" w:rsidR="00A244C6" w:rsidRPr="007B550D" w:rsidRDefault="00A244C6" w:rsidP="007B550D">
      <w:pPr>
        <w:pStyle w:val="NormalWeb"/>
        <w:spacing w:before="0" w:after="0" w:line="400" w:lineRule="exact"/>
        <w:rPr>
          <w:i/>
        </w:rPr>
      </w:pPr>
      <w:r w:rsidRPr="007B550D">
        <w:rPr>
          <w:b/>
          <w:bCs/>
        </w:rPr>
        <w:t>Keywords</w:t>
      </w:r>
      <w:r w:rsidRPr="007B550D">
        <w:rPr>
          <w:b/>
        </w:rPr>
        <w:t>:</w:t>
      </w:r>
      <w:r w:rsidRPr="007B550D">
        <w:rPr>
          <w:i/>
        </w:rPr>
        <w:t xml:space="preserve"> Sovereign Debt, Panel Threshold Regression, Wealth Inequality, Elite Capture, Cantillon Effect, Difference GMM, Macroeconomic Tipping Points.</w:t>
      </w:r>
    </w:p>
    <w:p w14:paraId="02661F49" w14:textId="05D32767" w:rsidR="00A244C6" w:rsidRPr="007B550D" w:rsidRDefault="00A244C6" w:rsidP="007B550D">
      <w:pPr>
        <w:pStyle w:val="Heading2"/>
        <w:spacing w:before="0" w:after="0"/>
        <w:rPr>
          <w:b w:val="0"/>
          <w:bCs w:val="0"/>
        </w:rPr>
      </w:pPr>
      <w:bookmarkStart w:id="5" w:name="_Toc229116037"/>
      <w:r w:rsidRPr="007B550D">
        <w:rPr>
          <w:rFonts w:eastAsia="SimHei" w:hint="eastAsia"/>
          <w:color w:val="000000"/>
        </w:rPr>
        <w:t>摘</w:t>
      </w:r>
      <w:r w:rsidRPr="007B550D">
        <w:rPr>
          <w:rFonts w:eastAsia="SimHei" w:hint="eastAsia"/>
          <w:color w:val="000000"/>
        </w:rPr>
        <w:t xml:space="preserve"> </w:t>
      </w:r>
      <w:r w:rsidRPr="007B550D">
        <w:rPr>
          <w:rFonts w:eastAsia="SimHei" w:hint="eastAsia"/>
          <w:color w:val="000000"/>
        </w:rPr>
        <w:t>要</w:t>
      </w:r>
      <w:r w:rsidRPr="007B550D">
        <w:rPr>
          <w:rFonts w:eastAsia="SimHei" w:hint="eastAsia"/>
          <w:color w:val="000000"/>
        </w:rPr>
        <w:t>(abstract)</w:t>
      </w:r>
      <w:r w:rsidRPr="007B550D">
        <w:rPr>
          <w:rFonts w:eastAsia="SimSun" w:hint="eastAsia"/>
        </w:rPr>
        <w:t>：</w:t>
      </w:r>
      <w:r w:rsidRPr="007B550D">
        <w:rPr>
          <w:rFonts w:eastAsia="SimSun" w:hint="eastAsia"/>
          <w:b w:val="0"/>
          <w:bCs w:val="0"/>
        </w:rPr>
        <w:t>全球金融体系已从临时的危机管理模式，转向一种永久性的</w:t>
      </w:r>
      <w:r w:rsidRPr="007B550D">
        <w:rPr>
          <w:rFonts w:hint="eastAsia"/>
          <w:b w:val="0"/>
          <w:bCs w:val="0"/>
        </w:rPr>
        <w:t>“</w:t>
      </w:r>
      <w:r w:rsidRPr="007B550D">
        <w:rPr>
          <w:rFonts w:eastAsia="SimSun" w:hint="eastAsia"/>
          <w:b w:val="0"/>
          <w:bCs w:val="0"/>
        </w:rPr>
        <w:t>超杠杆</w:t>
      </w:r>
      <w:r w:rsidRPr="007B550D">
        <w:rPr>
          <w:rFonts w:hint="eastAsia"/>
          <w:b w:val="0"/>
          <w:bCs w:val="0"/>
        </w:rPr>
        <w:t>”</w:t>
      </w:r>
      <w:r w:rsidRPr="007B550D">
        <w:rPr>
          <w:rFonts w:eastAsia="SimSun" w:hint="eastAsia"/>
          <w:b w:val="0"/>
          <w:bCs w:val="0"/>
        </w:rPr>
        <w:t>运行机制。本论文解构了关于债务乘数的传统凯恩斯主义假设，并论证指出：主权杠杆、经</w:t>
      </w:r>
      <w:r w:rsidRPr="007B550D">
        <w:rPr>
          <w:rFonts w:eastAsia="SimSun" w:hint="eastAsia"/>
          <w:b w:val="0"/>
          <w:bCs w:val="0"/>
        </w:rPr>
        <w:lastRenderedPageBreak/>
        <w:t>济增长与财富分配之间的关系并非线性，而是受制于一系列</w:t>
      </w:r>
      <w:r w:rsidRPr="007B550D">
        <w:rPr>
          <w:rFonts w:hint="eastAsia"/>
          <w:b w:val="0"/>
          <w:bCs w:val="0"/>
        </w:rPr>
        <w:t>“</w:t>
      </w:r>
      <w:r w:rsidRPr="007B550D">
        <w:rPr>
          <w:rFonts w:eastAsia="SimSun" w:hint="eastAsia"/>
          <w:b w:val="0"/>
          <w:bCs w:val="0"/>
        </w:rPr>
        <w:t>结构性视界</w:t>
      </w:r>
      <w:r w:rsidRPr="007B550D">
        <w:rPr>
          <w:rFonts w:hint="eastAsia"/>
          <w:b w:val="0"/>
          <w:bCs w:val="0"/>
        </w:rPr>
        <w:t>”</w:t>
      </w:r>
      <w:r w:rsidRPr="007B550D">
        <w:rPr>
          <w:rFonts w:eastAsia="SimSun" w:hint="eastAsia"/>
          <w:b w:val="0"/>
          <w:bCs w:val="0"/>
        </w:rPr>
        <w:t>（</w:t>
      </w:r>
      <w:r w:rsidRPr="007B550D">
        <w:rPr>
          <w:b w:val="0"/>
          <w:bCs w:val="0"/>
        </w:rPr>
        <w:t>structural event horizo​​ns</w:t>
      </w:r>
      <w:r w:rsidRPr="007B550D">
        <w:rPr>
          <w:rFonts w:eastAsia="SimSun" w:hint="eastAsia"/>
          <w:b w:val="0"/>
          <w:bCs w:val="0"/>
        </w:rPr>
        <w:t>）</w:t>
      </w:r>
      <w:r w:rsidRPr="007B550D">
        <w:rPr>
          <w:rFonts w:hint="eastAsia"/>
          <w:b w:val="0"/>
          <w:bCs w:val="0"/>
        </w:rPr>
        <w:t>——</w:t>
      </w:r>
      <w:r w:rsidRPr="007B550D">
        <w:rPr>
          <w:rFonts w:eastAsia="SimSun" w:hint="eastAsia"/>
          <w:b w:val="0"/>
          <w:bCs w:val="0"/>
        </w:rPr>
        <w:t>即那些在数学上具有决定性意义的临界点，一旦跨越这些临界点，债务便不再具有刺激经济的效用，转而开始主动侵蚀经济体系。</w:t>
      </w:r>
      <w:bookmarkEnd w:id="5"/>
    </w:p>
    <w:p w14:paraId="22CADF5B" w14:textId="77777777" w:rsidR="00A244C6" w:rsidRPr="007B550D" w:rsidRDefault="00A244C6" w:rsidP="007B550D">
      <w:pPr>
        <w:pStyle w:val="Heading2"/>
        <w:spacing w:before="0" w:after="0"/>
        <w:rPr>
          <w:b w:val="0"/>
          <w:bCs w:val="0"/>
        </w:rPr>
      </w:pPr>
      <w:bookmarkStart w:id="6" w:name="_Toc229116038"/>
      <w:r w:rsidRPr="007B550D">
        <w:rPr>
          <w:rFonts w:eastAsia="SimSun" w:hint="eastAsia"/>
          <w:b w:val="0"/>
          <w:bCs w:val="0"/>
        </w:rPr>
        <w:t>借助一套基于</w:t>
      </w:r>
      <w:r w:rsidRPr="007B550D">
        <w:rPr>
          <w:rFonts w:hint="eastAsia"/>
          <w:b w:val="0"/>
          <w:bCs w:val="0"/>
        </w:rPr>
        <w:t xml:space="preserve"> Python </w:t>
      </w:r>
      <w:r w:rsidRPr="007B550D">
        <w:rPr>
          <w:rFonts w:eastAsia="SimSun" w:hint="eastAsia"/>
          <w:b w:val="0"/>
          <w:bCs w:val="0"/>
        </w:rPr>
        <w:t>语言构建、并通过</w:t>
      </w:r>
      <w:r w:rsidRPr="007B550D">
        <w:rPr>
          <w:rFonts w:hint="eastAsia"/>
          <w:b w:val="0"/>
          <w:bCs w:val="0"/>
        </w:rPr>
        <w:t>“</w:t>
      </w:r>
      <w:r w:rsidRPr="007B550D">
        <w:rPr>
          <w:rFonts w:eastAsia="SimSun" w:hint="eastAsia"/>
          <w:b w:val="0"/>
          <w:bCs w:val="0"/>
        </w:rPr>
        <w:t>人机协作</w:t>
      </w:r>
      <w:r w:rsidRPr="007B550D">
        <w:rPr>
          <w:rFonts w:hint="eastAsia"/>
          <w:b w:val="0"/>
          <w:bCs w:val="0"/>
        </w:rPr>
        <w:t>”</w:t>
      </w:r>
      <w:r w:rsidRPr="007B550D">
        <w:rPr>
          <w:rFonts w:eastAsia="SimSun" w:hint="eastAsia"/>
          <w:b w:val="0"/>
          <w:bCs w:val="0"/>
        </w:rPr>
        <w:t>（</w:t>
      </w:r>
      <w:r w:rsidRPr="007B550D">
        <w:rPr>
          <w:rFonts w:hint="eastAsia"/>
          <w:b w:val="0"/>
          <w:bCs w:val="0"/>
        </w:rPr>
        <w:t>vibecoded</w:t>
      </w:r>
      <w:r w:rsidRPr="007B550D">
        <w:rPr>
          <w:rFonts w:eastAsia="SimSun" w:hint="eastAsia"/>
          <w:b w:val="0"/>
          <w:bCs w:val="0"/>
        </w:rPr>
        <w:t>）方式进行代码优化的计算分析栈，本文对三大制度性经济体板块（即发达</w:t>
      </w:r>
      <w:r w:rsidRPr="007B550D">
        <w:rPr>
          <w:rFonts w:hint="eastAsia"/>
          <w:b w:val="0"/>
          <w:bCs w:val="0"/>
        </w:rPr>
        <w:t xml:space="preserve"> OECD </w:t>
      </w:r>
      <w:r w:rsidRPr="007B550D">
        <w:rPr>
          <w:rFonts w:eastAsia="SimSun" w:hint="eastAsia"/>
          <w:b w:val="0"/>
          <w:bCs w:val="0"/>
        </w:rPr>
        <w:t>国家、新兴</w:t>
      </w:r>
      <w:r w:rsidRPr="007B550D">
        <w:rPr>
          <w:rFonts w:hint="eastAsia"/>
          <w:b w:val="0"/>
          <w:bCs w:val="0"/>
        </w:rPr>
        <w:t xml:space="preserve"> OECD </w:t>
      </w:r>
      <w:r w:rsidRPr="007B550D">
        <w:rPr>
          <w:rFonts w:eastAsia="SimSun" w:hint="eastAsia"/>
          <w:b w:val="0"/>
          <w:bCs w:val="0"/>
        </w:rPr>
        <w:t>国家及金砖国家）在</w:t>
      </w:r>
      <w:r w:rsidRPr="007B550D">
        <w:rPr>
          <w:rFonts w:hint="eastAsia"/>
          <w:b w:val="0"/>
          <w:bCs w:val="0"/>
        </w:rPr>
        <w:t xml:space="preserve"> 1995 </w:t>
      </w:r>
      <w:r w:rsidRPr="007B550D">
        <w:rPr>
          <w:rFonts w:eastAsia="SimSun" w:hint="eastAsia"/>
          <w:b w:val="0"/>
          <w:bCs w:val="0"/>
        </w:rPr>
        <w:t>至</w:t>
      </w:r>
      <w:r w:rsidRPr="007B550D">
        <w:rPr>
          <w:rFonts w:hint="eastAsia"/>
          <w:b w:val="0"/>
          <w:bCs w:val="0"/>
        </w:rPr>
        <w:t xml:space="preserve"> 2022 </w:t>
      </w:r>
      <w:r w:rsidRPr="007B550D">
        <w:rPr>
          <w:rFonts w:eastAsia="SimSun" w:hint="eastAsia"/>
          <w:b w:val="0"/>
          <w:bCs w:val="0"/>
        </w:rPr>
        <w:t>年间的面板数据进行了深入分析。差分广义矩估计（</w:t>
      </w:r>
      <w:r w:rsidRPr="007B550D">
        <w:rPr>
          <w:rFonts w:hint="eastAsia"/>
          <w:b w:val="0"/>
          <w:bCs w:val="0"/>
        </w:rPr>
        <w:t>Difference GMM</w:t>
      </w:r>
      <w:r w:rsidRPr="007B550D">
        <w:rPr>
          <w:rFonts w:eastAsia="SimSun" w:hint="eastAsia"/>
          <w:b w:val="0"/>
          <w:bCs w:val="0"/>
        </w:rPr>
        <w:t>）诊断结果证实，在当前语境下，标准的线性模型在数学上已彻底失效。鉴于此，本文将研究方法升级至</w:t>
      </w:r>
      <w:r w:rsidRPr="007B550D">
        <w:rPr>
          <w:rFonts w:hint="eastAsia"/>
          <w:b w:val="0"/>
          <w:bCs w:val="0"/>
        </w:rPr>
        <w:t xml:space="preserve"> Hansen </w:t>
      </w:r>
      <w:r w:rsidRPr="007B550D">
        <w:rPr>
          <w:rFonts w:eastAsia="SimSun" w:hint="eastAsia"/>
          <w:b w:val="0"/>
          <w:bCs w:val="0"/>
        </w:rPr>
        <w:t>提出的</w:t>
      </w:r>
      <w:r w:rsidRPr="007B550D">
        <w:rPr>
          <w:rFonts w:hint="eastAsia"/>
          <w:b w:val="0"/>
          <w:bCs w:val="0"/>
        </w:rPr>
        <w:t>“</w:t>
      </w:r>
      <w:r w:rsidRPr="007B550D">
        <w:rPr>
          <w:rFonts w:eastAsia="SimSun" w:hint="eastAsia"/>
          <w:b w:val="0"/>
          <w:bCs w:val="0"/>
        </w:rPr>
        <w:t>面板门槛模型</w:t>
      </w:r>
      <w:r w:rsidRPr="007B550D">
        <w:rPr>
          <w:rFonts w:hint="eastAsia"/>
          <w:b w:val="0"/>
          <w:bCs w:val="0"/>
        </w:rPr>
        <w:t>”</w:t>
      </w:r>
      <w:r w:rsidRPr="007B550D">
        <w:rPr>
          <w:rFonts w:eastAsia="SimSun" w:hint="eastAsia"/>
          <w:b w:val="0"/>
          <w:bCs w:val="0"/>
        </w:rPr>
        <w:t>框架，并采用千次迭代的</w:t>
      </w:r>
      <w:r w:rsidRPr="007B550D">
        <w:rPr>
          <w:rFonts w:hint="eastAsia"/>
          <w:b w:val="0"/>
          <w:bCs w:val="0"/>
        </w:rPr>
        <w:t xml:space="preserve"> SSR </w:t>
      </w:r>
      <w:r w:rsidRPr="007B550D">
        <w:rPr>
          <w:rFonts w:eastAsia="SimSun" w:hint="eastAsia"/>
          <w:b w:val="0"/>
          <w:bCs w:val="0"/>
        </w:rPr>
        <w:t>网格搜索算法，以精准锁定债务饱和的临界点。</w:t>
      </w:r>
      <w:bookmarkEnd w:id="6"/>
    </w:p>
    <w:p w14:paraId="5BE76380" w14:textId="77777777" w:rsidR="00A244C6" w:rsidRPr="007B550D" w:rsidRDefault="00A244C6" w:rsidP="007B550D">
      <w:pPr>
        <w:pStyle w:val="Heading2"/>
        <w:spacing w:before="0" w:after="0"/>
        <w:rPr>
          <w:b w:val="0"/>
          <w:bCs w:val="0"/>
        </w:rPr>
      </w:pPr>
      <w:bookmarkStart w:id="7" w:name="_Toc229116039"/>
      <w:r w:rsidRPr="007B550D">
        <w:rPr>
          <w:rFonts w:eastAsia="SimSun" w:hint="eastAsia"/>
          <w:b w:val="0"/>
          <w:bCs w:val="0"/>
        </w:rPr>
        <w:t>研究结果证伪了传统的</w:t>
      </w:r>
      <w:r w:rsidRPr="007B550D">
        <w:rPr>
          <w:rFonts w:hint="eastAsia"/>
          <w:b w:val="0"/>
          <w:bCs w:val="0"/>
        </w:rPr>
        <w:t xml:space="preserve"> 90%“</w:t>
      </w:r>
      <w:r w:rsidRPr="007B550D">
        <w:rPr>
          <w:rFonts w:eastAsia="SimSun" w:hint="eastAsia"/>
          <w:b w:val="0"/>
          <w:bCs w:val="0"/>
        </w:rPr>
        <w:t>莱因哈特</w:t>
      </w:r>
      <w:r w:rsidRPr="007B550D">
        <w:rPr>
          <w:rFonts w:hint="eastAsia"/>
          <w:b w:val="0"/>
          <w:bCs w:val="0"/>
        </w:rPr>
        <w:t>-</w:t>
      </w:r>
      <w:r w:rsidRPr="007B550D">
        <w:rPr>
          <w:rFonts w:eastAsia="SimSun" w:hint="eastAsia"/>
          <w:b w:val="0"/>
          <w:bCs w:val="0"/>
        </w:rPr>
        <w:t>罗戈夫</w:t>
      </w:r>
      <w:r w:rsidRPr="007B550D">
        <w:rPr>
          <w:rFonts w:hint="eastAsia"/>
          <w:b w:val="0"/>
          <w:bCs w:val="0"/>
        </w:rPr>
        <w:t>”</w:t>
      </w:r>
      <w:r w:rsidRPr="007B550D">
        <w:rPr>
          <w:rFonts w:eastAsia="SimSun" w:hint="eastAsia"/>
          <w:b w:val="0"/>
          <w:bCs w:val="0"/>
        </w:rPr>
        <w:t>（</w:t>
      </w:r>
      <w:r w:rsidRPr="007B550D">
        <w:rPr>
          <w:rFonts w:hint="eastAsia"/>
          <w:b w:val="0"/>
          <w:bCs w:val="0"/>
        </w:rPr>
        <w:t>Reinhart-Rogoff</w:t>
      </w:r>
      <w:r w:rsidRPr="007B550D">
        <w:rPr>
          <w:rFonts w:eastAsia="SimSun" w:hint="eastAsia"/>
          <w:b w:val="0"/>
          <w:bCs w:val="0"/>
        </w:rPr>
        <w:t>）规则。实际的债务临界点触发得远比传统理论预期的要早：发达经济体的临界点约为</w:t>
      </w:r>
      <w:r w:rsidRPr="007B550D">
        <w:rPr>
          <w:rFonts w:hint="eastAsia"/>
          <w:b w:val="0"/>
          <w:bCs w:val="0"/>
        </w:rPr>
        <w:t xml:space="preserve"> 65.7%</w:t>
      </w:r>
      <w:r w:rsidRPr="007B550D">
        <w:rPr>
          <w:rFonts w:eastAsia="SimSun" w:hint="eastAsia"/>
          <w:b w:val="0"/>
          <w:bCs w:val="0"/>
        </w:rPr>
        <w:t>，而金砖国家板块的临界点甚至低至</w:t>
      </w:r>
      <w:r w:rsidRPr="007B550D">
        <w:rPr>
          <w:rFonts w:hint="eastAsia"/>
          <w:b w:val="0"/>
          <w:bCs w:val="0"/>
        </w:rPr>
        <w:t xml:space="preserve"> 22.7%</w:t>
      </w:r>
      <w:r w:rsidRPr="007B550D">
        <w:rPr>
          <w:rFonts w:eastAsia="SimSun" w:hint="eastAsia"/>
          <w:b w:val="0"/>
          <w:bCs w:val="0"/>
        </w:rPr>
        <w:t>。至关重要的是，本研究引入了</w:t>
      </w:r>
      <w:r w:rsidRPr="007B550D">
        <w:rPr>
          <w:rFonts w:hint="eastAsia"/>
          <w:b w:val="0"/>
          <w:bCs w:val="0"/>
        </w:rPr>
        <w:t>“</w:t>
      </w:r>
      <w:r w:rsidRPr="007B550D">
        <w:rPr>
          <w:rFonts w:eastAsia="SimSun" w:hint="eastAsia"/>
          <w:b w:val="0"/>
          <w:bCs w:val="0"/>
        </w:rPr>
        <w:t>方差盆地</w:t>
      </w:r>
      <w:r w:rsidRPr="007B550D">
        <w:rPr>
          <w:rFonts w:hint="eastAsia"/>
          <w:b w:val="0"/>
          <w:bCs w:val="0"/>
        </w:rPr>
        <w:t>”</w:t>
      </w:r>
      <w:r w:rsidRPr="007B550D">
        <w:rPr>
          <w:rFonts w:eastAsia="SimSun" w:hint="eastAsia"/>
          <w:b w:val="0"/>
          <w:bCs w:val="0"/>
        </w:rPr>
        <w:t>（</w:t>
      </w:r>
      <w:r w:rsidRPr="007B550D">
        <w:rPr>
          <w:rFonts w:hint="eastAsia"/>
          <w:b w:val="0"/>
          <w:bCs w:val="0"/>
        </w:rPr>
        <w:t>variance basins</w:t>
      </w:r>
      <w:r w:rsidRPr="007B550D">
        <w:rPr>
          <w:rFonts w:eastAsia="SimSun" w:hint="eastAsia"/>
          <w:b w:val="0"/>
          <w:bCs w:val="0"/>
        </w:rPr>
        <w:t>）概念（即</w:t>
      </w:r>
      <w:r w:rsidRPr="007B550D">
        <w:rPr>
          <w:rFonts w:hint="eastAsia"/>
          <w:b w:val="0"/>
          <w:bCs w:val="0"/>
        </w:rPr>
        <w:t xml:space="preserve"> +1 </w:t>
      </w:r>
      <w:r w:rsidRPr="007B550D">
        <w:rPr>
          <w:rFonts w:eastAsia="SimSun" w:hint="eastAsia"/>
          <w:b w:val="0"/>
          <w:bCs w:val="0"/>
        </w:rPr>
        <w:t>和</w:t>
      </w:r>
      <w:r w:rsidRPr="007B550D">
        <w:rPr>
          <w:rFonts w:hint="eastAsia"/>
          <w:b w:val="0"/>
          <w:bCs w:val="0"/>
        </w:rPr>
        <w:t xml:space="preserve"> +3 </w:t>
      </w:r>
      <w:r w:rsidRPr="007B550D">
        <w:rPr>
          <w:rFonts w:eastAsia="SimSun" w:hint="eastAsia"/>
          <w:b w:val="0"/>
          <w:bCs w:val="0"/>
        </w:rPr>
        <w:t>标准差区间），揭示出债务效率的衰减并非表现为</w:t>
      </w:r>
      <w:r w:rsidRPr="007B550D">
        <w:rPr>
          <w:rFonts w:hint="eastAsia"/>
          <w:b w:val="0"/>
          <w:bCs w:val="0"/>
        </w:rPr>
        <w:t>“</w:t>
      </w:r>
      <w:r w:rsidRPr="007B550D">
        <w:rPr>
          <w:rFonts w:eastAsia="SimSun" w:hint="eastAsia"/>
          <w:b w:val="0"/>
          <w:bCs w:val="0"/>
        </w:rPr>
        <w:t>断崖式</w:t>
      </w:r>
      <w:r w:rsidRPr="007B550D">
        <w:rPr>
          <w:rFonts w:hint="eastAsia"/>
          <w:b w:val="0"/>
          <w:bCs w:val="0"/>
        </w:rPr>
        <w:t>”</w:t>
      </w:r>
      <w:r w:rsidRPr="007B550D">
        <w:rPr>
          <w:rFonts w:eastAsia="SimSun" w:hint="eastAsia"/>
          <w:b w:val="0"/>
          <w:bCs w:val="0"/>
        </w:rPr>
        <w:t>的骤降，而是在一个波动性日益加剧的</w:t>
      </w:r>
      <w:r w:rsidRPr="007B550D">
        <w:rPr>
          <w:rFonts w:hint="eastAsia"/>
          <w:b w:val="0"/>
          <w:bCs w:val="0"/>
        </w:rPr>
        <w:t>“</w:t>
      </w:r>
      <w:r w:rsidRPr="007B550D">
        <w:rPr>
          <w:rFonts w:eastAsia="SimSun" w:hint="eastAsia"/>
          <w:b w:val="0"/>
          <w:bCs w:val="0"/>
        </w:rPr>
        <w:t>泥沼</w:t>
      </w:r>
      <w:r w:rsidRPr="007B550D">
        <w:rPr>
          <w:rFonts w:hint="eastAsia"/>
          <w:b w:val="0"/>
          <w:bCs w:val="0"/>
        </w:rPr>
        <w:t>”</w:t>
      </w:r>
      <w:r w:rsidRPr="007B550D">
        <w:rPr>
          <w:rFonts w:eastAsia="SimSun" w:hint="eastAsia"/>
          <w:b w:val="0"/>
          <w:bCs w:val="0"/>
        </w:rPr>
        <w:t>中逐步恶化。一旦跨越上述临界点，主权借贷行为便会触发一种</w:t>
      </w:r>
      <w:r w:rsidRPr="007B550D">
        <w:rPr>
          <w:rFonts w:hint="eastAsia"/>
          <w:b w:val="0"/>
          <w:bCs w:val="0"/>
        </w:rPr>
        <w:t>“</w:t>
      </w:r>
      <w:r w:rsidRPr="007B550D">
        <w:rPr>
          <w:rFonts w:eastAsia="SimSun" w:hint="eastAsia"/>
          <w:b w:val="0"/>
          <w:bCs w:val="0"/>
        </w:rPr>
        <w:t>坎蒂隆漏斗</w:t>
      </w:r>
      <w:r w:rsidRPr="007B550D">
        <w:rPr>
          <w:rFonts w:hint="eastAsia"/>
          <w:b w:val="0"/>
          <w:bCs w:val="0"/>
        </w:rPr>
        <w:t>”</w:t>
      </w:r>
      <w:r w:rsidRPr="007B550D">
        <w:rPr>
          <w:rFonts w:eastAsia="SimSun" w:hint="eastAsia"/>
          <w:b w:val="0"/>
          <w:bCs w:val="0"/>
        </w:rPr>
        <w:t>（</w:t>
      </w:r>
      <w:r w:rsidRPr="007B550D">
        <w:rPr>
          <w:rFonts w:hint="eastAsia"/>
          <w:b w:val="0"/>
          <w:bCs w:val="0"/>
        </w:rPr>
        <w:t>Cantillon funnel</w:t>
      </w:r>
      <w:r w:rsidRPr="007B550D">
        <w:rPr>
          <w:rFonts w:eastAsia="SimSun" w:hint="eastAsia"/>
          <w:b w:val="0"/>
          <w:bCs w:val="0"/>
        </w:rPr>
        <w:t>）效应：新增的流动性绕过实体经济，直接导致资产价格极度膨胀；这一过程加速了处于财富金字塔顶端的</w:t>
      </w:r>
      <w:r w:rsidRPr="007B550D">
        <w:rPr>
          <w:rFonts w:hint="eastAsia"/>
          <w:b w:val="0"/>
          <w:bCs w:val="0"/>
        </w:rPr>
        <w:t xml:space="preserve"> 10% </w:t>
      </w:r>
      <w:r w:rsidRPr="007B550D">
        <w:rPr>
          <w:rFonts w:eastAsia="SimSun" w:hint="eastAsia"/>
          <w:b w:val="0"/>
          <w:bCs w:val="0"/>
        </w:rPr>
        <w:t>人群对财富的攫取，却使得处于底层的</w:t>
      </w:r>
      <w:r w:rsidRPr="007B550D">
        <w:rPr>
          <w:rFonts w:hint="eastAsia"/>
          <w:b w:val="0"/>
          <w:bCs w:val="0"/>
        </w:rPr>
        <w:t xml:space="preserve"> 50% </w:t>
      </w:r>
      <w:r w:rsidRPr="007B550D">
        <w:rPr>
          <w:rFonts w:eastAsia="SimSun" w:hint="eastAsia"/>
          <w:b w:val="0"/>
          <w:bCs w:val="0"/>
        </w:rPr>
        <w:t>人群在数学意义上陷入了资不抵债的困境。</w:t>
      </w:r>
      <w:bookmarkEnd w:id="7"/>
    </w:p>
    <w:p w14:paraId="56E1143E" w14:textId="77777777" w:rsidR="00A244C6" w:rsidRPr="007B550D" w:rsidRDefault="00A244C6" w:rsidP="007B550D">
      <w:pPr>
        <w:pStyle w:val="Heading2"/>
        <w:spacing w:before="0" w:after="0"/>
      </w:pPr>
      <w:bookmarkStart w:id="8" w:name="_Toc229116040"/>
      <w:r w:rsidRPr="007B550D">
        <w:rPr>
          <w:rFonts w:eastAsia="SimSun" w:hint="eastAsia"/>
          <w:b w:val="0"/>
          <w:bCs w:val="0"/>
        </w:rPr>
        <w:t>为了应对这一日益收窄的财政政策窗口期，本论文提出了一套结构性的战略转型方案：设立具有法定</w:t>
      </w:r>
      <w:r w:rsidRPr="007B550D">
        <w:rPr>
          <w:rFonts w:hint="eastAsia"/>
          <w:b w:val="0"/>
          <w:bCs w:val="0"/>
        </w:rPr>
        <w:t>“</w:t>
      </w:r>
      <w:r w:rsidRPr="007B550D">
        <w:rPr>
          <w:rFonts w:eastAsia="SimSun" w:hint="eastAsia"/>
          <w:b w:val="0"/>
          <w:bCs w:val="0"/>
        </w:rPr>
        <w:t>硬性上限</w:t>
      </w:r>
      <w:r w:rsidRPr="007B550D">
        <w:rPr>
          <w:rFonts w:hint="eastAsia"/>
          <w:b w:val="0"/>
          <w:bCs w:val="0"/>
        </w:rPr>
        <w:t>”</w:t>
      </w:r>
      <w:r w:rsidRPr="007B550D">
        <w:rPr>
          <w:rFonts w:eastAsia="SimSun" w:hint="eastAsia"/>
          <w:b w:val="0"/>
          <w:bCs w:val="0"/>
        </w:rPr>
        <w:t>约束的独立债务管理机构；实施</w:t>
      </w:r>
      <w:r w:rsidRPr="007B550D">
        <w:rPr>
          <w:rFonts w:hint="eastAsia"/>
          <w:b w:val="0"/>
          <w:bCs w:val="0"/>
        </w:rPr>
        <w:t>“</w:t>
      </w:r>
      <w:r w:rsidRPr="007B550D">
        <w:rPr>
          <w:rFonts w:eastAsia="SimSun" w:hint="eastAsia"/>
          <w:b w:val="0"/>
          <w:bCs w:val="0"/>
        </w:rPr>
        <w:t>实物形式财富回流</w:t>
      </w:r>
      <w:r w:rsidRPr="007B550D">
        <w:rPr>
          <w:rFonts w:hint="eastAsia"/>
          <w:b w:val="0"/>
          <w:bCs w:val="0"/>
        </w:rPr>
        <w:t>”</w:t>
      </w:r>
      <w:r w:rsidRPr="007B550D">
        <w:rPr>
          <w:rFonts w:eastAsia="SimSun" w:hint="eastAsia"/>
          <w:b w:val="0"/>
          <w:bCs w:val="0"/>
        </w:rPr>
        <w:t>（</w:t>
      </w:r>
      <w:r w:rsidRPr="007B550D">
        <w:rPr>
          <w:rFonts w:hint="eastAsia"/>
          <w:b w:val="0"/>
          <w:bCs w:val="0"/>
        </w:rPr>
        <w:t>in-kind wealth recapture</w:t>
      </w:r>
      <w:r w:rsidRPr="007B550D">
        <w:rPr>
          <w:rFonts w:eastAsia="SimSun" w:hint="eastAsia"/>
          <w:b w:val="0"/>
          <w:bCs w:val="0"/>
        </w:rPr>
        <w:t>）模式以对冲资产通胀风险；以及构建多极化的全球资本中心，从而打破发达国家对全球流动性资源的垄断地位。</w:t>
      </w:r>
      <w:bookmarkEnd w:id="8"/>
    </w:p>
    <w:p w14:paraId="19F321CA" w14:textId="647B9049" w:rsidR="00A244C6" w:rsidRPr="007B550D" w:rsidRDefault="00A244C6" w:rsidP="007B550D">
      <w:pPr>
        <w:pStyle w:val="Heading2"/>
        <w:spacing w:before="0" w:beforeAutospacing="0" w:after="0" w:afterAutospacing="0"/>
      </w:pPr>
      <w:bookmarkStart w:id="9" w:name="_Toc229116041"/>
      <w:r w:rsidRPr="007B550D">
        <w:rPr>
          <w:rFonts w:eastAsia="SimHei" w:hint="eastAsia"/>
        </w:rPr>
        <w:t>关键词</w:t>
      </w:r>
      <w:r w:rsidRPr="007B550D">
        <w:rPr>
          <w:rFonts w:eastAsia="SimHei" w:hint="eastAsia"/>
        </w:rPr>
        <w:t>(keywords</w:t>
      </w:r>
      <w:r w:rsidRPr="007B550D">
        <w:rPr>
          <w:rFonts w:eastAsia="SimSun" w:hint="eastAsia"/>
        </w:rPr>
        <w:t>：</w:t>
      </w:r>
      <w:r w:rsidRPr="007B550D">
        <w:rPr>
          <w:rFonts w:eastAsia="SimSun" w:hint="eastAsia"/>
          <w:b w:val="0"/>
          <w:bCs w:val="0"/>
        </w:rPr>
        <w:t>主权债务，面板门槛回归，财富不平等，精英俘获，坎蒂隆效应，差分广义矩估计（</w:t>
      </w:r>
      <w:r w:rsidRPr="007B550D">
        <w:rPr>
          <w:rFonts w:hint="eastAsia"/>
          <w:b w:val="0"/>
          <w:bCs w:val="0"/>
        </w:rPr>
        <w:t>Difference GMM</w:t>
      </w:r>
      <w:r w:rsidRPr="007B550D">
        <w:rPr>
          <w:rFonts w:eastAsia="SimSun" w:hint="eastAsia"/>
          <w:b w:val="0"/>
          <w:bCs w:val="0"/>
        </w:rPr>
        <w:t>），宏观经济临界点。</w:t>
      </w:r>
      <w:bookmarkEnd w:id="9"/>
    </w:p>
    <w:p w14:paraId="5D2E78CD" w14:textId="77777777" w:rsidR="00A244C6" w:rsidRPr="007B550D" w:rsidRDefault="00A244C6" w:rsidP="007B550D">
      <w:pPr>
        <w:pStyle w:val="Heading2"/>
        <w:spacing w:before="0" w:beforeAutospacing="0" w:after="0" w:afterAutospacing="0"/>
      </w:pPr>
    </w:p>
    <w:p w14:paraId="76B53FE8" w14:textId="77777777" w:rsidR="00F35CC1" w:rsidRDefault="00F35CC1" w:rsidP="00F139F1">
      <w:pPr>
        <w:pStyle w:val="Heading1"/>
        <w:rPr>
          <w:rFonts w:eastAsia="Times New Roman"/>
          <w:b w:val="0"/>
          <w:bCs/>
          <w:kern w:val="0"/>
          <w:sz w:val="36"/>
          <w14:ligatures w14:val="none"/>
        </w:rPr>
      </w:pPr>
      <w:bookmarkStart w:id="10" w:name="_Toc229116042"/>
    </w:p>
    <w:p w14:paraId="3BE321EB" w14:textId="1E6729A4" w:rsidR="00F35CC1" w:rsidRDefault="00F40DB1" w:rsidP="00F139F1">
      <w:pPr>
        <w:pStyle w:val="Heading1"/>
        <w:rPr>
          <w:noProof/>
        </w:rPr>
      </w:pPr>
      <w:r w:rsidRPr="007B550D">
        <w:rPr>
          <w:rFonts w:eastAsia="Times New Roman"/>
          <w:b w:val="0"/>
          <w:bCs/>
          <w:kern w:val="0"/>
          <w:sz w:val="36"/>
          <w14:ligatures w14:val="none"/>
        </w:rPr>
        <w:t>Contents</w:t>
      </w:r>
      <w:bookmarkEnd w:id="10"/>
      <w:r w:rsidR="00F35CC1">
        <w:rPr>
          <w:rFonts w:eastAsia="Times New Roman"/>
          <w:b w:val="0"/>
          <w:bCs/>
          <w:kern w:val="0"/>
          <w:sz w:val="36"/>
          <w14:ligatures w14:val="none"/>
        </w:rPr>
        <w:fldChar w:fldCharType="begin"/>
      </w:r>
      <w:r w:rsidR="00F35CC1">
        <w:rPr>
          <w:rFonts w:eastAsia="Times New Roman"/>
          <w:b w:val="0"/>
          <w:bCs/>
          <w:kern w:val="0"/>
          <w:sz w:val="36"/>
          <w14:ligatures w14:val="none"/>
        </w:rPr>
        <w:instrText xml:space="preserve"> TOC \o "1-3" \h \z </w:instrText>
      </w:r>
      <w:r w:rsidR="00F35CC1">
        <w:rPr>
          <w:rFonts w:eastAsia="Times New Roman"/>
          <w:b w:val="0"/>
          <w:bCs/>
          <w:kern w:val="0"/>
          <w:sz w:val="36"/>
          <w14:ligatures w14:val="none"/>
        </w:rPr>
        <w:fldChar w:fldCharType="separate"/>
      </w:r>
    </w:p>
    <w:p w14:paraId="748F88B7" w14:textId="0BB110C4" w:rsidR="00F35CC1" w:rsidRDefault="00F35CC1">
      <w:pPr>
        <w:pStyle w:val="TOC1"/>
        <w:tabs>
          <w:tab w:val="right" w:leader="dot" w:pos="9350"/>
        </w:tabs>
        <w:rPr>
          <w:rFonts w:asciiTheme="minorHAnsi" w:hAnsiTheme="minorHAnsi" w:cstheme="minorBidi"/>
          <w:noProof/>
        </w:rPr>
      </w:pPr>
      <w:hyperlink w:anchor="_Toc229116042" w:history="1">
        <w:r w:rsidRPr="00224225">
          <w:rPr>
            <w:rStyle w:val="Hyperlink"/>
            <w:rFonts w:eastAsia="Times New Roman"/>
            <w:bCs/>
            <w:noProof/>
            <w:kern w:val="0"/>
            <w14:ligatures w14:val="none"/>
          </w:rPr>
          <w:t>Contents</w:t>
        </w:r>
        <w:r>
          <w:rPr>
            <w:noProof/>
            <w:webHidden/>
          </w:rPr>
          <w:tab/>
        </w:r>
        <w:r>
          <w:rPr>
            <w:noProof/>
            <w:webHidden/>
          </w:rPr>
          <w:fldChar w:fldCharType="begin"/>
        </w:r>
        <w:r>
          <w:rPr>
            <w:noProof/>
            <w:webHidden/>
          </w:rPr>
          <w:instrText xml:space="preserve"> PAGEREF _Toc229116042 \h </w:instrText>
        </w:r>
        <w:r>
          <w:rPr>
            <w:noProof/>
            <w:webHidden/>
          </w:rPr>
        </w:r>
        <w:r>
          <w:rPr>
            <w:noProof/>
            <w:webHidden/>
          </w:rPr>
          <w:fldChar w:fldCharType="separate"/>
        </w:r>
        <w:r>
          <w:rPr>
            <w:noProof/>
            <w:webHidden/>
          </w:rPr>
          <w:t>2</w:t>
        </w:r>
        <w:r>
          <w:rPr>
            <w:noProof/>
            <w:webHidden/>
          </w:rPr>
          <w:fldChar w:fldCharType="end"/>
        </w:r>
      </w:hyperlink>
    </w:p>
    <w:p w14:paraId="417CDC1A" w14:textId="103B9003" w:rsidR="00F35CC1" w:rsidRDefault="00F35CC1">
      <w:pPr>
        <w:pStyle w:val="TOC1"/>
        <w:tabs>
          <w:tab w:val="right" w:leader="dot" w:pos="9350"/>
        </w:tabs>
        <w:rPr>
          <w:rFonts w:asciiTheme="minorHAnsi" w:hAnsiTheme="minorHAnsi" w:cstheme="minorBidi"/>
          <w:noProof/>
        </w:rPr>
      </w:pPr>
      <w:hyperlink w:anchor="_Toc229116043" w:history="1">
        <w:r w:rsidRPr="00224225">
          <w:rPr>
            <w:rStyle w:val="Hyperlink"/>
            <w:noProof/>
          </w:rPr>
          <w:t>Chapter 1: Introduction</w:t>
        </w:r>
        <w:r>
          <w:rPr>
            <w:noProof/>
            <w:webHidden/>
          </w:rPr>
          <w:tab/>
        </w:r>
        <w:r>
          <w:rPr>
            <w:noProof/>
            <w:webHidden/>
          </w:rPr>
          <w:fldChar w:fldCharType="begin"/>
        </w:r>
        <w:r>
          <w:rPr>
            <w:noProof/>
            <w:webHidden/>
          </w:rPr>
          <w:instrText xml:space="preserve"> PAGEREF _Toc229116043 \h </w:instrText>
        </w:r>
        <w:r>
          <w:rPr>
            <w:noProof/>
            <w:webHidden/>
          </w:rPr>
        </w:r>
        <w:r>
          <w:rPr>
            <w:noProof/>
            <w:webHidden/>
          </w:rPr>
          <w:fldChar w:fldCharType="separate"/>
        </w:r>
        <w:r>
          <w:rPr>
            <w:noProof/>
            <w:webHidden/>
          </w:rPr>
          <w:t>6</w:t>
        </w:r>
        <w:r>
          <w:rPr>
            <w:noProof/>
            <w:webHidden/>
          </w:rPr>
          <w:fldChar w:fldCharType="end"/>
        </w:r>
      </w:hyperlink>
    </w:p>
    <w:p w14:paraId="6E14A271" w14:textId="0E47A052" w:rsidR="00F35CC1" w:rsidRDefault="00F35CC1">
      <w:pPr>
        <w:pStyle w:val="TOC2"/>
        <w:tabs>
          <w:tab w:val="right" w:leader="dot" w:pos="9350"/>
        </w:tabs>
        <w:rPr>
          <w:rFonts w:asciiTheme="minorHAnsi" w:hAnsiTheme="minorHAnsi" w:cstheme="minorBidi"/>
          <w:noProof/>
        </w:rPr>
      </w:pPr>
      <w:hyperlink w:anchor="_Toc229116044" w:history="1">
        <w:r w:rsidRPr="00224225">
          <w:rPr>
            <w:rStyle w:val="Hyperlink"/>
            <w:noProof/>
          </w:rPr>
          <w:t>1.1 Background and Practical Motivation</w:t>
        </w:r>
        <w:r>
          <w:rPr>
            <w:noProof/>
            <w:webHidden/>
          </w:rPr>
          <w:tab/>
        </w:r>
        <w:r>
          <w:rPr>
            <w:noProof/>
            <w:webHidden/>
          </w:rPr>
          <w:fldChar w:fldCharType="begin"/>
        </w:r>
        <w:r>
          <w:rPr>
            <w:noProof/>
            <w:webHidden/>
          </w:rPr>
          <w:instrText xml:space="preserve"> PAGEREF _Toc229116044 \h </w:instrText>
        </w:r>
        <w:r>
          <w:rPr>
            <w:noProof/>
            <w:webHidden/>
          </w:rPr>
        </w:r>
        <w:r>
          <w:rPr>
            <w:noProof/>
            <w:webHidden/>
          </w:rPr>
          <w:fldChar w:fldCharType="separate"/>
        </w:r>
        <w:r>
          <w:rPr>
            <w:noProof/>
            <w:webHidden/>
          </w:rPr>
          <w:t>6</w:t>
        </w:r>
        <w:r>
          <w:rPr>
            <w:noProof/>
            <w:webHidden/>
          </w:rPr>
          <w:fldChar w:fldCharType="end"/>
        </w:r>
      </w:hyperlink>
    </w:p>
    <w:p w14:paraId="28A8B074" w14:textId="2085A655" w:rsidR="00F35CC1" w:rsidRDefault="00F35CC1">
      <w:pPr>
        <w:pStyle w:val="TOC2"/>
        <w:tabs>
          <w:tab w:val="right" w:leader="dot" w:pos="9350"/>
        </w:tabs>
        <w:rPr>
          <w:rFonts w:asciiTheme="minorHAnsi" w:hAnsiTheme="minorHAnsi" w:cstheme="minorBidi"/>
          <w:noProof/>
        </w:rPr>
      </w:pPr>
      <w:hyperlink w:anchor="_Toc229116045" w:history="1">
        <w:r w:rsidRPr="00224225">
          <w:rPr>
            <w:rStyle w:val="Hyperlink"/>
            <w:noProof/>
          </w:rPr>
          <w:t>1.2 Problem Statement: The Diminishing Marginal Returns of Debt</w:t>
        </w:r>
        <w:r>
          <w:rPr>
            <w:noProof/>
            <w:webHidden/>
          </w:rPr>
          <w:tab/>
        </w:r>
        <w:r>
          <w:rPr>
            <w:noProof/>
            <w:webHidden/>
          </w:rPr>
          <w:fldChar w:fldCharType="begin"/>
        </w:r>
        <w:r>
          <w:rPr>
            <w:noProof/>
            <w:webHidden/>
          </w:rPr>
          <w:instrText xml:space="preserve"> PAGEREF _Toc229116045 \h </w:instrText>
        </w:r>
        <w:r>
          <w:rPr>
            <w:noProof/>
            <w:webHidden/>
          </w:rPr>
        </w:r>
        <w:r>
          <w:rPr>
            <w:noProof/>
            <w:webHidden/>
          </w:rPr>
          <w:fldChar w:fldCharType="separate"/>
        </w:r>
        <w:r>
          <w:rPr>
            <w:noProof/>
            <w:webHidden/>
          </w:rPr>
          <w:t>7</w:t>
        </w:r>
        <w:r>
          <w:rPr>
            <w:noProof/>
            <w:webHidden/>
          </w:rPr>
          <w:fldChar w:fldCharType="end"/>
        </w:r>
      </w:hyperlink>
    </w:p>
    <w:p w14:paraId="6A861F17" w14:textId="4D1005B5" w:rsidR="00F35CC1" w:rsidRDefault="00F35CC1">
      <w:pPr>
        <w:pStyle w:val="TOC2"/>
        <w:tabs>
          <w:tab w:val="right" w:leader="dot" w:pos="9350"/>
        </w:tabs>
        <w:rPr>
          <w:rFonts w:asciiTheme="minorHAnsi" w:hAnsiTheme="minorHAnsi" w:cstheme="minorBidi"/>
          <w:noProof/>
        </w:rPr>
      </w:pPr>
      <w:hyperlink w:anchor="_Toc229116046" w:history="1">
        <w:r w:rsidRPr="00224225">
          <w:rPr>
            <w:rStyle w:val="Hyperlink"/>
            <w:noProof/>
          </w:rPr>
          <w:t>1.3 Research Objectives and Questions</w:t>
        </w:r>
        <w:r>
          <w:rPr>
            <w:noProof/>
            <w:webHidden/>
          </w:rPr>
          <w:tab/>
        </w:r>
        <w:r>
          <w:rPr>
            <w:noProof/>
            <w:webHidden/>
          </w:rPr>
          <w:fldChar w:fldCharType="begin"/>
        </w:r>
        <w:r>
          <w:rPr>
            <w:noProof/>
            <w:webHidden/>
          </w:rPr>
          <w:instrText xml:space="preserve"> PAGEREF _Toc229116046 \h </w:instrText>
        </w:r>
        <w:r>
          <w:rPr>
            <w:noProof/>
            <w:webHidden/>
          </w:rPr>
        </w:r>
        <w:r>
          <w:rPr>
            <w:noProof/>
            <w:webHidden/>
          </w:rPr>
          <w:fldChar w:fldCharType="separate"/>
        </w:r>
        <w:r>
          <w:rPr>
            <w:noProof/>
            <w:webHidden/>
          </w:rPr>
          <w:t>8</w:t>
        </w:r>
        <w:r>
          <w:rPr>
            <w:noProof/>
            <w:webHidden/>
          </w:rPr>
          <w:fldChar w:fldCharType="end"/>
        </w:r>
      </w:hyperlink>
    </w:p>
    <w:p w14:paraId="3663A41A" w14:textId="77937E82" w:rsidR="00F35CC1" w:rsidRDefault="00F35CC1">
      <w:pPr>
        <w:pStyle w:val="TOC2"/>
        <w:tabs>
          <w:tab w:val="right" w:leader="dot" w:pos="9350"/>
        </w:tabs>
        <w:rPr>
          <w:rFonts w:asciiTheme="minorHAnsi" w:hAnsiTheme="minorHAnsi" w:cstheme="minorBidi"/>
          <w:noProof/>
        </w:rPr>
      </w:pPr>
      <w:hyperlink w:anchor="_Toc229116047" w:history="1">
        <w:r w:rsidRPr="00224225">
          <w:rPr>
            <w:rStyle w:val="Hyperlink"/>
            <w:noProof/>
          </w:rPr>
          <w:t>1.4 Academic and Practical Significance</w:t>
        </w:r>
        <w:r>
          <w:rPr>
            <w:noProof/>
            <w:webHidden/>
          </w:rPr>
          <w:tab/>
        </w:r>
        <w:r>
          <w:rPr>
            <w:noProof/>
            <w:webHidden/>
          </w:rPr>
          <w:fldChar w:fldCharType="begin"/>
        </w:r>
        <w:r>
          <w:rPr>
            <w:noProof/>
            <w:webHidden/>
          </w:rPr>
          <w:instrText xml:space="preserve"> PAGEREF _Toc229116047 \h </w:instrText>
        </w:r>
        <w:r>
          <w:rPr>
            <w:noProof/>
            <w:webHidden/>
          </w:rPr>
        </w:r>
        <w:r>
          <w:rPr>
            <w:noProof/>
            <w:webHidden/>
          </w:rPr>
          <w:fldChar w:fldCharType="separate"/>
        </w:r>
        <w:r>
          <w:rPr>
            <w:noProof/>
            <w:webHidden/>
          </w:rPr>
          <w:t>9</w:t>
        </w:r>
        <w:r>
          <w:rPr>
            <w:noProof/>
            <w:webHidden/>
          </w:rPr>
          <w:fldChar w:fldCharType="end"/>
        </w:r>
      </w:hyperlink>
    </w:p>
    <w:p w14:paraId="279B3EC1" w14:textId="10FA2AF8" w:rsidR="00F35CC1" w:rsidRDefault="00F35CC1">
      <w:pPr>
        <w:pStyle w:val="TOC2"/>
        <w:tabs>
          <w:tab w:val="right" w:leader="dot" w:pos="9350"/>
        </w:tabs>
        <w:rPr>
          <w:rFonts w:asciiTheme="minorHAnsi" w:hAnsiTheme="minorHAnsi" w:cstheme="minorBidi"/>
          <w:noProof/>
        </w:rPr>
      </w:pPr>
      <w:hyperlink w:anchor="_Toc229116048" w:history="1">
        <w:r w:rsidRPr="00224225">
          <w:rPr>
            <w:rStyle w:val="Hyperlink"/>
            <w:noProof/>
          </w:rPr>
          <w:t>1.5 Structure of the Thesis</w:t>
        </w:r>
        <w:r>
          <w:rPr>
            <w:noProof/>
            <w:webHidden/>
          </w:rPr>
          <w:tab/>
        </w:r>
        <w:r>
          <w:rPr>
            <w:noProof/>
            <w:webHidden/>
          </w:rPr>
          <w:fldChar w:fldCharType="begin"/>
        </w:r>
        <w:r>
          <w:rPr>
            <w:noProof/>
            <w:webHidden/>
          </w:rPr>
          <w:instrText xml:space="preserve"> PAGEREF _Toc229116048 \h </w:instrText>
        </w:r>
        <w:r>
          <w:rPr>
            <w:noProof/>
            <w:webHidden/>
          </w:rPr>
        </w:r>
        <w:r>
          <w:rPr>
            <w:noProof/>
            <w:webHidden/>
          </w:rPr>
          <w:fldChar w:fldCharType="separate"/>
        </w:r>
        <w:r>
          <w:rPr>
            <w:noProof/>
            <w:webHidden/>
          </w:rPr>
          <w:t>9</w:t>
        </w:r>
        <w:r>
          <w:rPr>
            <w:noProof/>
            <w:webHidden/>
          </w:rPr>
          <w:fldChar w:fldCharType="end"/>
        </w:r>
      </w:hyperlink>
    </w:p>
    <w:p w14:paraId="09C34CA1" w14:textId="40B41C1B" w:rsidR="00F35CC1" w:rsidRDefault="00F35CC1">
      <w:pPr>
        <w:pStyle w:val="TOC1"/>
        <w:tabs>
          <w:tab w:val="right" w:leader="dot" w:pos="9350"/>
        </w:tabs>
        <w:rPr>
          <w:rFonts w:asciiTheme="minorHAnsi" w:hAnsiTheme="minorHAnsi" w:cstheme="minorBidi"/>
          <w:noProof/>
        </w:rPr>
      </w:pPr>
      <w:hyperlink w:anchor="_Toc229116049" w:history="1">
        <w:r w:rsidRPr="00224225">
          <w:rPr>
            <w:rStyle w:val="Hyperlink"/>
            <w:noProof/>
          </w:rPr>
          <w:t>Chapter 2: Literature Review and the Evolution of the Debt Trap</w:t>
        </w:r>
        <w:r>
          <w:rPr>
            <w:noProof/>
            <w:webHidden/>
          </w:rPr>
          <w:tab/>
        </w:r>
        <w:r>
          <w:rPr>
            <w:noProof/>
            <w:webHidden/>
          </w:rPr>
          <w:fldChar w:fldCharType="begin"/>
        </w:r>
        <w:r>
          <w:rPr>
            <w:noProof/>
            <w:webHidden/>
          </w:rPr>
          <w:instrText xml:space="preserve"> PAGEREF _Toc229116049 \h </w:instrText>
        </w:r>
        <w:r>
          <w:rPr>
            <w:noProof/>
            <w:webHidden/>
          </w:rPr>
        </w:r>
        <w:r>
          <w:rPr>
            <w:noProof/>
            <w:webHidden/>
          </w:rPr>
          <w:fldChar w:fldCharType="separate"/>
        </w:r>
        <w:r>
          <w:rPr>
            <w:noProof/>
            <w:webHidden/>
          </w:rPr>
          <w:t>10</w:t>
        </w:r>
        <w:r>
          <w:rPr>
            <w:noProof/>
            <w:webHidden/>
          </w:rPr>
          <w:fldChar w:fldCharType="end"/>
        </w:r>
      </w:hyperlink>
    </w:p>
    <w:p w14:paraId="245F8027" w14:textId="1ABEF19A" w:rsidR="00F35CC1" w:rsidRDefault="00F35CC1">
      <w:pPr>
        <w:pStyle w:val="TOC2"/>
        <w:tabs>
          <w:tab w:val="right" w:leader="dot" w:pos="9350"/>
        </w:tabs>
        <w:rPr>
          <w:rFonts w:asciiTheme="minorHAnsi" w:hAnsiTheme="minorHAnsi" w:cstheme="minorBidi"/>
          <w:noProof/>
        </w:rPr>
      </w:pPr>
      <w:hyperlink w:anchor="_Toc229116050" w:history="1">
        <w:r w:rsidRPr="00224225">
          <w:rPr>
            <w:rStyle w:val="Hyperlink"/>
            <w:noProof/>
          </w:rPr>
          <w:t>2.1 The Keynesian Hangover and Multiplier Decay</w:t>
        </w:r>
        <w:r>
          <w:rPr>
            <w:noProof/>
            <w:webHidden/>
          </w:rPr>
          <w:tab/>
        </w:r>
        <w:r>
          <w:rPr>
            <w:noProof/>
            <w:webHidden/>
          </w:rPr>
          <w:fldChar w:fldCharType="begin"/>
        </w:r>
        <w:r>
          <w:rPr>
            <w:noProof/>
            <w:webHidden/>
          </w:rPr>
          <w:instrText xml:space="preserve"> PAGEREF _Toc229116050 \h </w:instrText>
        </w:r>
        <w:r>
          <w:rPr>
            <w:noProof/>
            <w:webHidden/>
          </w:rPr>
        </w:r>
        <w:r>
          <w:rPr>
            <w:noProof/>
            <w:webHidden/>
          </w:rPr>
          <w:fldChar w:fldCharType="separate"/>
        </w:r>
        <w:r>
          <w:rPr>
            <w:noProof/>
            <w:webHidden/>
          </w:rPr>
          <w:t>10</w:t>
        </w:r>
        <w:r>
          <w:rPr>
            <w:noProof/>
            <w:webHidden/>
          </w:rPr>
          <w:fldChar w:fldCharType="end"/>
        </w:r>
      </w:hyperlink>
    </w:p>
    <w:p w14:paraId="7EC40C77" w14:textId="101F26A6" w:rsidR="00F35CC1" w:rsidRDefault="00F35CC1">
      <w:pPr>
        <w:pStyle w:val="TOC2"/>
        <w:tabs>
          <w:tab w:val="right" w:leader="dot" w:pos="9350"/>
        </w:tabs>
        <w:rPr>
          <w:rFonts w:asciiTheme="minorHAnsi" w:hAnsiTheme="minorHAnsi" w:cstheme="minorBidi"/>
          <w:noProof/>
        </w:rPr>
      </w:pPr>
      <w:hyperlink w:anchor="_Toc229116051" w:history="1">
        <w:r w:rsidRPr="00224225">
          <w:rPr>
            <w:rStyle w:val="Hyperlink"/>
            <w:noProof/>
          </w:rPr>
          <w:t>2.2 The Reinhart-Rogoff Maginot Line</w:t>
        </w:r>
        <w:r>
          <w:rPr>
            <w:noProof/>
            <w:webHidden/>
          </w:rPr>
          <w:tab/>
        </w:r>
        <w:r>
          <w:rPr>
            <w:noProof/>
            <w:webHidden/>
          </w:rPr>
          <w:fldChar w:fldCharType="begin"/>
        </w:r>
        <w:r>
          <w:rPr>
            <w:noProof/>
            <w:webHidden/>
          </w:rPr>
          <w:instrText xml:space="preserve"> PAGEREF _Toc229116051 \h </w:instrText>
        </w:r>
        <w:r>
          <w:rPr>
            <w:noProof/>
            <w:webHidden/>
          </w:rPr>
        </w:r>
        <w:r>
          <w:rPr>
            <w:noProof/>
            <w:webHidden/>
          </w:rPr>
          <w:fldChar w:fldCharType="separate"/>
        </w:r>
        <w:r>
          <w:rPr>
            <w:noProof/>
            <w:webHidden/>
          </w:rPr>
          <w:t>11</w:t>
        </w:r>
        <w:r>
          <w:rPr>
            <w:noProof/>
            <w:webHidden/>
          </w:rPr>
          <w:fldChar w:fldCharType="end"/>
        </w:r>
      </w:hyperlink>
    </w:p>
    <w:p w14:paraId="421F2931" w14:textId="0C4B9129" w:rsidR="00F35CC1" w:rsidRDefault="00F35CC1">
      <w:pPr>
        <w:pStyle w:val="TOC2"/>
        <w:tabs>
          <w:tab w:val="right" w:leader="dot" w:pos="9350"/>
        </w:tabs>
        <w:rPr>
          <w:rFonts w:asciiTheme="minorHAnsi" w:hAnsiTheme="minorHAnsi" w:cstheme="minorBidi"/>
          <w:noProof/>
        </w:rPr>
      </w:pPr>
      <w:hyperlink w:anchor="_Toc229116052" w:history="1">
        <w:r w:rsidRPr="00224225">
          <w:rPr>
            <w:rStyle w:val="Hyperlink"/>
            <w:noProof/>
          </w:rPr>
          <w:t>2.3 The Liquidity Funnel: Piketty, Cantillon, and Elite Capture</w:t>
        </w:r>
        <w:r>
          <w:rPr>
            <w:noProof/>
            <w:webHidden/>
          </w:rPr>
          <w:tab/>
        </w:r>
        <w:r>
          <w:rPr>
            <w:noProof/>
            <w:webHidden/>
          </w:rPr>
          <w:fldChar w:fldCharType="begin"/>
        </w:r>
        <w:r>
          <w:rPr>
            <w:noProof/>
            <w:webHidden/>
          </w:rPr>
          <w:instrText xml:space="preserve"> PAGEREF _Toc229116052 \h </w:instrText>
        </w:r>
        <w:r>
          <w:rPr>
            <w:noProof/>
            <w:webHidden/>
          </w:rPr>
        </w:r>
        <w:r>
          <w:rPr>
            <w:noProof/>
            <w:webHidden/>
          </w:rPr>
          <w:fldChar w:fldCharType="separate"/>
        </w:r>
        <w:r>
          <w:rPr>
            <w:noProof/>
            <w:webHidden/>
          </w:rPr>
          <w:t>11</w:t>
        </w:r>
        <w:r>
          <w:rPr>
            <w:noProof/>
            <w:webHidden/>
          </w:rPr>
          <w:fldChar w:fldCharType="end"/>
        </w:r>
      </w:hyperlink>
    </w:p>
    <w:p w14:paraId="407C0F4C" w14:textId="5E459518" w:rsidR="00F35CC1" w:rsidRDefault="00F35CC1">
      <w:pPr>
        <w:pStyle w:val="TOC2"/>
        <w:tabs>
          <w:tab w:val="right" w:leader="dot" w:pos="9350"/>
        </w:tabs>
        <w:rPr>
          <w:rFonts w:asciiTheme="minorHAnsi" w:hAnsiTheme="minorHAnsi" w:cstheme="minorBidi"/>
          <w:noProof/>
        </w:rPr>
      </w:pPr>
      <w:hyperlink w:anchor="_Toc229116053" w:history="1">
        <w:r w:rsidRPr="00224225">
          <w:rPr>
            <w:rStyle w:val="Hyperlink"/>
            <w:noProof/>
          </w:rPr>
          <w:t>2.4 Institutional Decay and Zombie Capital</w:t>
        </w:r>
        <w:r>
          <w:rPr>
            <w:noProof/>
            <w:webHidden/>
          </w:rPr>
          <w:tab/>
        </w:r>
        <w:r>
          <w:rPr>
            <w:noProof/>
            <w:webHidden/>
          </w:rPr>
          <w:fldChar w:fldCharType="begin"/>
        </w:r>
        <w:r>
          <w:rPr>
            <w:noProof/>
            <w:webHidden/>
          </w:rPr>
          <w:instrText xml:space="preserve"> PAGEREF _Toc229116053 \h </w:instrText>
        </w:r>
        <w:r>
          <w:rPr>
            <w:noProof/>
            <w:webHidden/>
          </w:rPr>
        </w:r>
        <w:r>
          <w:rPr>
            <w:noProof/>
            <w:webHidden/>
          </w:rPr>
          <w:fldChar w:fldCharType="separate"/>
        </w:r>
        <w:r>
          <w:rPr>
            <w:noProof/>
            <w:webHidden/>
          </w:rPr>
          <w:t>12</w:t>
        </w:r>
        <w:r>
          <w:rPr>
            <w:noProof/>
            <w:webHidden/>
          </w:rPr>
          <w:fldChar w:fldCharType="end"/>
        </w:r>
      </w:hyperlink>
    </w:p>
    <w:p w14:paraId="7263AFEC" w14:textId="732B7E45" w:rsidR="00F35CC1" w:rsidRDefault="00F35CC1">
      <w:pPr>
        <w:pStyle w:val="TOC1"/>
        <w:tabs>
          <w:tab w:val="right" w:leader="dot" w:pos="9350"/>
        </w:tabs>
        <w:rPr>
          <w:rFonts w:asciiTheme="minorHAnsi" w:hAnsiTheme="minorHAnsi" w:cstheme="minorBidi"/>
          <w:noProof/>
        </w:rPr>
      </w:pPr>
      <w:hyperlink w:anchor="_Toc229116054" w:history="1">
        <w:r w:rsidRPr="00224225">
          <w:rPr>
            <w:rStyle w:val="Hyperlink"/>
            <w:noProof/>
          </w:rPr>
          <w:t>Chapter 3: The Current Situation</w:t>
        </w:r>
        <w:r>
          <w:rPr>
            <w:noProof/>
            <w:webHidden/>
          </w:rPr>
          <w:tab/>
        </w:r>
        <w:r>
          <w:rPr>
            <w:noProof/>
            <w:webHidden/>
          </w:rPr>
          <w:fldChar w:fldCharType="begin"/>
        </w:r>
        <w:r>
          <w:rPr>
            <w:noProof/>
            <w:webHidden/>
          </w:rPr>
          <w:instrText xml:space="preserve"> PAGEREF _Toc229116054 \h </w:instrText>
        </w:r>
        <w:r>
          <w:rPr>
            <w:noProof/>
            <w:webHidden/>
          </w:rPr>
        </w:r>
        <w:r>
          <w:rPr>
            <w:noProof/>
            <w:webHidden/>
          </w:rPr>
          <w:fldChar w:fldCharType="separate"/>
        </w:r>
        <w:r>
          <w:rPr>
            <w:noProof/>
            <w:webHidden/>
          </w:rPr>
          <w:t>13</w:t>
        </w:r>
        <w:r>
          <w:rPr>
            <w:noProof/>
            <w:webHidden/>
          </w:rPr>
          <w:fldChar w:fldCharType="end"/>
        </w:r>
      </w:hyperlink>
    </w:p>
    <w:p w14:paraId="7560DE5A" w14:textId="719F94BA" w:rsidR="00F35CC1" w:rsidRDefault="00F35CC1">
      <w:pPr>
        <w:pStyle w:val="TOC2"/>
        <w:tabs>
          <w:tab w:val="right" w:leader="dot" w:pos="9350"/>
        </w:tabs>
        <w:rPr>
          <w:rFonts w:asciiTheme="minorHAnsi" w:hAnsiTheme="minorHAnsi" w:cstheme="minorBidi"/>
          <w:noProof/>
        </w:rPr>
      </w:pPr>
      <w:hyperlink w:anchor="_Toc229116055" w:history="1">
        <w:r w:rsidRPr="00224225">
          <w:rPr>
            <w:rStyle w:val="Hyperlink"/>
            <w:noProof/>
          </w:rPr>
          <w:t>3.1 The End of the Keynesian Free Lunch</w:t>
        </w:r>
        <w:r>
          <w:rPr>
            <w:noProof/>
            <w:webHidden/>
          </w:rPr>
          <w:tab/>
        </w:r>
        <w:r>
          <w:rPr>
            <w:noProof/>
            <w:webHidden/>
          </w:rPr>
          <w:fldChar w:fldCharType="begin"/>
        </w:r>
        <w:r>
          <w:rPr>
            <w:noProof/>
            <w:webHidden/>
          </w:rPr>
          <w:instrText xml:space="preserve"> PAGEREF _Toc229116055 \h </w:instrText>
        </w:r>
        <w:r>
          <w:rPr>
            <w:noProof/>
            <w:webHidden/>
          </w:rPr>
        </w:r>
        <w:r>
          <w:rPr>
            <w:noProof/>
            <w:webHidden/>
          </w:rPr>
          <w:fldChar w:fldCharType="separate"/>
        </w:r>
        <w:r>
          <w:rPr>
            <w:noProof/>
            <w:webHidden/>
          </w:rPr>
          <w:t>13</w:t>
        </w:r>
        <w:r>
          <w:rPr>
            <w:noProof/>
            <w:webHidden/>
          </w:rPr>
          <w:fldChar w:fldCharType="end"/>
        </w:r>
      </w:hyperlink>
    </w:p>
    <w:p w14:paraId="203F1902" w14:textId="7DAC8917" w:rsidR="00F35CC1" w:rsidRDefault="00F35CC1">
      <w:pPr>
        <w:pStyle w:val="TOC2"/>
        <w:tabs>
          <w:tab w:val="right" w:leader="dot" w:pos="9350"/>
        </w:tabs>
        <w:rPr>
          <w:rFonts w:asciiTheme="minorHAnsi" w:hAnsiTheme="minorHAnsi" w:cstheme="minorBidi"/>
          <w:noProof/>
        </w:rPr>
      </w:pPr>
      <w:hyperlink w:anchor="_Toc229116056" w:history="1">
        <w:r w:rsidRPr="00224225">
          <w:rPr>
            <w:rStyle w:val="Hyperlink"/>
            <w:noProof/>
          </w:rPr>
          <w:t>3.2 The Polycrisis and the Default Sovereign Response</w:t>
        </w:r>
        <w:r>
          <w:rPr>
            <w:noProof/>
            <w:webHidden/>
          </w:rPr>
          <w:tab/>
        </w:r>
        <w:r>
          <w:rPr>
            <w:noProof/>
            <w:webHidden/>
          </w:rPr>
          <w:fldChar w:fldCharType="begin"/>
        </w:r>
        <w:r>
          <w:rPr>
            <w:noProof/>
            <w:webHidden/>
          </w:rPr>
          <w:instrText xml:space="preserve"> PAGEREF _Toc229116056 \h </w:instrText>
        </w:r>
        <w:r>
          <w:rPr>
            <w:noProof/>
            <w:webHidden/>
          </w:rPr>
        </w:r>
        <w:r>
          <w:rPr>
            <w:noProof/>
            <w:webHidden/>
          </w:rPr>
          <w:fldChar w:fldCharType="separate"/>
        </w:r>
        <w:r>
          <w:rPr>
            <w:noProof/>
            <w:webHidden/>
          </w:rPr>
          <w:t>13</w:t>
        </w:r>
        <w:r>
          <w:rPr>
            <w:noProof/>
            <w:webHidden/>
          </w:rPr>
          <w:fldChar w:fldCharType="end"/>
        </w:r>
      </w:hyperlink>
    </w:p>
    <w:p w14:paraId="2FAF3460" w14:textId="225A0084" w:rsidR="00F35CC1" w:rsidRDefault="00F35CC1">
      <w:pPr>
        <w:pStyle w:val="TOC2"/>
        <w:tabs>
          <w:tab w:val="right" w:leader="dot" w:pos="9350"/>
        </w:tabs>
        <w:rPr>
          <w:rFonts w:asciiTheme="minorHAnsi" w:hAnsiTheme="minorHAnsi" w:cstheme="minorBidi"/>
          <w:noProof/>
        </w:rPr>
      </w:pPr>
      <w:hyperlink w:anchor="_Toc229116057" w:history="1">
        <w:r w:rsidRPr="00224225">
          <w:rPr>
            <w:rStyle w:val="Hyperlink"/>
            <w:noProof/>
          </w:rPr>
          <w:t>3.3 The Closing Window and Sovereign Weaponization</w:t>
        </w:r>
        <w:r>
          <w:rPr>
            <w:noProof/>
            <w:webHidden/>
          </w:rPr>
          <w:tab/>
        </w:r>
        <w:r>
          <w:rPr>
            <w:noProof/>
            <w:webHidden/>
          </w:rPr>
          <w:fldChar w:fldCharType="begin"/>
        </w:r>
        <w:r>
          <w:rPr>
            <w:noProof/>
            <w:webHidden/>
          </w:rPr>
          <w:instrText xml:space="preserve"> PAGEREF _Toc229116057 \h </w:instrText>
        </w:r>
        <w:r>
          <w:rPr>
            <w:noProof/>
            <w:webHidden/>
          </w:rPr>
        </w:r>
        <w:r>
          <w:rPr>
            <w:noProof/>
            <w:webHidden/>
          </w:rPr>
          <w:fldChar w:fldCharType="separate"/>
        </w:r>
        <w:r>
          <w:rPr>
            <w:noProof/>
            <w:webHidden/>
          </w:rPr>
          <w:t>14</w:t>
        </w:r>
        <w:r>
          <w:rPr>
            <w:noProof/>
            <w:webHidden/>
          </w:rPr>
          <w:fldChar w:fldCharType="end"/>
        </w:r>
      </w:hyperlink>
    </w:p>
    <w:p w14:paraId="6F7907C3" w14:textId="357F3DFC" w:rsidR="00F35CC1" w:rsidRDefault="00F35CC1">
      <w:pPr>
        <w:pStyle w:val="TOC2"/>
        <w:tabs>
          <w:tab w:val="right" w:leader="dot" w:pos="9350"/>
        </w:tabs>
        <w:rPr>
          <w:rFonts w:asciiTheme="minorHAnsi" w:hAnsiTheme="minorHAnsi" w:cstheme="minorBidi"/>
          <w:noProof/>
        </w:rPr>
      </w:pPr>
      <w:hyperlink w:anchor="_Toc229116058" w:history="1">
        <w:r w:rsidRPr="00224225">
          <w:rPr>
            <w:rStyle w:val="Hyperlink"/>
            <w:noProof/>
          </w:rPr>
          <w:t>3.4 Deconstructing the Polarizing Loop</w:t>
        </w:r>
        <w:r>
          <w:rPr>
            <w:noProof/>
            <w:webHidden/>
          </w:rPr>
          <w:tab/>
        </w:r>
        <w:r>
          <w:rPr>
            <w:noProof/>
            <w:webHidden/>
          </w:rPr>
          <w:fldChar w:fldCharType="begin"/>
        </w:r>
        <w:r>
          <w:rPr>
            <w:noProof/>
            <w:webHidden/>
          </w:rPr>
          <w:instrText xml:space="preserve"> PAGEREF _Toc229116058 \h </w:instrText>
        </w:r>
        <w:r>
          <w:rPr>
            <w:noProof/>
            <w:webHidden/>
          </w:rPr>
        </w:r>
        <w:r>
          <w:rPr>
            <w:noProof/>
            <w:webHidden/>
          </w:rPr>
          <w:fldChar w:fldCharType="separate"/>
        </w:r>
        <w:r>
          <w:rPr>
            <w:noProof/>
            <w:webHidden/>
          </w:rPr>
          <w:t>15</w:t>
        </w:r>
        <w:r>
          <w:rPr>
            <w:noProof/>
            <w:webHidden/>
          </w:rPr>
          <w:fldChar w:fldCharType="end"/>
        </w:r>
      </w:hyperlink>
    </w:p>
    <w:p w14:paraId="112BA939" w14:textId="710AB4AC" w:rsidR="00F35CC1" w:rsidRDefault="00F35CC1">
      <w:pPr>
        <w:pStyle w:val="TOC1"/>
        <w:tabs>
          <w:tab w:val="right" w:leader="dot" w:pos="9350"/>
        </w:tabs>
        <w:rPr>
          <w:rFonts w:asciiTheme="minorHAnsi" w:hAnsiTheme="minorHAnsi" w:cstheme="minorBidi"/>
          <w:noProof/>
        </w:rPr>
      </w:pPr>
      <w:hyperlink w:anchor="_Toc229116059" w:history="1">
        <w:r w:rsidRPr="00224225">
          <w:rPr>
            <w:rStyle w:val="Hyperlink"/>
            <w:noProof/>
          </w:rPr>
          <w:t>Chapter 4: Methodology and Data Architecture</w:t>
        </w:r>
        <w:r>
          <w:rPr>
            <w:noProof/>
            <w:webHidden/>
          </w:rPr>
          <w:tab/>
        </w:r>
        <w:r>
          <w:rPr>
            <w:noProof/>
            <w:webHidden/>
          </w:rPr>
          <w:fldChar w:fldCharType="begin"/>
        </w:r>
        <w:r>
          <w:rPr>
            <w:noProof/>
            <w:webHidden/>
          </w:rPr>
          <w:instrText xml:space="preserve"> PAGEREF _Toc229116059 \h </w:instrText>
        </w:r>
        <w:r>
          <w:rPr>
            <w:noProof/>
            <w:webHidden/>
          </w:rPr>
        </w:r>
        <w:r>
          <w:rPr>
            <w:noProof/>
            <w:webHidden/>
          </w:rPr>
          <w:fldChar w:fldCharType="separate"/>
        </w:r>
        <w:r>
          <w:rPr>
            <w:noProof/>
            <w:webHidden/>
          </w:rPr>
          <w:t>15</w:t>
        </w:r>
        <w:r>
          <w:rPr>
            <w:noProof/>
            <w:webHidden/>
          </w:rPr>
          <w:fldChar w:fldCharType="end"/>
        </w:r>
      </w:hyperlink>
    </w:p>
    <w:p w14:paraId="53079A0A" w14:textId="2C9942F2" w:rsidR="00F35CC1" w:rsidRDefault="00F35CC1">
      <w:pPr>
        <w:pStyle w:val="TOC2"/>
        <w:tabs>
          <w:tab w:val="right" w:leader="dot" w:pos="9350"/>
        </w:tabs>
        <w:rPr>
          <w:rFonts w:asciiTheme="minorHAnsi" w:hAnsiTheme="minorHAnsi" w:cstheme="minorBidi"/>
          <w:noProof/>
        </w:rPr>
      </w:pPr>
      <w:hyperlink w:anchor="_Toc229116060" w:history="1">
        <w:r w:rsidRPr="00224225">
          <w:rPr>
            <w:rStyle w:val="Hyperlink"/>
            <w:noProof/>
          </w:rPr>
          <w:t>4.1 Data Architecture and Pragmatic Limitations</w:t>
        </w:r>
        <w:r>
          <w:rPr>
            <w:noProof/>
            <w:webHidden/>
          </w:rPr>
          <w:tab/>
        </w:r>
        <w:r>
          <w:rPr>
            <w:noProof/>
            <w:webHidden/>
          </w:rPr>
          <w:fldChar w:fldCharType="begin"/>
        </w:r>
        <w:r>
          <w:rPr>
            <w:noProof/>
            <w:webHidden/>
          </w:rPr>
          <w:instrText xml:space="preserve"> PAGEREF _Toc229116060 \h </w:instrText>
        </w:r>
        <w:r>
          <w:rPr>
            <w:noProof/>
            <w:webHidden/>
          </w:rPr>
        </w:r>
        <w:r>
          <w:rPr>
            <w:noProof/>
            <w:webHidden/>
          </w:rPr>
          <w:fldChar w:fldCharType="separate"/>
        </w:r>
        <w:r>
          <w:rPr>
            <w:noProof/>
            <w:webHidden/>
          </w:rPr>
          <w:t>15</w:t>
        </w:r>
        <w:r>
          <w:rPr>
            <w:noProof/>
            <w:webHidden/>
          </w:rPr>
          <w:fldChar w:fldCharType="end"/>
        </w:r>
      </w:hyperlink>
    </w:p>
    <w:p w14:paraId="65AD6386" w14:textId="2D7B0301" w:rsidR="00F35CC1" w:rsidRDefault="00F35CC1">
      <w:pPr>
        <w:pStyle w:val="TOC2"/>
        <w:tabs>
          <w:tab w:val="right" w:leader="dot" w:pos="9350"/>
        </w:tabs>
        <w:rPr>
          <w:rFonts w:asciiTheme="minorHAnsi" w:hAnsiTheme="minorHAnsi" w:cstheme="minorBidi"/>
          <w:noProof/>
        </w:rPr>
      </w:pPr>
      <w:hyperlink w:anchor="_Toc229116061" w:history="1">
        <w:r w:rsidRPr="00224225">
          <w:rPr>
            <w:rStyle w:val="Hyperlink"/>
            <w:noProof/>
          </w:rPr>
          <w:t>4.2 The Computational Stack: Moving Beyond Excel</w:t>
        </w:r>
        <w:r>
          <w:rPr>
            <w:noProof/>
            <w:webHidden/>
          </w:rPr>
          <w:tab/>
        </w:r>
        <w:r>
          <w:rPr>
            <w:noProof/>
            <w:webHidden/>
          </w:rPr>
          <w:fldChar w:fldCharType="begin"/>
        </w:r>
        <w:r>
          <w:rPr>
            <w:noProof/>
            <w:webHidden/>
          </w:rPr>
          <w:instrText xml:space="preserve"> PAGEREF _Toc229116061 \h </w:instrText>
        </w:r>
        <w:r>
          <w:rPr>
            <w:noProof/>
            <w:webHidden/>
          </w:rPr>
        </w:r>
        <w:r>
          <w:rPr>
            <w:noProof/>
            <w:webHidden/>
          </w:rPr>
          <w:fldChar w:fldCharType="separate"/>
        </w:r>
        <w:r>
          <w:rPr>
            <w:noProof/>
            <w:webHidden/>
          </w:rPr>
          <w:t>16</w:t>
        </w:r>
        <w:r>
          <w:rPr>
            <w:noProof/>
            <w:webHidden/>
          </w:rPr>
          <w:fldChar w:fldCharType="end"/>
        </w:r>
      </w:hyperlink>
    </w:p>
    <w:p w14:paraId="47CFE91D" w14:textId="1D94BA5B" w:rsidR="00F35CC1" w:rsidRDefault="00F35CC1">
      <w:pPr>
        <w:pStyle w:val="TOC2"/>
        <w:tabs>
          <w:tab w:val="right" w:leader="dot" w:pos="9350"/>
        </w:tabs>
        <w:rPr>
          <w:rFonts w:asciiTheme="minorHAnsi" w:hAnsiTheme="minorHAnsi" w:cstheme="minorBidi"/>
          <w:noProof/>
        </w:rPr>
      </w:pPr>
      <w:hyperlink w:anchor="_Toc229116062" w:history="1">
        <w:r w:rsidRPr="00224225">
          <w:rPr>
            <w:rStyle w:val="Hyperlink"/>
            <w:noProof/>
          </w:rPr>
          <w:t>4.3 Baseline Diagnostics (Why Linear Regression is Dead)</w:t>
        </w:r>
        <w:r>
          <w:rPr>
            <w:noProof/>
            <w:webHidden/>
          </w:rPr>
          <w:tab/>
        </w:r>
        <w:r>
          <w:rPr>
            <w:noProof/>
            <w:webHidden/>
          </w:rPr>
          <w:fldChar w:fldCharType="begin"/>
        </w:r>
        <w:r>
          <w:rPr>
            <w:noProof/>
            <w:webHidden/>
          </w:rPr>
          <w:instrText xml:space="preserve"> PAGEREF _Toc229116062 \h </w:instrText>
        </w:r>
        <w:r>
          <w:rPr>
            <w:noProof/>
            <w:webHidden/>
          </w:rPr>
        </w:r>
        <w:r>
          <w:rPr>
            <w:noProof/>
            <w:webHidden/>
          </w:rPr>
          <w:fldChar w:fldCharType="separate"/>
        </w:r>
        <w:r>
          <w:rPr>
            <w:noProof/>
            <w:webHidden/>
          </w:rPr>
          <w:t>16</w:t>
        </w:r>
        <w:r>
          <w:rPr>
            <w:noProof/>
            <w:webHidden/>
          </w:rPr>
          <w:fldChar w:fldCharType="end"/>
        </w:r>
      </w:hyperlink>
    </w:p>
    <w:p w14:paraId="0E2EEAC9" w14:textId="28E50913" w:rsidR="00F35CC1" w:rsidRDefault="00F35CC1">
      <w:pPr>
        <w:pStyle w:val="TOC2"/>
        <w:tabs>
          <w:tab w:val="right" w:leader="dot" w:pos="9350"/>
        </w:tabs>
        <w:rPr>
          <w:rFonts w:asciiTheme="minorHAnsi" w:hAnsiTheme="minorHAnsi" w:cstheme="minorBidi"/>
          <w:noProof/>
        </w:rPr>
      </w:pPr>
      <w:hyperlink w:anchor="_Toc229116063" w:history="1">
        <w:r w:rsidRPr="00224225">
          <w:rPr>
            <w:rStyle w:val="Hyperlink"/>
            <w:noProof/>
          </w:rPr>
          <w:t>4.4 Tackling Endogeneity (The Difference GMM)</w:t>
        </w:r>
        <w:r>
          <w:rPr>
            <w:noProof/>
            <w:webHidden/>
          </w:rPr>
          <w:tab/>
        </w:r>
        <w:r>
          <w:rPr>
            <w:noProof/>
            <w:webHidden/>
          </w:rPr>
          <w:fldChar w:fldCharType="begin"/>
        </w:r>
        <w:r>
          <w:rPr>
            <w:noProof/>
            <w:webHidden/>
          </w:rPr>
          <w:instrText xml:space="preserve"> PAGEREF _Toc229116063 \h </w:instrText>
        </w:r>
        <w:r>
          <w:rPr>
            <w:noProof/>
            <w:webHidden/>
          </w:rPr>
        </w:r>
        <w:r>
          <w:rPr>
            <w:noProof/>
            <w:webHidden/>
          </w:rPr>
          <w:fldChar w:fldCharType="separate"/>
        </w:r>
        <w:r>
          <w:rPr>
            <w:noProof/>
            <w:webHidden/>
          </w:rPr>
          <w:t>17</w:t>
        </w:r>
        <w:r>
          <w:rPr>
            <w:noProof/>
            <w:webHidden/>
          </w:rPr>
          <w:fldChar w:fldCharType="end"/>
        </w:r>
      </w:hyperlink>
    </w:p>
    <w:p w14:paraId="38F1CE0D" w14:textId="2AE5322F" w:rsidR="00F35CC1" w:rsidRDefault="00F35CC1">
      <w:pPr>
        <w:pStyle w:val="TOC2"/>
        <w:tabs>
          <w:tab w:val="right" w:leader="dot" w:pos="9350"/>
        </w:tabs>
        <w:rPr>
          <w:rFonts w:asciiTheme="minorHAnsi" w:hAnsiTheme="minorHAnsi" w:cstheme="minorBidi"/>
          <w:noProof/>
        </w:rPr>
      </w:pPr>
      <w:hyperlink w:anchor="_Toc229116064" w:history="1">
        <w:r w:rsidRPr="00224225">
          <w:rPr>
            <w:rStyle w:val="Hyperlink"/>
            <w:noProof/>
          </w:rPr>
          <w:t>4.5 The Threshold Engine and SSR Grid Search</w:t>
        </w:r>
        <w:r>
          <w:rPr>
            <w:noProof/>
            <w:webHidden/>
          </w:rPr>
          <w:tab/>
        </w:r>
        <w:r>
          <w:rPr>
            <w:noProof/>
            <w:webHidden/>
          </w:rPr>
          <w:fldChar w:fldCharType="begin"/>
        </w:r>
        <w:r>
          <w:rPr>
            <w:noProof/>
            <w:webHidden/>
          </w:rPr>
          <w:instrText xml:space="preserve"> PAGEREF _Toc229116064 \h </w:instrText>
        </w:r>
        <w:r>
          <w:rPr>
            <w:noProof/>
            <w:webHidden/>
          </w:rPr>
        </w:r>
        <w:r>
          <w:rPr>
            <w:noProof/>
            <w:webHidden/>
          </w:rPr>
          <w:fldChar w:fldCharType="separate"/>
        </w:r>
        <w:r>
          <w:rPr>
            <w:noProof/>
            <w:webHidden/>
          </w:rPr>
          <w:t>18</w:t>
        </w:r>
        <w:r>
          <w:rPr>
            <w:noProof/>
            <w:webHidden/>
          </w:rPr>
          <w:fldChar w:fldCharType="end"/>
        </w:r>
      </w:hyperlink>
    </w:p>
    <w:p w14:paraId="2F7AA8EF" w14:textId="16C9BC90" w:rsidR="00F35CC1" w:rsidRDefault="00F35CC1">
      <w:pPr>
        <w:pStyle w:val="TOC1"/>
        <w:tabs>
          <w:tab w:val="right" w:leader="dot" w:pos="9350"/>
        </w:tabs>
        <w:rPr>
          <w:rFonts w:asciiTheme="minorHAnsi" w:hAnsiTheme="minorHAnsi" w:cstheme="minorBidi"/>
          <w:noProof/>
        </w:rPr>
      </w:pPr>
      <w:hyperlink w:anchor="_Toc229116065" w:history="1">
        <w:r w:rsidRPr="00224225">
          <w:rPr>
            <w:rStyle w:val="Hyperlink"/>
            <w:noProof/>
          </w:rPr>
          <w:t>Chapter 5: Empirical Results and Structural Tipping Points</w:t>
        </w:r>
        <w:r>
          <w:rPr>
            <w:noProof/>
            <w:webHidden/>
          </w:rPr>
          <w:tab/>
        </w:r>
        <w:r>
          <w:rPr>
            <w:noProof/>
            <w:webHidden/>
          </w:rPr>
          <w:fldChar w:fldCharType="begin"/>
        </w:r>
        <w:r>
          <w:rPr>
            <w:noProof/>
            <w:webHidden/>
          </w:rPr>
          <w:instrText xml:space="preserve"> PAGEREF _Toc229116065 \h </w:instrText>
        </w:r>
        <w:r>
          <w:rPr>
            <w:noProof/>
            <w:webHidden/>
          </w:rPr>
        </w:r>
        <w:r>
          <w:rPr>
            <w:noProof/>
            <w:webHidden/>
          </w:rPr>
          <w:fldChar w:fldCharType="separate"/>
        </w:r>
        <w:r>
          <w:rPr>
            <w:noProof/>
            <w:webHidden/>
          </w:rPr>
          <w:t>18</w:t>
        </w:r>
        <w:r>
          <w:rPr>
            <w:noProof/>
            <w:webHidden/>
          </w:rPr>
          <w:fldChar w:fldCharType="end"/>
        </w:r>
      </w:hyperlink>
    </w:p>
    <w:p w14:paraId="0FAF94FF" w14:textId="268FF017" w:rsidR="00F35CC1" w:rsidRDefault="00F35CC1">
      <w:pPr>
        <w:pStyle w:val="TOC2"/>
        <w:tabs>
          <w:tab w:val="right" w:leader="dot" w:pos="9350"/>
        </w:tabs>
        <w:rPr>
          <w:rFonts w:asciiTheme="minorHAnsi" w:hAnsiTheme="minorHAnsi" w:cstheme="minorBidi"/>
          <w:noProof/>
        </w:rPr>
      </w:pPr>
      <w:hyperlink w:anchor="_Toc229116066" w:history="1">
        <w:r w:rsidRPr="00224225">
          <w:rPr>
            <w:rStyle w:val="Hyperlink"/>
            <w:noProof/>
          </w:rPr>
          <w:t>5.1 Exploratory Data Analysis and Baseline Diagnostics</w:t>
        </w:r>
        <w:r>
          <w:rPr>
            <w:noProof/>
            <w:webHidden/>
          </w:rPr>
          <w:tab/>
        </w:r>
        <w:r>
          <w:rPr>
            <w:noProof/>
            <w:webHidden/>
          </w:rPr>
          <w:fldChar w:fldCharType="begin"/>
        </w:r>
        <w:r>
          <w:rPr>
            <w:noProof/>
            <w:webHidden/>
          </w:rPr>
          <w:instrText xml:space="preserve"> PAGEREF _Toc229116066 \h </w:instrText>
        </w:r>
        <w:r>
          <w:rPr>
            <w:noProof/>
            <w:webHidden/>
          </w:rPr>
        </w:r>
        <w:r>
          <w:rPr>
            <w:noProof/>
            <w:webHidden/>
          </w:rPr>
          <w:fldChar w:fldCharType="separate"/>
        </w:r>
        <w:r>
          <w:rPr>
            <w:noProof/>
            <w:webHidden/>
          </w:rPr>
          <w:t>18</w:t>
        </w:r>
        <w:r>
          <w:rPr>
            <w:noProof/>
            <w:webHidden/>
          </w:rPr>
          <w:fldChar w:fldCharType="end"/>
        </w:r>
      </w:hyperlink>
    </w:p>
    <w:p w14:paraId="5DF3A8A4" w14:textId="72F4C471" w:rsidR="00F35CC1" w:rsidRDefault="00F35CC1">
      <w:pPr>
        <w:pStyle w:val="TOC3"/>
        <w:tabs>
          <w:tab w:val="right" w:leader="dot" w:pos="9350"/>
        </w:tabs>
        <w:rPr>
          <w:rFonts w:asciiTheme="minorHAnsi" w:hAnsiTheme="minorHAnsi" w:cstheme="minorBidi"/>
          <w:noProof/>
        </w:rPr>
      </w:pPr>
      <w:hyperlink w:anchor="_Toc229116067" w:history="1">
        <w:r w:rsidRPr="00224225">
          <w:rPr>
            <w:rStyle w:val="Hyperlink"/>
            <w:noProof/>
          </w:rPr>
          <w:t>5.1.1 Macroeconomic Baselines and the Debt Landscape</w:t>
        </w:r>
        <w:r>
          <w:rPr>
            <w:noProof/>
            <w:webHidden/>
          </w:rPr>
          <w:tab/>
        </w:r>
        <w:r>
          <w:rPr>
            <w:noProof/>
            <w:webHidden/>
          </w:rPr>
          <w:fldChar w:fldCharType="begin"/>
        </w:r>
        <w:r>
          <w:rPr>
            <w:noProof/>
            <w:webHidden/>
          </w:rPr>
          <w:instrText xml:space="preserve"> PAGEREF _Toc229116067 \h </w:instrText>
        </w:r>
        <w:r>
          <w:rPr>
            <w:noProof/>
            <w:webHidden/>
          </w:rPr>
        </w:r>
        <w:r>
          <w:rPr>
            <w:noProof/>
            <w:webHidden/>
          </w:rPr>
          <w:fldChar w:fldCharType="separate"/>
        </w:r>
        <w:r>
          <w:rPr>
            <w:noProof/>
            <w:webHidden/>
          </w:rPr>
          <w:t>19</w:t>
        </w:r>
        <w:r>
          <w:rPr>
            <w:noProof/>
            <w:webHidden/>
          </w:rPr>
          <w:fldChar w:fldCharType="end"/>
        </w:r>
      </w:hyperlink>
    </w:p>
    <w:p w14:paraId="679989A5" w14:textId="17B458FC" w:rsidR="00F35CC1" w:rsidRDefault="00F35CC1">
      <w:pPr>
        <w:pStyle w:val="TOC3"/>
        <w:tabs>
          <w:tab w:val="right" w:leader="dot" w:pos="9350"/>
        </w:tabs>
        <w:rPr>
          <w:rFonts w:asciiTheme="minorHAnsi" w:hAnsiTheme="minorHAnsi" w:cstheme="minorBidi"/>
          <w:noProof/>
        </w:rPr>
      </w:pPr>
      <w:hyperlink w:anchor="_Toc229116068" w:history="1">
        <w:r w:rsidRPr="00224225">
          <w:rPr>
            <w:rStyle w:val="Hyperlink"/>
            <w:noProof/>
          </w:rPr>
          <w:t>5.1.2 Inequality and Systemic Correlations (The Wealth Data)</w:t>
        </w:r>
        <w:r>
          <w:rPr>
            <w:noProof/>
            <w:webHidden/>
          </w:rPr>
          <w:tab/>
        </w:r>
        <w:r>
          <w:rPr>
            <w:noProof/>
            <w:webHidden/>
          </w:rPr>
          <w:fldChar w:fldCharType="begin"/>
        </w:r>
        <w:r>
          <w:rPr>
            <w:noProof/>
            <w:webHidden/>
          </w:rPr>
          <w:instrText xml:space="preserve"> PAGEREF _Toc229116068 \h </w:instrText>
        </w:r>
        <w:r>
          <w:rPr>
            <w:noProof/>
            <w:webHidden/>
          </w:rPr>
        </w:r>
        <w:r>
          <w:rPr>
            <w:noProof/>
            <w:webHidden/>
          </w:rPr>
          <w:fldChar w:fldCharType="separate"/>
        </w:r>
        <w:r>
          <w:rPr>
            <w:noProof/>
            <w:webHidden/>
          </w:rPr>
          <w:t>26</w:t>
        </w:r>
        <w:r>
          <w:rPr>
            <w:noProof/>
            <w:webHidden/>
          </w:rPr>
          <w:fldChar w:fldCharType="end"/>
        </w:r>
      </w:hyperlink>
    </w:p>
    <w:p w14:paraId="084278A1" w14:textId="674A008F" w:rsidR="00F35CC1" w:rsidRDefault="00F35CC1">
      <w:pPr>
        <w:pStyle w:val="TOC2"/>
        <w:tabs>
          <w:tab w:val="right" w:leader="dot" w:pos="9350"/>
        </w:tabs>
        <w:rPr>
          <w:rFonts w:asciiTheme="minorHAnsi" w:hAnsiTheme="minorHAnsi" w:cstheme="minorBidi"/>
          <w:noProof/>
        </w:rPr>
      </w:pPr>
      <w:hyperlink w:anchor="_Toc229116069" w:history="1">
        <w:r w:rsidRPr="00224225">
          <w:rPr>
            <w:rStyle w:val="Hyperlink"/>
            <w:noProof/>
          </w:rPr>
          <w:t>5.2 Baseline Regressions and the Endogeneity Trap</w:t>
        </w:r>
        <w:r>
          <w:rPr>
            <w:noProof/>
            <w:webHidden/>
          </w:rPr>
          <w:tab/>
        </w:r>
        <w:r>
          <w:rPr>
            <w:noProof/>
            <w:webHidden/>
          </w:rPr>
          <w:fldChar w:fldCharType="begin"/>
        </w:r>
        <w:r>
          <w:rPr>
            <w:noProof/>
            <w:webHidden/>
          </w:rPr>
          <w:instrText xml:space="preserve"> PAGEREF _Toc229116069 \h </w:instrText>
        </w:r>
        <w:r>
          <w:rPr>
            <w:noProof/>
            <w:webHidden/>
          </w:rPr>
        </w:r>
        <w:r>
          <w:rPr>
            <w:noProof/>
            <w:webHidden/>
          </w:rPr>
          <w:fldChar w:fldCharType="separate"/>
        </w:r>
        <w:r>
          <w:rPr>
            <w:noProof/>
            <w:webHidden/>
          </w:rPr>
          <w:t>32</w:t>
        </w:r>
        <w:r>
          <w:rPr>
            <w:noProof/>
            <w:webHidden/>
          </w:rPr>
          <w:fldChar w:fldCharType="end"/>
        </w:r>
      </w:hyperlink>
    </w:p>
    <w:p w14:paraId="791A6B5D" w14:textId="4D3968E4" w:rsidR="00F35CC1" w:rsidRDefault="00F35CC1">
      <w:pPr>
        <w:pStyle w:val="TOC3"/>
        <w:tabs>
          <w:tab w:val="right" w:leader="dot" w:pos="9350"/>
        </w:tabs>
        <w:rPr>
          <w:rFonts w:asciiTheme="minorHAnsi" w:hAnsiTheme="minorHAnsi" w:cstheme="minorBidi"/>
          <w:noProof/>
        </w:rPr>
      </w:pPr>
      <w:hyperlink w:anchor="_Toc229116070" w:history="1">
        <w:r w:rsidRPr="00224225">
          <w:rPr>
            <w:rStyle w:val="Hyperlink"/>
            <w:noProof/>
          </w:rPr>
          <w:t>5.2.1 Baseline GDP Models (The Growth Illusion)</w:t>
        </w:r>
        <w:r>
          <w:rPr>
            <w:noProof/>
            <w:webHidden/>
          </w:rPr>
          <w:tab/>
        </w:r>
        <w:r>
          <w:rPr>
            <w:noProof/>
            <w:webHidden/>
          </w:rPr>
          <w:fldChar w:fldCharType="begin"/>
        </w:r>
        <w:r>
          <w:rPr>
            <w:noProof/>
            <w:webHidden/>
          </w:rPr>
          <w:instrText xml:space="preserve"> PAGEREF _Toc229116070 \h </w:instrText>
        </w:r>
        <w:r>
          <w:rPr>
            <w:noProof/>
            <w:webHidden/>
          </w:rPr>
        </w:r>
        <w:r>
          <w:rPr>
            <w:noProof/>
            <w:webHidden/>
          </w:rPr>
          <w:fldChar w:fldCharType="separate"/>
        </w:r>
        <w:r>
          <w:rPr>
            <w:noProof/>
            <w:webHidden/>
          </w:rPr>
          <w:t>32</w:t>
        </w:r>
        <w:r>
          <w:rPr>
            <w:noProof/>
            <w:webHidden/>
          </w:rPr>
          <w:fldChar w:fldCharType="end"/>
        </w:r>
      </w:hyperlink>
    </w:p>
    <w:p w14:paraId="0595B571" w14:textId="1498EC2C" w:rsidR="00F35CC1" w:rsidRDefault="00F35CC1">
      <w:pPr>
        <w:pStyle w:val="TOC3"/>
        <w:tabs>
          <w:tab w:val="right" w:leader="dot" w:pos="9350"/>
        </w:tabs>
        <w:rPr>
          <w:rFonts w:asciiTheme="minorHAnsi" w:hAnsiTheme="minorHAnsi" w:cstheme="minorBidi"/>
          <w:noProof/>
        </w:rPr>
      </w:pPr>
      <w:hyperlink w:anchor="_Toc229116071" w:history="1">
        <w:r w:rsidRPr="00224225">
          <w:rPr>
            <w:rStyle w:val="Hyperlink"/>
            <w:noProof/>
          </w:rPr>
          <w:t>5.2.2 Baseline Elite Capture Models (The Wealth Funnel)</w:t>
        </w:r>
        <w:r>
          <w:rPr>
            <w:noProof/>
            <w:webHidden/>
          </w:rPr>
          <w:tab/>
        </w:r>
        <w:r>
          <w:rPr>
            <w:noProof/>
            <w:webHidden/>
          </w:rPr>
          <w:fldChar w:fldCharType="begin"/>
        </w:r>
        <w:r>
          <w:rPr>
            <w:noProof/>
            <w:webHidden/>
          </w:rPr>
          <w:instrText xml:space="preserve"> PAGEREF _Toc229116071 \h </w:instrText>
        </w:r>
        <w:r>
          <w:rPr>
            <w:noProof/>
            <w:webHidden/>
          </w:rPr>
        </w:r>
        <w:r>
          <w:rPr>
            <w:noProof/>
            <w:webHidden/>
          </w:rPr>
          <w:fldChar w:fldCharType="separate"/>
        </w:r>
        <w:r>
          <w:rPr>
            <w:noProof/>
            <w:webHidden/>
          </w:rPr>
          <w:t>33</w:t>
        </w:r>
        <w:r>
          <w:rPr>
            <w:noProof/>
            <w:webHidden/>
          </w:rPr>
          <w:fldChar w:fldCharType="end"/>
        </w:r>
      </w:hyperlink>
    </w:p>
    <w:p w14:paraId="5B5E5DAE" w14:textId="74E647A8" w:rsidR="00F35CC1" w:rsidRDefault="00F35CC1">
      <w:pPr>
        <w:pStyle w:val="TOC3"/>
        <w:tabs>
          <w:tab w:val="right" w:leader="dot" w:pos="9350"/>
        </w:tabs>
        <w:rPr>
          <w:rFonts w:asciiTheme="minorHAnsi" w:hAnsiTheme="minorHAnsi" w:cstheme="minorBidi"/>
          <w:noProof/>
        </w:rPr>
      </w:pPr>
      <w:hyperlink w:anchor="_Toc229116072" w:history="1">
        <w:r w:rsidRPr="00224225">
          <w:rPr>
            <w:rStyle w:val="Hyperlink"/>
            <w:noProof/>
          </w:rPr>
          <w:t>5.2.3 Interpretation of the Baseline Models</w:t>
        </w:r>
        <w:r>
          <w:rPr>
            <w:noProof/>
            <w:webHidden/>
          </w:rPr>
          <w:tab/>
        </w:r>
        <w:r>
          <w:rPr>
            <w:noProof/>
            <w:webHidden/>
          </w:rPr>
          <w:fldChar w:fldCharType="begin"/>
        </w:r>
        <w:r>
          <w:rPr>
            <w:noProof/>
            <w:webHidden/>
          </w:rPr>
          <w:instrText xml:space="preserve"> PAGEREF _Toc229116072 \h </w:instrText>
        </w:r>
        <w:r>
          <w:rPr>
            <w:noProof/>
            <w:webHidden/>
          </w:rPr>
        </w:r>
        <w:r>
          <w:rPr>
            <w:noProof/>
            <w:webHidden/>
          </w:rPr>
          <w:fldChar w:fldCharType="separate"/>
        </w:r>
        <w:r>
          <w:rPr>
            <w:noProof/>
            <w:webHidden/>
          </w:rPr>
          <w:t>34</w:t>
        </w:r>
        <w:r>
          <w:rPr>
            <w:noProof/>
            <w:webHidden/>
          </w:rPr>
          <w:fldChar w:fldCharType="end"/>
        </w:r>
      </w:hyperlink>
    </w:p>
    <w:p w14:paraId="4E3CCDCD" w14:textId="6581F710" w:rsidR="00F35CC1" w:rsidRDefault="00F35CC1">
      <w:pPr>
        <w:pStyle w:val="TOC3"/>
        <w:tabs>
          <w:tab w:val="right" w:leader="dot" w:pos="9350"/>
        </w:tabs>
        <w:rPr>
          <w:rFonts w:asciiTheme="minorHAnsi" w:hAnsiTheme="minorHAnsi" w:cstheme="minorBidi"/>
          <w:noProof/>
        </w:rPr>
      </w:pPr>
      <w:hyperlink w:anchor="_Toc229116073" w:history="1">
        <w:r w:rsidRPr="00224225">
          <w:rPr>
            <w:rStyle w:val="Hyperlink"/>
            <w:noProof/>
          </w:rPr>
          <w:t>5.2.4 The Endogeneity Trap</w:t>
        </w:r>
        <w:r>
          <w:rPr>
            <w:noProof/>
            <w:webHidden/>
          </w:rPr>
          <w:tab/>
        </w:r>
        <w:r>
          <w:rPr>
            <w:noProof/>
            <w:webHidden/>
          </w:rPr>
          <w:fldChar w:fldCharType="begin"/>
        </w:r>
        <w:r>
          <w:rPr>
            <w:noProof/>
            <w:webHidden/>
          </w:rPr>
          <w:instrText xml:space="preserve"> PAGEREF _Toc229116073 \h </w:instrText>
        </w:r>
        <w:r>
          <w:rPr>
            <w:noProof/>
            <w:webHidden/>
          </w:rPr>
        </w:r>
        <w:r>
          <w:rPr>
            <w:noProof/>
            <w:webHidden/>
          </w:rPr>
          <w:fldChar w:fldCharType="separate"/>
        </w:r>
        <w:r>
          <w:rPr>
            <w:noProof/>
            <w:webHidden/>
          </w:rPr>
          <w:t>35</w:t>
        </w:r>
        <w:r>
          <w:rPr>
            <w:noProof/>
            <w:webHidden/>
          </w:rPr>
          <w:fldChar w:fldCharType="end"/>
        </w:r>
      </w:hyperlink>
    </w:p>
    <w:p w14:paraId="0DB01967" w14:textId="22C8C655" w:rsidR="00F35CC1" w:rsidRDefault="00F35CC1">
      <w:pPr>
        <w:pStyle w:val="TOC2"/>
        <w:tabs>
          <w:tab w:val="right" w:leader="dot" w:pos="9350"/>
        </w:tabs>
        <w:rPr>
          <w:rFonts w:asciiTheme="minorHAnsi" w:hAnsiTheme="minorHAnsi" w:cstheme="minorBidi"/>
          <w:noProof/>
        </w:rPr>
      </w:pPr>
      <w:hyperlink w:anchor="_Toc229116074" w:history="1">
        <w:r w:rsidRPr="00224225">
          <w:rPr>
            <w:rStyle w:val="Hyperlink"/>
            <w:noProof/>
          </w:rPr>
          <w:t>5.3 Difference GMM: Untangling Causality</w:t>
        </w:r>
        <w:r>
          <w:rPr>
            <w:noProof/>
            <w:webHidden/>
          </w:rPr>
          <w:tab/>
        </w:r>
        <w:r>
          <w:rPr>
            <w:noProof/>
            <w:webHidden/>
          </w:rPr>
          <w:fldChar w:fldCharType="begin"/>
        </w:r>
        <w:r>
          <w:rPr>
            <w:noProof/>
            <w:webHidden/>
          </w:rPr>
          <w:instrText xml:space="preserve"> PAGEREF _Toc229116074 \h </w:instrText>
        </w:r>
        <w:r>
          <w:rPr>
            <w:noProof/>
            <w:webHidden/>
          </w:rPr>
        </w:r>
        <w:r>
          <w:rPr>
            <w:noProof/>
            <w:webHidden/>
          </w:rPr>
          <w:fldChar w:fldCharType="separate"/>
        </w:r>
        <w:r>
          <w:rPr>
            <w:noProof/>
            <w:webHidden/>
          </w:rPr>
          <w:t>35</w:t>
        </w:r>
        <w:r>
          <w:rPr>
            <w:noProof/>
            <w:webHidden/>
          </w:rPr>
          <w:fldChar w:fldCharType="end"/>
        </w:r>
      </w:hyperlink>
    </w:p>
    <w:p w14:paraId="37CB356C" w14:textId="01924F27" w:rsidR="00F35CC1" w:rsidRDefault="00F35CC1">
      <w:pPr>
        <w:pStyle w:val="TOC3"/>
        <w:tabs>
          <w:tab w:val="right" w:leader="dot" w:pos="9350"/>
        </w:tabs>
        <w:rPr>
          <w:rFonts w:asciiTheme="minorHAnsi" w:hAnsiTheme="minorHAnsi" w:cstheme="minorBidi"/>
          <w:noProof/>
        </w:rPr>
      </w:pPr>
      <w:hyperlink w:anchor="_Toc229116075" w:history="1">
        <w:r w:rsidRPr="00224225">
          <w:rPr>
            <w:rStyle w:val="Hyperlink"/>
            <w:noProof/>
          </w:rPr>
          <w:t>5.3.1 Dynamic GDP Models</w:t>
        </w:r>
        <w:r>
          <w:rPr>
            <w:noProof/>
            <w:webHidden/>
          </w:rPr>
          <w:tab/>
        </w:r>
        <w:r>
          <w:rPr>
            <w:noProof/>
            <w:webHidden/>
          </w:rPr>
          <w:fldChar w:fldCharType="begin"/>
        </w:r>
        <w:r>
          <w:rPr>
            <w:noProof/>
            <w:webHidden/>
          </w:rPr>
          <w:instrText xml:space="preserve"> PAGEREF _Toc229116075 \h </w:instrText>
        </w:r>
        <w:r>
          <w:rPr>
            <w:noProof/>
            <w:webHidden/>
          </w:rPr>
        </w:r>
        <w:r>
          <w:rPr>
            <w:noProof/>
            <w:webHidden/>
          </w:rPr>
          <w:fldChar w:fldCharType="separate"/>
        </w:r>
        <w:r>
          <w:rPr>
            <w:noProof/>
            <w:webHidden/>
          </w:rPr>
          <w:t>36</w:t>
        </w:r>
        <w:r>
          <w:rPr>
            <w:noProof/>
            <w:webHidden/>
          </w:rPr>
          <w:fldChar w:fldCharType="end"/>
        </w:r>
      </w:hyperlink>
    </w:p>
    <w:p w14:paraId="09CD4222" w14:textId="617DBFB6" w:rsidR="00F35CC1" w:rsidRDefault="00F35CC1">
      <w:pPr>
        <w:pStyle w:val="TOC3"/>
        <w:tabs>
          <w:tab w:val="right" w:leader="dot" w:pos="9350"/>
        </w:tabs>
        <w:rPr>
          <w:rFonts w:asciiTheme="minorHAnsi" w:hAnsiTheme="minorHAnsi" w:cstheme="minorBidi"/>
          <w:noProof/>
        </w:rPr>
      </w:pPr>
      <w:hyperlink w:anchor="_Toc229116076" w:history="1">
        <w:r w:rsidRPr="00224225">
          <w:rPr>
            <w:rStyle w:val="Hyperlink"/>
            <w:noProof/>
          </w:rPr>
          <w:t>5.3.2 Dynamic Elite Capture Models</w:t>
        </w:r>
        <w:r>
          <w:rPr>
            <w:noProof/>
            <w:webHidden/>
          </w:rPr>
          <w:tab/>
        </w:r>
        <w:r>
          <w:rPr>
            <w:noProof/>
            <w:webHidden/>
          </w:rPr>
          <w:fldChar w:fldCharType="begin"/>
        </w:r>
        <w:r>
          <w:rPr>
            <w:noProof/>
            <w:webHidden/>
          </w:rPr>
          <w:instrText xml:space="preserve"> PAGEREF _Toc229116076 \h </w:instrText>
        </w:r>
        <w:r>
          <w:rPr>
            <w:noProof/>
            <w:webHidden/>
          </w:rPr>
        </w:r>
        <w:r>
          <w:rPr>
            <w:noProof/>
            <w:webHidden/>
          </w:rPr>
          <w:fldChar w:fldCharType="separate"/>
        </w:r>
        <w:r>
          <w:rPr>
            <w:noProof/>
            <w:webHidden/>
          </w:rPr>
          <w:t>36</w:t>
        </w:r>
        <w:r>
          <w:rPr>
            <w:noProof/>
            <w:webHidden/>
          </w:rPr>
          <w:fldChar w:fldCharType="end"/>
        </w:r>
      </w:hyperlink>
    </w:p>
    <w:p w14:paraId="11B8E462" w14:textId="12C591FC" w:rsidR="00F35CC1" w:rsidRDefault="00F35CC1">
      <w:pPr>
        <w:pStyle w:val="TOC3"/>
        <w:tabs>
          <w:tab w:val="right" w:leader="dot" w:pos="9350"/>
        </w:tabs>
        <w:rPr>
          <w:rFonts w:asciiTheme="minorHAnsi" w:hAnsiTheme="minorHAnsi" w:cstheme="minorBidi"/>
          <w:noProof/>
        </w:rPr>
      </w:pPr>
      <w:hyperlink w:anchor="_Toc229116078" w:history="1">
        <w:r w:rsidRPr="00224225">
          <w:rPr>
            <w:rStyle w:val="Hyperlink"/>
            <w:noProof/>
          </w:rPr>
          <w:t>5.3.3 The Death of the Linear Assumption</w:t>
        </w:r>
        <w:r>
          <w:rPr>
            <w:noProof/>
            <w:webHidden/>
          </w:rPr>
          <w:tab/>
        </w:r>
        <w:r>
          <w:rPr>
            <w:noProof/>
            <w:webHidden/>
          </w:rPr>
          <w:fldChar w:fldCharType="begin"/>
        </w:r>
        <w:r>
          <w:rPr>
            <w:noProof/>
            <w:webHidden/>
          </w:rPr>
          <w:instrText xml:space="preserve"> PAGEREF _Toc229116078 \h </w:instrText>
        </w:r>
        <w:r>
          <w:rPr>
            <w:noProof/>
            <w:webHidden/>
          </w:rPr>
        </w:r>
        <w:r>
          <w:rPr>
            <w:noProof/>
            <w:webHidden/>
          </w:rPr>
          <w:fldChar w:fldCharType="separate"/>
        </w:r>
        <w:r>
          <w:rPr>
            <w:noProof/>
            <w:webHidden/>
          </w:rPr>
          <w:t>37</w:t>
        </w:r>
        <w:r>
          <w:rPr>
            <w:noProof/>
            <w:webHidden/>
          </w:rPr>
          <w:fldChar w:fldCharType="end"/>
        </w:r>
      </w:hyperlink>
    </w:p>
    <w:p w14:paraId="7D1E5079" w14:textId="412A9802" w:rsidR="00F35CC1" w:rsidRDefault="00F35CC1">
      <w:pPr>
        <w:pStyle w:val="TOC2"/>
        <w:tabs>
          <w:tab w:val="right" w:leader="dot" w:pos="9350"/>
        </w:tabs>
        <w:rPr>
          <w:rFonts w:asciiTheme="minorHAnsi" w:hAnsiTheme="minorHAnsi" w:cstheme="minorBidi"/>
          <w:noProof/>
        </w:rPr>
      </w:pPr>
      <w:hyperlink w:anchor="_Toc229116079" w:history="1">
        <w:r w:rsidRPr="00224225">
          <w:rPr>
            <w:rStyle w:val="Hyperlink"/>
            <w:noProof/>
          </w:rPr>
          <w:t>5.4 Panel Threshold Regressions: Locating the Event Horizon</w:t>
        </w:r>
        <w:r>
          <w:rPr>
            <w:noProof/>
            <w:webHidden/>
          </w:rPr>
          <w:tab/>
        </w:r>
        <w:r>
          <w:rPr>
            <w:noProof/>
            <w:webHidden/>
          </w:rPr>
          <w:fldChar w:fldCharType="begin"/>
        </w:r>
        <w:r>
          <w:rPr>
            <w:noProof/>
            <w:webHidden/>
          </w:rPr>
          <w:instrText xml:space="preserve"> PAGEREF _Toc229116079 \h </w:instrText>
        </w:r>
        <w:r>
          <w:rPr>
            <w:noProof/>
            <w:webHidden/>
          </w:rPr>
        </w:r>
        <w:r>
          <w:rPr>
            <w:noProof/>
            <w:webHidden/>
          </w:rPr>
          <w:fldChar w:fldCharType="separate"/>
        </w:r>
        <w:r>
          <w:rPr>
            <w:noProof/>
            <w:webHidden/>
          </w:rPr>
          <w:t>37</w:t>
        </w:r>
        <w:r>
          <w:rPr>
            <w:noProof/>
            <w:webHidden/>
          </w:rPr>
          <w:fldChar w:fldCharType="end"/>
        </w:r>
      </w:hyperlink>
    </w:p>
    <w:p w14:paraId="0F024019" w14:textId="67B52CA8" w:rsidR="00F35CC1" w:rsidRDefault="00F35CC1">
      <w:pPr>
        <w:pStyle w:val="TOC3"/>
        <w:tabs>
          <w:tab w:val="right" w:leader="dot" w:pos="9350"/>
        </w:tabs>
        <w:rPr>
          <w:rFonts w:asciiTheme="minorHAnsi" w:hAnsiTheme="minorHAnsi" w:cstheme="minorBidi"/>
          <w:noProof/>
        </w:rPr>
      </w:pPr>
      <w:hyperlink w:anchor="_Toc229116080" w:history="1">
        <w:r w:rsidRPr="00224225">
          <w:rPr>
            <w:rStyle w:val="Hyperlink"/>
            <w:noProof/>
          </w:rPr>
          <w:t>5.4.1 Mapping the Reinhart-Rogoff Reality (GDP Growth Thresholds)</w:t>
        </w:r>
        <w:r>
          <w:rPr>
            <w:noProof/>
            <w:webHidden/>
          </w:rPr>
          <w:tab/>
        </w:r>
        <w:r>
          <w:rPr>
            <w:noProof/>
            <w:webHidden/>
          </w:rPr>
          <w:fldChar w:fldCharType="begin"/>
        </w:r>
        <w:r>
          <w:rPr>
            <w:noProof/>
            <w:webHidden/>
          </w:rPr>
          <w:instrText xml:space="preserve"> PAGEREF _Toc229116080 \h </w:instrText>
        </w:r>
        <w:r>
          <w:rPr>
            <w:noProof/>
            <w:webHidden/>
          </w:rPr>
        </w:r>
        <w:r>
          <w:rPr>
            <w:noProof/>
            <w:webHidden/>
          </w:rPr>
          <w:fldChar w:fldCharType="separate"/>
        </w:r>
        <w:r>
          <w:rPr>
            <w:noProof/>
            <w:webHidden/>
          </w:rPr>
          <w:t>38</w:t>
        </w:r>
        <w:r>
          <w:rPr>
            <w:noProof/>
            <w:webHidden/>
          </w:rPr>
          <w:fldChar w:fldCharType="end"/>
        </w:r>
      </w:hyperlink>
    </w:p>
    <w:p w14:paraId="6461C896" w14:textId="211F255B" w:rsidR="00F35CC1" w:rsidRDefault="00F35CC1">
      <w:pPr>
        <w:pStyle w:val="TOC3"/>
        <w:tabs>
          <w:tab w:val="right" w:leader="dot" w:pos="9350"/>
        </w:tabs>
        <w:rPr>
          <w:rFonts w:asciiTheme="minorHAnsi" w:hAnsiTheme="minorHAnsi" w:cstheme="minorBidi"/>
          <w:noProof/>
        </w:rPr>
      </w:pPr>
      <w:hyperlink w:anchor="_Toc229116081" w:history="1">
        <w:r w:rsidRPr="00224225">
          <w:rPr>
            <w:rStyle w:val="Hyperlink"/>
            <w:noProof/>
          </w:rPr>
          <w:t>5.4.2 The Elite Capture Trigger (Wealth Funnel Thresholds)</w:t>
        </w:r>
        <w:r>
          <w:rPr>
            <w:noProof/>
            <w:webHidden/>
          </w:rPr>
          <w:tab/>
        </w:r>
        <w:r>
          <w:rPr>
            <w:noProof/>
            <w:webHidden/>
          </w:rPr>
          <w:fldChar w:fldCharType="begin"/>
        </w:r>
        <w:r>
          <w:rPr>
            <w:noProof/>
            <w:webHidden/>
          </w:rPr>
          <w:instrText xml:space="preserve"> PAGEREF _Toc229116081 \h </w:instrText>
        </w:r>
        <w:r>
          <w:rPr>
            <w:noProof/>
            <w:webHidden/>
          </w:rPr>
        </w:r>
        <w:r>
          <w:rPr>
            <w:noProof/>
            <w:webHidden/>
          </w:rPr>
          <w:fldChar w:fldCharType="separate"/>
        </w:r>
        <w:r>
          <w:rPr>
            <w:noProof/>
            <w:webHidden/>
          </w:rPr>
          <w:t>39</w:t>
        </w:r>
        <w:r>
          <w:rPr>
            <w:noProof/>
            <w:webHidden/>
          </w:rPr>
          <w:fldChar w:fldCharType="end"/>
        </w:r>
      </w:hyperlink>
    </w:p>
    <w:p w14:paraId="1659039A" w14:textId="7AA57D20" w:rsidR="00F35CC1" w:rsidRDefault="00F35CC1">
      <w:pPr>
        <w:pStyle w:val="TOC3"/>
        <w:tabs>
          <w:tab w:val="right" w:leader="dot" w:pos="9350"/>
        </w:tabs>
        <w:rPr>
          <w:rFonts w:asciiTheme="minorHAnsi" w:hAnsiTheme="minorHAnsi" w:cstheme="minorBidi"/>
          <w:noProof/>
        </w:rPr>
      </w:pPr>
      <w:hyperlink w:anchor="_Toc229116082" w:history="1">
        <w:r w:rsidRPr="00224225">
          <w:rPr>
            <w:rStyle w:val="Hyperlink"/>
            <w:noProof/>
          </w:rPr>
          <w:t>5.4.3 Synthesis: The Debt Trap</w:t>
        </w:r>
        <w:r>
          <w:rPr>
            <w:noProof/>
            <w:webHidden/>
          </w:rPr>
          <w:tab/>
        </w:r>
        <w:r>
          <w:rPr>
            <w:noProof/>
            <w:webHidden/>
          </w:rPr>
          <w:fldChar w:fldCharType="begin"/>
        </w:r>
        <w:r>
          <w:rPr>
            <w:noProof/>
            <w:webHidden/>
          </w:rPr>
          <w:instrText xml:space="preserve"> PAGEREF _Toc229116082 \h </w:instrText>
        </w:r>
        <w:r>
          <w:rPr>
            <w:noProof/>
            <w:webHidden/>
          </w:rPr>
        </w:r>
        <w:r>
          <w:rPr>
            <w:noProof/>
            <w:webHidden/>
          </w:rPr>
          <w:fldChar w:fldCharType="separate"/>
        </w:r>
        <w:r>
          <w:rPr>
            <w:noProof/>
            <w:webHidden/>
          </w:rPr>
          <w:t>40</w:t>
        </w:r>
        <w:r>
          <w:rPr>
            <w:noProof/>
            <w:webHidden/>
          </w:rPr>
          <w:fldChar w:fldCharType="end"/>
        </w:r>
      </w:hyperlink>
    </w:p>
    <w:p w14:paraId="6FEBEE01" w14:textId="4D2666FE" w:rsidR="00F35CC1" w:rsidRDefault="00F35CC1">
      <w:pPr>
        <w:pStyle w:val="TOC2"/>
        <w:tabs>
          <w:tab w:val="right" w:leader="dot" w:pos="9350"/>
        </w:tabs>
        <w:rPr>
          <w:rFonts w:asciiTheme="minorHAnsi" w:hAnsiTheme="minorHAnsi" w:cstheme="minorBidi"/>
          <w:noProof/>
        </w:rPr>
      </w:pPr>
      <w:hyperlink w:anchor="_Toc229116083" w:history="1">
        <w:r w:rsidRPr="00224225">
          <w:rPr>
            <w:rStyle w:val="Hyperlink"/>
            <w:noProof/>
          </w:rPr>
          <w:t>5.5 Beyond the Absolute Minimum: Variance Zones and Regime Basins</w:t>
        </w:r>
        <w:r>
          <w:rPr>
            <w:noProof/>
            <w:webHidden/>
          </w:rPr>
          <w:tab/>
        </w:r>
        <w:r>
          <w:rPr>
            <w:noProof/>
            <w:webHidden/>
          </w:rPr>
          <w:fldChar w:fldCharType="begin"/>
        </w:r>
        <w:r>
          <w:rPr>
            <w:noProof/>
            <w:webHidden/>
          </w:rPr>
          <w:instrText xml:space="preserve"> PAGEREF _Toc229116083 \h </w:instrText>
        </w:r>
        <w:r>
          <w:rPr>
            <w:noProof/>
            <w:webHidden/>
          </w:rPr>
        </w:r>
        <w:r>
          <w:rPr>
            <w:noProof/>
            <w:webHidden/>
          </w:rPr>
          <w:fldChar w:fldCharType="separate"/>
        </w:r>
        <w:r>
          <w:rPr>
            <w:noProof/>
            <w:webHidden/>
          </w:rPr>
          <w:t>40</w:t>
        </w:r>
        <w:r>
          <w:rPr>
            <w:noProof/>
            <w:webHidden/>
          </w:rPr>
          <w:fldChar w:fldCharType="end"/>
        </w:r>
      </w:hyperlink>
    </w:p>
    <w:p w14:paraId="6C91559F" w14:textId="068A92AD" w:rsidR="00F35CC1" w:rsidRDefault="00F35CC1" w:rsidP="00F35CC1">
      <w:pPr>
        <w:pStyle w:val="TOC2"/>
        <w:tabs>
          <w:tab w:val="right" w:leader="dot" w:pos="9350"/>
        </w:tabs>
        <w:rPr>
          <w:rFonts w:asciiTheme="minorHAnsi" w:hAnsiTheme="minorHAnsi" w:cstheme="minorBidi"/>
          <w:noProof/>
        </w:rPr>
      </w:pPr>
      <w:hyperlink w:anchor="_Toc229116087" w:history="1">
        <w:r w:rsidRPr="00224225">
          <w:rPr>
            <w:rStyle w:val="Hyperlink"/>
            <w:noProof/>
          </w:rPr>
          <w:t>Chapter 6: Conclusion and Policy Frameworks</w:t>
        </w:r>
        <w:r>
          <w:rPr>
            <w:noProof/>
            <w:webHidden/>
          </w:rPr>
          <w:tab/>
        </w:r>
        <w:r>
          <w:rPr>
            <w:noProof/>
            <w:webHidden/>
          </w:rPr>
          <w:fldChar w:fldCharType="begin"/>
        </w:r>
        <w:r>
          <w:rPr>
            <w:noProof/>
            <w:webHidden/>
          </w:rPr>
          <w:instrText xml:space="preserve"> PAGEREF _Toc229116087 \h </w:instrText>
        </w:r>
        <w:r>
          <w:rPr>
            <w:noProof/>
            <w:webHidden/>
          </w:rPr>
        </w:r>
        <w:r>
          <w:rPr>
            <w:noProof/>
            <w:webHidden/>
          </w:rPr>
          <w:fldChar w:fldCharType="separate"/>
        </w:r>
        <w:r>
          <w:rPr>
            <w:noProof/>
            <w:webHidden/>
          </w:rPr>
          <w:t>42</w:t>
        </w:r>
        <w:r>
          <w:rPr>
            <w:noProof/>
            <w:webHidden/>
          </w:rPr>
          <w:fldChar w:fldCharType="end"/>
        </w:r>
      </w:hyperlink>
    </w:p>
    <w:p w14:paraId="1E8E96FF" w14:textId="5D32287D" w:rsidR="00F35CC1" w:rsidRDefault="00F35CC1">
      <w:pPr>
        <w:pStyle w:val="TOC2"/>
        <w:tabs>
          <w:tab w:val="right" w:leader="dot" w:pos="9350"/>
        </w:tabs>
        <w:rPr>
          <w:rFonts w:asciiTheme="minorHAnsi" w:hAnsiTheme="minorHAnsi" w:cstheme="minorBidi"/>
          <w:noProof/>
        </w:rPr>
      </w:pPr>
      <w:hyperlink w:anchor="_Toc229116088" w:history="1">
        <w:r w:rsidRPr="00224225">
          <w:rPr>
            <w:rStyle w:val="Hyperlink"/>
            <w:noProof/>
          </w:rPr>
          <w:t>6.1 The BRICS Reality Check: Institutional Prerequisites</w:t>
        </w:r>
        <w:r>
          <w:rPr>
            <w:noProof/>
            <w:webHidden/>
          </w:rPr>
          <w:tab/>
        </w:r>
        <w:r>
          <w:rPr>
            <w:noProof/>
            <w:webHidden/>
          </w:rPr>
          <w:fldChar w:fldCharType="begin"/>
        </w:r>
        <w:r>
          <w:rPr>
            <w:noProof/>
            <w:webHidden/>
          </w:rPr>
          <w:instrText xml:space="preserve"> PAGEREF _Toc229116088 \h </w:instrText>
        </w:r>
        <w:r>
          <w:rPr>
            <w:noProof/>
            <w:webHidden/>
          </w:rPr>
        </w:r>
        <w:r>
          <w:rPr>
            <w:noProof/>
            <w:webHidden/>
          </w:rPr>
          <w:fldChar w:fldCharType="separate"/>
        </w:r>
        <w:r>
          <w:rPr>
            <w:noProof/>
            <w:webHidden/>
          </w:rPr>
          <w:t>42</w:t>
        </w:r>
        <w:r>
          <w:rPr>
            <w:noProof/>
            <w:webHidden/>
          </w:rPr>
          <w:fldChar w:fldCharType="end"/>
        </w:r>
      </w:hyperlink>
    </w:p>
    <w:p w14:paraId="5F436D35" w14:textId="369058A2" w:rsidR="00F35CC1" w:rsidRDefault="00F35CC1">
      <w:pPr>
        <w:pStyle w:val="TOC2"/>
        <w:tabs>
          <w:tab w:val="right" w:leader="dot" w:pos="9350"/>
        </w:tabs>
        <w:rPr>
          <w:rFonts w:asciiTheme="minorHAnsi" w:hAnsiTheme="minorHAnsi" w:cstheme="minorBidi"/>
          <w:noProof/>
        </w:rPr>
      </w:pPr>
      <w:hyperlink w:anchor="_Toc229116089" w:history="1">
        <w:r w:rsidRPr="00224225">
          <w:rPr>
            <w:rStyle w:val="Hyperlink"/>
            <w:noProof/>
          </w:rPr>
          <w:t>6.2 The Fiscal Fourth Branch: Independent Debt Authorities</w:t>
        </w:r>
        <w:r>
          <w:rPr>
            <w:noProof/>
            <w:webHidden/>
          </w:rPr>
          <w:tab/>
        </w:r>
        <w:r>
          <w:rPr>
            <w:noProof/>
            <w:webHidden/>
          </w:rPr>
          <w:fldChar w:fldCharType="begin"/>
        </w:r>
        <w:r>
          <w:rPr>
            <w:noProof/>
            <w:webHidden/>
          </w:rPr>
          <w:instrText xml:space="preserve"> PAGEREF _Toc229116089 \h </w:instrText>
        </w:r>
        <w:r>
          <w:rPr>
            <w:noProof/>
            <w:webHidden/>
          </w:rPr>
        </w:r>
        <w:r>
          <w:rPr>
            <w:noProof/>
            <w:webHidden/>
          </w:rPr>
          <w:fldChar w:fldCharType="separate"/>
        </w:r>
        <w:r>
          <w:rPr>
            <w:noProof/>
            <w:webHidden/>
          </w:rPr>
          <w:t>43</w:t>
        </w:r>
        <w:r>
          <w:rPr>
            <w:noProof/>
            <w:webHidden/>
          </w:rPr>
          <w:fldChar w:fldCharType="end"/>
        </w:r>
      </w:hyperlink>
    </w:p>
    <w:p w14:paraId="38C1696A" w14:textId="073E97AE" w:rsidR="00F35CC1" w:rsidRDefault="00F35CC1">
      <w:pPr>
        <w:pStyle w:val="TOC2"/>
        <w:tabs>
          <w:tab w:val="right" w:leader="dot" w:pos="9350"/>
        </w:tabs>
        <w:rPr>
          <w:rFonts w:asciiTheme="minorHAnsi" w:hAnsiTheme="minorHAnsi" w:cstheme="minorBidi"/>
          <w:noProof/>
        </w:rPr>
      </w:pPr>
      <w:hyperlink w:anchor="_Toc229116090" w:history="1">
        <w:r w:rsidRPr="00224225">
          <w:rPr>
            <w:rStyle w:val="Hyperlink"/>
            <w:noProof/>
          </w:rPr>
          <w:t>6.3 The Cantillon Correction: In-Kind Wealth Recapture</w:t>
        </w:r>
        <w:r>
          <w:rPr>
            <w:noProof/>
            <w:webHidden/>
          </w:rPr>
          <w:tab/>
        </w:r>
        <w:r>
          <w:rPr>
            <w:noProof/>
            <w:webHidden/>
          </w:rPr>
          <w:fldChar w:fldCharType="begin"/>
        </w:r>
        <w:r>
          <w:rPr>
            <w:noProof/>
            <w:webHidden/>
          </w:rPr>
          <w:instrText xml:space="preserve"> PAGEREF _Toc229116090 \h </w:instrText>
        </w:r>
        <w:r>
          <w:rPr>
            <w:noProof/>
            <w:webHidden/>
          </w:rPr>
        </w:r>
        <w:r>
          <w:rPr>
            <w:noProof/>
            <w:webHidden/>
          </w:rPr>
          <w:fldChar w:fldCharType="separate"/>
        </w:r>
        <w:r>
          <w:rPr>
            <w:noProof/>
            <w:webHidden/>
          </w:rPr>
          <w:t>44</w:t>
        </w:r>
        <w:r>
          <w:rPr>
            <w:noProof/>
            <w:webHidden/>
          </w:rPr>
          <w:fldChar w:fldCharType="end"/>
        </w:r>
      </w:hyperlink>
    </w:p>
    <w:p w14:paraId="6EF5D535" w14:textId="480FD0CF" w:rsidR="00F35CC1" w:rsidRDefault="00F35CC1">
      <w:pPr>
        <w:pStyle w:val="TOC2"/>
        <w:tabs>
          <w:tab w:val="right" w:leader="dot" w:pos="9350"/>
        </w:tabs>
        <w:rPr>
          <w:rFonts w:asciiTheme="minorHAnsi" w:hAnsiTheme="minorHAnsi" w:cstheme="minorBidi"/>
          <w:noProof/>
        </w:rPr>
      </w:pPr>
      <w:hyperlink w:anchor="_Toc229116091" w:history="1">
        <w:r w:rsidRPr="00224225">
          <w:rPr>
            <w:rStyle w:val="Hyperlink"/>
            <w:noProof/>
          </w:rPr>
          <w:t>6.4 The Devaluation Dilemma</w:t>
        </w:r>
        <w:r>
          <w:rPr>
            <w:noProof/>
            <w:webHidden/>
          </w:rPr>
          <w:tab/>
        </w:r>
        <w:r>
          <w:rPr>
            <w:noProof/>
            <w:webHidden/>
          </w:rPr>
          <w:fldChar w:fldCharType="begin"/>
        </w:r>
        <w:r>
          <w:rPr>
            <w:noProof/>
            <w:webHidden/>
          </w:rPr>
          <w:instrText xml:space="preserve"> PAGEREF _Toc229116091 \h </w:instrText>
        </w:r>
        <w:r>
          <w:rPr>
            <w:noProof/>
            <w:webHidden/>
          </w:rPr>
        </w:r>
        <w:r>
          <w:rPr>
            <w:noProof/>
            <w:webHidden/>
          </w:rPr>
          <w:fldChar w:fldCharType="separate"/>
        </w:r>
        <w:r>
          <w:rPr>
            <w:noProof/>
            <w:webHidden/>
          </w:rPr>
          <w:t>44</w:t>
        </w:r>
        <w:r>
          <w:rPr>
            <w:noProof/>
            <w:webHidden/>
          </w:rPr>
          <w:fldChar w:fldCharType="end"/>
        </w:r>
      </w:hyperlink>
    </w:p>
    <w:p w14:paraId="680139F4" w14:textId="6D019097" w:rsidR="00F35CC1" w:rsidRDefault="00F35CC1">
      <w:pPr>
        <w:pStyle w:val="TOC2"/>
        <w:tabs>
          <w:tab w:val="right" w:leader="dot" w:pos="9350"/>
        </w:tabs>
        <w:rPr>
          <w:rFonts w:asciiTheme="minorHAnsi" w:hAnsiTheme="minorHAnsi" w:cstheme="minorBidi"/>
          <w:noProof/>
        </w:rPr>
      </w:pPr>
      <w:hyperlink w:anchor="_Toc229116092" w:history="1">
        <w:r w:rsidRPr="00224225">
          <w:rPr>
            <w:rStyle w:val="Hyperlink"/>
            <w:noProof/>
          </w:rPr>
          <w:t>6.5 Architecting a Multipolar Financial Structure</w:t>
        </w:r>
        <w:r>
          <w:rPr>
            <w:noProof/>
            <w:webHidden/>
          </w:rPr>
          <w:tab/>
        </w:r>
        <w:r>
          <w:rPr>
            <w:noProof/>
            <w:webHidden/>
          </w:rPr>
          <w:fldChar w:fldCharType="begin"/>
        </w:r>
        <w:r>
          <w:rPr>
            <w:noProof/>
            <w:webHidden/>
          </w:rPr>
          <w:instrText xml:space="preserve"> PAGEREF _Toc229116092 \h </w:instrText>
        </w:r>
        <w:r>
          <w:rPr>
            <w:noProof/>
            <w:webHidden/>
          </w:rPr>
        </w:r>
        <w:r>
          <w:rPr>
            <w:noProof/>
            <w:webHidden/>
          </w:rPr>
          <w:fldChar w:fldCharType="separate"/>
        </w:r>
        <w:r>
          <w:rPr>
            <w:noProof/>
            <w:webHidden/>
          </w:rPr>
          <w:t>44</w:t>
        </w:r>
        <w:r>
          <w:rPr>
            <w:noProof/>
            <w:webHidden/>
          </w:rPr>
          <w:fldChar w:fldCharType="end"/>
        </w:r>
      </w:hyperlink>
    </w:p>
    <w:p w14:paraId="12192E78" w14:textId="69CD7388" w:rsidR="00F35CC1" w:rsidRDefault="00F35CC1">
      <w:pPr>
        <w:pStyle w:val="TOC1"/>
        <w:tabs>
          <w:tab w:val="right" w:leader="dot" w:pos="9350"/>
        </w:tabs>
        <w:rPr>
          <w:rFonts w:asciiTheme="minorHAnsi" w:hAnsiTheme="minorHAnsi" w:cstheme="minorBidi"/>
          <w:noProof/>
        </w:rPr>
      </w:pPr>
      <w:hyperlink w:anchor="_Toc229116093" w:history="1">
        <w:r w:rsidRPr="00224225">
          <w:rPr>
            <w:rStyle w:val="Hyperlink"/>
            <w:noProof/>
          </w:rPr>
          <w:t>Chapter 7: Unanswered Questions and Systemic Blind Spots</w:t>
        </w:r>
        <w:r>
          <w:rPr>
            <w:noProof/>
            <w:webHidden/>
          </w:rPr>
          <w:tab/>
        </w:r>
        <w:r>
          <w:rPr>
            <w:noProof/>
            <w:webHidden/>
          </w:rPr>
          <w:fldChar w:fldCharType="begin"/>
        </w:r>
        <w:r>
          <w:rPr>
            <w:noProof/>
            <w:webHidden/>
          </w:rPr>
          <w:instrText xml:space="preserve"> PAGEREF _Toc229116093 \h </w:instrText>
        </w:r>
        <w:r>
          <w:rPr>
            <w:noProof/>
            <w:webHidden/>
          </w:rPr>
        </w:r>
        <w:r>
          <w:rPr>
            <w:noProof/>
            <w:webHidden/>
          </w:rPr>
          <w:fldChar w:fldCharType="separate"/>
        </w:r>
        <w:r>
          <w:rPr>
            <w:noProof/>
            <w:webHidden/>
          </w:rPr>
          <w:t>45</w:t>
        </w:r>
        <w:r>
          <w:rPr>
            <w:noProof/>
            <w:webHidden/>
          </w:rPr>
          <w:fldChar w:fldCharType="end"/>
        </w:r>
      </w:hyperlink>
    </w:p>
    <w:p w14:paraId="6B18697D" w14:textId="742C2505" w:rsidR="00F35CC1" w:rsidRDefault="00F35CC1">
      <w:pPr>
        <w:pStyle w:val="TOC2"/>
        <w:tabs>
          <w:tab w:val="right" w:leader="dot" w:pos="9350"/>
        </w:tabs>
        <w:rPr>
          <w:rFonts w:asciiTheme="minorHAnsi" w:hAnsiTheme="minorHAnsi" w:cstheme="minorBidi"/>
          <w:noProof/>
        </w:rPr>
      </w:pPr>
      <w:hyperlink w:anchor="_Toc229116094" w:history="1">
        <w:r w:rsidRPr="00224225">
          <w:rPr>
            <w:rStyle w:val="Hyperlink"/>
            <w:noProof/>
          </w:rPr>
          <w:t>7.1 The Holy Grail: Real-Time Multiplier Telemetry</w:t>
        </w:r>
        <w:r>
          <w:rPr>
            <w:noProof/>
            <w:webHidden/>
          </w:rPr>
          <w:tab/>
        </w:r>
        <w:r>
          <w:rPr>
            <w:noProof/>
            <w:webHidden/>
          </w:rPr>
          <w:fldChar w:fldCharType="begin"/>
        </w:r>
        <w:r>
          <w:rPr>
            <w:noProof/>
            <w:webHidden/>
          </w:rPr>
          <w:instrText xml:space="preserve"> PAGEREF _Toc229116094 \h </w:instrText>
        </w:r>
        <w:r>
          <w:rPr>
            <w:noProof/>
            <w:webHidden/>
          </w:rPr>
        </w:r>
        <w:r>
          <w:rPr>
            <w:noProof/>
            <w:webHidden/>
          </w:rPr>
          <w:fldChar w:fldCharType="separate"/>
        </w:r>
        <w:r>
          <w:rPr>
            <w:noProof/>
            <w:webHidden/>
          </w:rPr>
          <w:t>45</w:t>
        </w:r>
        <w:r>
          <w:rPr>
            <w:noProof/>
            <w:webHidden/>
          </w:rPr>
          <w:fldChar w:fldCharType="end"/>
        </w:r>
      </w:hyperlink>
    </w:p>
    <w:p w14:paraId="2293CD95" w14:textId="5F4A83CF" w:rsidR="00F35CC1" w:rsidRDefault="00F35CC1">
      <w:pPr>
        <w:pStyle w:val="TOC2"/>
        <w:tabs>
          <w:tab w:val="right" w:leader="dot" w:pos="9350"/>
        </w:tabs>
        <w:rPr>
          <w:rFonts w:asciiTheme="minorHAnsi" w:hAnsiTheme="minorHAnsi" w:cstheme="minorBidi"/>
          <w:noProof/>
        </w:rPr>
      </w:pPr>
      <w:hyperlink w:anchor="_Toc229116095" w:history="1">
        <w:r w:rsidRPr="00224225">
          <w:rPr>
            <w:rStyle w:val="Hyperlink"/>
            <w:noProof/>
          </w:rPr>
          <w:t>7.2 Mapping the Cantillon Aqueducts (The Beneficiary Graph)</w:t>
        </w:r>
        <w:r>
          <w:rPr>
            <w:noProof/>
            <w:webHidden/>
          </w:rPr>
          <w:tab/>
        </w:r>
        <w:r>
          <w:rPr>
            <w:noProof/>
            <w:webHidden/>
          </w:rPr>
          <w:fldChar w:fldCharType="begin"/>
        </w:r>
        <w:r>
          <w:rPr>
            <w:noProof/>
            <w:webHidden/>
          </w:rPr>
          <w:instrText xml:space="preserve"> PAGEREF _Toc229116095 \h </w:instrText>
        </w:r>
        <w:r>
          <w:rPr>
            <w:noProof/>
            <w:webHidden/>
          </w:rPr>
        </w:r>
        <w:r>
          <w:rPr>
            <w:noProof/>
            <w:webHidden/>
          </w:rPr>
          <w:fldChar w:fldCharType="separate"/>
        </w:r>
        <w:r>
          <w:rPr>
            <w:noProof/>
            <w:webHidden/>
          </w:rPr>
          <w:t>46</w:t>
        </w:r>
        <w:r>
          <w:rPr>
            <w:noProof/>
            <w:webHidden/>
          </w:rPr>
          <w:fldChar w:fldCharType="end"/>
        </w:r>
      </w:hyperlink>
    </w:p>
    <w:p w14:paraId="1B4299A2" w14:textId="0EEE4832" w:rsidR="00F35CC1" w:rsidRDefault="00F35CC1">
      <w:pPr>
        <w:pStyle w:val="TOC2"/>
        <w:tabs>
          <w:tab w:val="right" w:leader="dot" w:pos="9350"/>
        </w:tabs>
        <w:rPr>
          <w:rFonts w:asciiTheme="minorHAnsi" w:hAnsiTheme="minorHAnsi" w:cstheme="minorBidi"/>
          <w:noProof/>
        </w:rPr>
      </w:pPr>
      <w:hyperlink w:anchor="_Toc229116096" w:history="1">
        <w:r w:rsidRPr="00224225">
          <w:rPr>
            <w:rStyle w:val="Hyperlink"/>
            <w:noProof/>
          </w:rPr>
          <w:t>7.3 Zombie Capital and the "Too Big To Fail" Trap</w:t>
        </w:r>
        <w:r>
          <w:rPr>
            <w:noProof/>
            <w:webHidden/>
          </w:rPr>
          <w:tab/>
        </w:r>
        <w:r>
          <w:rPr>
            <w:noProof/>
            <w:webHidden/>
          </w:rPr>
          <w:fldChar w:fldCharType="begin"/>
        </w:r>
        <w:r>
          <w:rPr>
            <w:noProof/>
            <w:webHidden/>
          </w:rPr>
          <w:instrText xml:space="preserve"> PAGEREF _Toc229116096 \h </w:instrText>
        </w:r>
        <w:r>
          <w:rPr>
            <w:noProof/>
            <w:webHidden/>
          </w:rPr>
        </w:r>
        <w:r>
          <w:rPr>
            <w:noProof/>
            <w:webHidden/>
          </w:rPr>
          <w:fldChar w:fldCharType="separate"/>
        </w:r>
        <w:r>
          <w:rPr>
            <w:noProof/>
            <w:webHidden/>
          </w:rPr>
          <w:t>46</w:t>
        </w:r>
        <w:r>
          <w:rPr>
            <w:noProof/>
            <w:webHidden/>
          </w:rPr>
          <w:fldChar w:fldCharType="end"/>
        </w:r>
      </w:hyperlink>
    </w:p>
    <w:p w14:paraId="650CA0C9" w14:textId="4D7594F2" w:rsidR="00F35CC1" w:rsidRDefault="00F35CC1">
      <w:pPr>
        <w:pStyle w:val="TOC2"/>
        <w:tabs>
          <w:tab w:val="right" w:leader="dot" w:pos="9350"/>
        </w:tabs>
        <w:rPr>
          <w:rFonts w:asciiTheme="minorHAnsi" w:hAnsiTheme="minorHAnsi" w:cstheme="minorBidi"/>
          <w:noProof/>
        </w:rPr>
      </w:pPr>
      <w:hyperlink w:anchor="_Toc229116097" w:history="1">
        <w:r w:rsidRPr="00224225">
          <w:rPr>
            <w:rStyle w:val="Hyperlink"/>
            <w:noProof/>
          </w:rPr>
          <w:t>7.4 Synthetic Leverage and "Distilled Debt."</w:t>
        </w:r>
        <w:r>
          <w:rPr>
            <w:noProof/>
            <w:webHidden/>
          </w:rPr>
          <w:tab/>
        </w:r>
        <w:r>
          <w:rPr>
            <w:noProof/>
            <w:webHidden/>
          </w:rPr>
          <w:fldChar w:fldCharType="begin"/>
        </w:r>
        <w:r>
          <w:rPr>
            <w:noProof/>
            <w:webHidden/>
          </w:rPr>
          <w:instrText xml:space="preserve"> PAGEREF _Toc229116097 \h </w:instrText>
        </w:r>
        <w:r>
          <w:rPr>
            <w:noProof/>
            <w:webHidden/>
          </w:rPr>
        </w:r>
        <w:r>
          <w:rPr>
            <w:noProof/>
            <w:webHidden/>
          </w:rPr>
          <w:fldChar w:fldCharType="separate"/>
        </w:r>
        <w:r>
          <w:rPr>
            <w:noProof/>
            <w:webHidden/>
          </w:rPr>
          <w:t>46</w:t>
        </w:r>
        <w:r>
          <w:rPr>
            <w:noProof/>
            <w:webHidden/>
          </w:rPr>
          <w:fldChar w:fldCharType="end"/>
        </w:r>
      </w:hyperlink>
    </w:p>
    <w:p w14:paraId="30811D0E" w14:textId="553FF41E" w:rsidR="00F35CC1" w:rsidRDefault="00F35CC1">
      <w:pPr>
        <w:pStyle w:val="TOC2"/>
        <w:tabs>
          <w:tab w:val="right" w:leader="dot" w:pos="9350"/>
        </w:tabs>
        <w:rPr>
          <w:rFonts w:asciiTheme="minorHAnsi" w:hAnsiTheme="minorHAnsi" w:cstheme="minorBidi"/>
          <w:noProof/>
        </w:rPr>
      </w:pPr>
      <w:hyperlink w:anchor="_Toc229116098" w:history="1">
        <w:r w:rsidRPr="00224225">
          <w:rPr>
            <w:rStyle w:val="Hyperlink"/>
            <w:noProof/>
          </w:rPr>
          <w:t>7.5 Chronological Autopsies of the Variance Zones</w:t>
        </w:r>
        <w:r>
          <w:rPr>
            <w:noProof/>
            <w:webHidden/>
          </w:rPr>
          <w:tab/>
        </w:r>
        <w:r>
          <w:rPr>
            <w:noProof/>
            <w:webHidden/>
          </w:rPr>
          <w:fldChar w:fldCharType="begin"/>
        </w:r>
        <w:r>
          <w:rPr>
            <w:noProof/>
            <w:webHidden/>
          </w:rPr>
          <w:instrText xml:space="preserve"> PAGEREF _Toc229116098 \h </w:instrText>
        </w:r>
        <w:r>
          <w:rPr>
            <w:noProof/>
            <w:webHidden/>
          </w:rPr>
        </w:r>
        <w:r>
          <w:rPr>
            <w:noProof/>
            <w:webHidden/>
          </w:rPr>
          <w:fldChar w:fldCharType="separate"/>
        </w:r>
        <w:r>
          <w:rPr>
            <w:noProof/>
            <w:webHidden/>
          </w:rPr>
          <w:t>47</w:t>
        </w:r>
        <w:r>
          <w:rPr>
            <w:noProof/>
            <w:webHidden/>
          </w:rPr>
          <w:fldChar w:fldCharType="end"/>
        </w:r>
      </w:hyperlink>
    </w:p>
    <w:p w14:paraId="64447A59" w14:textId="352018FF" w:rsidR="00F35CC1" w:rsidRDefault="00F35CC1">
      <w:pPr>
        <w:pStyle w:val="TOC1"/>
        <w:tabs>
          <w:tab w:val="right" w:leader="dot" w:pos="9350"/>
        </w:tabs>
        <w:rPr>
          <w:rFonts w:asciiTheme="minorHAnsi" w:hAnsiTheme="minorHAnsi" w:cstheme="minorBidi"/>
          <w:noProof/>
        </w:rPr>
      </w:pPr>
      <w:hyperlink w:anchor="_Toc229116099" w:history="1">
        <w:r w:rsidRPr="00224225">
          <w:rPr>
            <w:rStyle w:val="Hyperlink"/>
            <w:noProof/>
          </w:rPr>
          <w:t>Chapter 8: Methodological Transparency and AI Integration</w:t>
        </w:r>
        <w:r>
          <w:rPr>
            <w:noProof/>
            <w:webHidden/>
          </w:rPr>
          <w:tab/>
        </w:r>
        <w:r>
          <w:rPr>
            <w:noProof/>
            <w:webHidden/>
          </w:rPr>
          <w:fldChar w:fldCharType="begin"/>
        </w:r>
        <w:r>
          <w:rPr>
            <w:noProof/>
            <w:webHidden/>
          </w:rPr>
          <w:instrText xml:space="preserve"> PAGEREF _Toc229116099 \h </w:instrText>
        </w:r>
        <w:r>
          <w:rPr>
            <w:noProof/>
            <w:webHidden/>
          </w:rPr>
        </w:r>
        <w:r>
          <w:rPr>
            <w:noProof/>
            <w:webHidden/>
          </w:rPr>
          <w:fldChar w:fldCharType="separate"/>
        </w:r>
        <w:r>
          <w:rPr>
            <w:noProof/>
            <w:webHidden/>
          </w:rPr>
          <w:t>47</w:t>
        </w:r>
        <w:r>
          <w:rPr>
            <w:noProof/>
            <w:webHidden/>
          </w:rPr>
          <w:fldChar w:fldCharType="end"/>
        </w:r>
      </w:hyperlink>
    </w:p>
    <w:p w14:paraId="3216A77D" w14:textId="6207D5B4" w:rsidR="00F35CC1" w:rsidRDefault="00F35CC1">
      <w:pPr>
        <w:pStyle w:val="TOC2"/>
        <w:tabs>
          <w:tab w:val="right" w:leader="dot" w:pos="9350"/>
        </w:tabs>
        <w:rPr>
          <w:rFonts w:asciiTheme="minorHAnsi" w:hAnsiTheme="minorHAnsi" w:cstheme="minorBidi"/>
          <w:noProof/>
        </w:rPr>
      </w:pPr>
      <w:hyperlink w:anchor="_Toc229116100" w:history="1">
        <w:r w:rsidRPr="00224225">
          <w:rPr>
            <w:rStyle w:val="Hyperlink"/>
            <w:noProof/>
          </w:rPr>
          <w:t>8.1 The Reality of "Vibecoding" the Econometrics</w:t>
        </w:r>
        <w:r>
          <w:rPr>
            <w:noProof/>
            <w:webHidden/>
          </w:rPr>
          <w:tab/>
        </w:r>
        <w:r>
          <w:rPr>
            <w:noProof/>
            <w:webHidden/>
          </w:rPr>
          <w:fldChar w:fldCharType="begin"/>
        </w:r>
        <w:r>
          <w:rPr>
            <w:noProof/>
            <w:webHidden/>
          </w:rPr>
          <w:instrText xml:space="preserve"> PAGEREF _Toc229116100 \h </w:instrText>
        </w:r>
        <w:r>
          <w:rPr>
            <w:noProof/>
            <w:webHidden/>
          </w:rPr>
        </w:r>
        <w:r>
          <w:rPr>
            <w:noProof/>
            <w:webHidden/>
          </w:rPr>
          <w:fldChar w:fldCharType="separate"/>
        </w:r>
        <w:r>
          <w:rPr>
            <w:noProof/>
            <w:webHidden/>
          </w:rPr>
          <w:t>47</w:t>
        </w:r>
        <w:r>
          <w:rPr>
            <w:noProof/>
            <w:webHidden/>
          </w:rPr>
          <w:fldChar w:fldCharType="end"/>
        </w:r>
      </w:hyperlink>
    </w:p>
    <w:p w14:paraId="2A242341" w14:textId="11C73940" w:rsidR="00F35CC1" w:rsidRDefault="00F35CC1">
      <w:pPr>
        <w:pStyle w:val="TOC2"/>
        <w:tabs>
          <w:tab w:val="right" w:leader="dot" w:pos="9350"/>
        </w:tabs>
        <w:rPr>
          <w:rFonts w:asciiTheme="minorHAnsi" w:hAnsiTheme="minorHAnsi" w:cstheme="minorBidi"/>
          <w:noProof/>
        </w:rPr>
      </w:pPr>
      <w:hyperlink w:anchor="_Toc229116101" w:history="1">
        <w:r w:rsidRPr="00224225">
          <w:rPr>
            <w:rStyle w:val="Hyperlink"/>
            <w:noProof/>
          </w:rPr>
          <w:t>8.2 The Academic Taboo and the Augmentation Paradigm</w:t>
        </w:r>
        <w:r>
          <w:rPr>
            <w:noProof/>
            <w:webHidden/>
          </w:rPr>
          <w:tab/>
        </w:r>
        <w:r>
          <w:rPr>
            <w:noProof/>
            <w:webHidden/>
          </w:rPr>
          <w:fldChar w:fldCharType="begin"/>
        </w:r>
        <w:r>
          <w:rPr>
            <w:noProof/>
            <w:webHidden/>
          </w:rPr>
          <w:instrText xml:space="preserve"> PAGEREF _Toc229116101 \h </w:instrText>
        </w:r>
        <w:r>
          <w:rPr>
            <w:noProof/>
            <w:webHidden/>
          </w:rPr>
        </w:r>
        <w:r>
          <w:rPr>
            <w:noProof/>
            <w:webHidden/>
          </w:rPr>
          <w:fldChar w:fldCharType="separate"/>
        </w:r>
        <w:r>
          <w:rPr>
            <w:noProof/>
            <w:webHidden/>
          </w:rPr>
          <w:t>48</w:t>
        </w:r>
        <w:r>
          <w:rPr>
            <w:noProof/>
            <w:webHidden/>
          </w:rPr>
          <w:fldChar w:fldCharType="end"/>
        </w:r>
      </w:hyperlink>
    </w:p>
    <w:p w14:paraId="47693AF9" w14:textId="523CFA10" w:rsidR="00F35CC1" w:rsidRDefault="00F35CC1">
      <w:pPr>
        <w:pStyle w:val="TOC2"/>
        <w:tabs>
          <w:tab w:val="right" w:leader="dot" w:pos="9350"/>
        </w:tabs>
        <w:rPr>
          <w:rFonts w:asciiTheme="minorHAnsi" w:hAnsiTheme="minorHAnsi" w:cstheme="minorBidi"/>
          <w:noProof/>
        </w:rPr>
      </w:pPr>
      <w:hyperlink w:anchor="_Toc229116102" w:history="1">
        <w:r w:rsidRPr="00224225">
          <w:rPr>
            <w:rStyle w:val="Hyperlink"/>
            <w:noProof/>
          </w:rPr>
          <w:t>8.3 Open Architecture and Peer Review</w:t>
        </w:r>
        <w:r>
          <w:rPr>
            <w:noProof/>
            <w:webHidden/>
          </w:rPr>
          <w:tab/>
        </w:r>
        <w:r>
          <w:rPr>
            <w:noProof/>
            <w:webHidden/>
          </w:rPr>
          <w:fldChar w:fldCharType="begin"/>
        </w:r>
        <w:r>
          <w:rPr>
            <w:noProof/>
            <w:webHidden/>
          </w:rPr>
          <w:instrText xml:space="preserve"> PAGEREF _Toc229116102 \h </w:instrText>
        </w:r>
        <w:r>
          <w:rPr>
            <w:noProof/>
            <w:webHidden/>
          </w:rPr>
        </w:r>
        <w:r>
          <w:rPr>
            <w:noProof/>
            <w:webHidden/>
          </w:rPr>
          <w:fldChar w:fldCharType="separate"/>
        </w:r>
        <w:r>
          <w:rPr>
            <w:noProof/>
            <w:webHidden/>
          </w:rPr>
          <w:t>48</w:t>
        </w:r>
        <w:r>
          <w:rPr>
            <w:noProof/>
            <w:webHidden/>
          </w:rPr>
          <w:fldChar w:fldCharType="end"/>
        </w:r>
      </w:hyperlink>
    </w:p>
    <w:p w14:paraId="2B082B70" w14:textId="4E76711C" w:rsidR="00F35CC1" w:rsidRDefault="00F35CC1">
      <w:pPr>
        <w:pStyle w:val="TOC2"/>
        <w:tabs>
          <w:tab w:val="right" w:leader="dot" w:pos="9350"/>
        </w:tabs>
        <w:rPr>
          <w:rFonts w:asciiTheme="minorHAnsi" w:hAnsiTheme="minorHAnsi" w:cstheme="minorBidi"/>
          <w:noProof/>
        </w:rPr>
      </w:pPr>
      <w:hyperlink w:anchor="_Toc229116103" w:history="1">
        <w:r w:rsidRPr="00224225">
          <w:rPr>
            <w:rStyle w:val="Hyperlink"/>
            <w:noProof/>
          </w:rPr>
          <w:t>8.4 A Pragmatic Acknowledgment</w:t>
        </w:r>
        <w:r>
          <w:rPr>
            <w:noProof/>
            <w:webHidden/>
          </w:rPr>
          <w:tab/>
        </w:r>
        <w:r>
          <w:rPr>
            <w:noProof/>
            <w:webHidden/>
          </w:rPr>
          <w:fldChar w:fldCharType="begin"/>
        </w:r>
        <w:r>
          <w:rPr>
            <w:noProof/>
            <w:webHidden/>
          </w:rPr>
          <w:instrText xml:space="preserve"> PAGEREF _Toc229116103 \h </w:instrText>
        </w:r>
        <w:r>
          <w:rPr>
            <w:noProof/>
            <w:webHidden/>
          </w:rPr>
        </w:r>
        <w:r>
          <w:rPr>
            <w:noProof/>
            <w:webHidden/>
          </w:rPr>
          <w:fldChar w:fldCharType="separate"/>
        </w:r>
        <w:r>
          <w:rPr>
            <w:noProof/>
            <w:webHidden/>
          </w:rPr>
          <w:t>48</w:t>
        </w:r>
        <w:r>
          <w:rPr>
            <w:noProof/>
            <w:webHidden/>
          </w:rPr>
          <w:fldChar w:fldCharType="end"/>
        </w:r>
      </w:hyperlink>
    </w:p>
    <w:p w14:paraId="73773E60" w14:textId="52168969" w:rsidR="00F35CC1" w:rsidRDefault="00F35CC1">
      <w:pPr>
        <w:pStyle w:val="TOC1"/>
        <w:tabs>
          <w:tab w:val="right" w:leader="dot" w:pos="9350"/>
        </w:tabs>
        <w:rPr>
          <w:rFonts w:asciiTheme="minorHAnsi" w:hAnsiTheme="minorHAnsi" w:cstheme="minorBidi"/>
          <w:noProof/>
        </w:rPr>
      </w:pPr>
      <w:hyperlink w:anchor="_Toc229116104" w:history="1">
        <w:r w:rsidRPr="00224225">
          <w:rPr>
            <w:rStyle w:val="Hyperlink"/>
            <w:noProof/>
          </w:rPr>
          <w:t>References</w:t>
        </w:r>
        <w:r>
          <w:rPr>
            <w:noProof/>
            <w:webHidden/>
          </w:rPr>
          <w:tab/>
        </w:r>
        <w:r>
          <w:rPr>
            <w:noProof/>
            <w:webHidden/>
          </w:rPr>
          <w:fldChar w:fldCharType="begin"/>
        </w:r>
        <w:r>
          <w:rPr>
            <w:noProof/>
            <w:webHidden/>
          </w:rPr>
          <w:instrText xml:space="preserve"> PAGEREF _Toc229116104 \h </w:instrText>
        </w:r>
        <w:r>
          <w:rPr>
            <w:noProof/>
            <w:webHidden/>
          </w:rPr>
        </w:r>
        <w:r>
          <w:rPr>
            <w:noProof/>
            <w:webHidden/>
          </w:rPr>
          <w:fldChar w:fldCharType="separate"/>
        </w:r>
        <w:r>
          <w:rPr>
            <w:noProof/>
            <w:webHidden/>
          </w:rPr>
          <w:t>49</w:t>
        </w:r>
        <w:r>
          <w:rPr>
            <w:noProof/>
            <w:webHidden/>
          </w:rPr>
          <w:fldChar w:fldCharType="end"/>
        </w:r>
      </w:hyperlink>
    </w:p>
    <w:p w14:paraId="40A0EF26" w14:textId="00752821" w:rsidR="00F35CC1" w:rsidRDefault="00F35CC1">
      <w:pPr>
        <w:pStyle w:val="TOC1"/>
        <w:tabs>
          <w:tab w:val="right" w:leader="dot" w:pos="9350"/>
        </w:tabs>
        <w:rPr>
          <w:rFonts w:asciiTheme="minorHAnsi" w:hAnsiTheme="minorHAnsi" w:cstheme="minorBidi"/>
          <w:noProof/>
        </w:rPr>
      </w:pPr>
      <w:hyperlink w:anchor="_Toc229116105" w:history="1">
        <w:r w:rsidRPr="00224225">
          <w:rPr>
            <w:rStyle w:val="Hyperlink"/>
            <w:noProof/>
          </w:rPr>
          <w:t>Acknowledgements</w:t>
        </w:r>
        <w:r>
          <w:rPr>
            <w:noProof/>
            <w:webHidden/>
          </w:rPr>
          <w:tab/>
        </w:r>
        <w:r>
          <w:rPr>
            <w:noProof/>
            <w:webHidden/>
          </w:rPr>
          <w:fldChar w:fldCharType="begin"/>
        </w:r>
        <w:r>
          <w:rPr>
            <w:noProof/>
            <w:webHidden/>
          </w:rPr>
          <w:instrText xml:space="preserve"> PAGEREF _Toc229116105 \h </w:instrText>
        </w:r>
        <w:r>
          <w:rPr>
            <w:noProof/>
            <w:webHidden/>
          </w:rPr>
        </w:r>
        <w:r>
          <w:rPr>
            <w:noProof/>
            <w:webHidden/>
          </w:rPr>
          <w:fldChar w:fldCharType="separate"/>
        </w:r>
        <w:r>
          <w:rPr>
            <w:noProof/>
            <w:webHidden/>
          </w:rPr>
          <w:t>51</w:t>
        </w:r>
        <w:r>
          <w:rPr>
            <w:noProof/>
            <w:webHidden/>
          </w:rPr>
          <w:fldChar w:fldCharType="end"/>
        </w:r>
      </w:hyperlink>
    </w:p>
    <w:p w14:paraId="0E72D2B9" w14:textId="76E90A28" w:rsidR="00F35CC1" w:rsidRDefault="00F35CC1" w:rsidP="00F35CC1">
      <w:pPr>
        <w:pStyle w:val="TOC3"/>
        <w:tabs>
          <w:tab w:val="right" w:leader="dot" w:pos="9350"/>
        </w:tabs>
        <w:ind w:left="0"/>
        <w:rPr>
          <w:rFonts w:asciiTheme="minorHAnsi" w:hAnsiTheme="minorHAnsi" w:cstheme="minorBidi"/>
          <w:noProof/>
        </w:rPr>
      </w:pPr>
      <w:hyperlink w:anchor="_Toc229116107" w:history="1">
        <w:r w:rsidRPr="00224225">
          <w:rPr>
            <w:rStyle w:val="Hyperlink"/>
            <w:rFonts w:eastAsiaTheme="majorEastAsia"/>
            <w:noProof/>
          </w:rPr>
          <w:t xml:space="preserve">Appendix </w:t>
        </w:r>
        <w:r w:rsidRPr="00224225">
          <w:rPr>
            <w:rStyle w:val="Hyperlink"/>
            <w:noProof/>
          </w:rPr>
          <w:t xml:space="preserve"> </w:t>
        </w:r>
        <w:r>
          <w:rPr>
            <w:noProof/>
            <w:webHidden/>
          </w:rPr>
          <w:tab/>
        </w:r>
        <w:r>
          <w:rPr>
            <w:noProof/>
            <w:webHidden/>
          </w:rPr>
          <w:fldChar w:fldCharType="begin"/>
        </w:r>
        <w:r>
          <w:rPr>
            <w:noProof/>
            <w:webHidden/>
          </w:rPr>
          <w:instrText xml:space="preserve"> PAGEREF _Toc229116107 \h </w:instrText>
        </w:r>
        <w:r>
          <w:rPr>
            <w:noProof/>
            <w:webHidden/>
          </w:rPr>
        </w:r>
        <w:r>
          <w:rPr>
            <w:noProof/>
            <w:webHidden/>
          </w:rPr>
          <w:fldChar w:fldCharType="separate"/>
        </w:r>
        <w:r>
          <w:rPr>
            <w:noProof/>
            <w:webHidden/>
          </w:rPr>
          <w:t>51</w:t>
        </w:r>
        <w:r>
          <w:rPr>
            <w:noProof/>
            <w:webHidden/>
          </w:rPr>
          <w:fldChar w:fldCharType="end"/>
        </w:r>
      </w:hyperlink>
    </w:p>
    <w:p w14:paraId="12E173DA" w14:textId="0D29A276" w:rsidR="00F35CC1" w:rsidRDefault="00F35CC1" w:rsidP="00F139F1">
      <w:pPr>
        <w:pStyle w:val="Heading1"/>
        <w:rPr>
          <w:rFonts w:eastAsia="Times New Roman"/>
          <w:b w:val="0"/>
          <w:kern w:val="0"/>
          <w:sz w:val="24"/>
          <w:szCs w:val="24"/>
          <w14:ligatures w14:val="none"/>
        </w:rPr>
      </w:pPr>
      <w:r>
        <w:rPr>
          <w:rFonts w:eastAsia="Times New Roman"/>
          <w:b w:val="0"/>
          <w:bCs/>
          <w:kern w:val="0"/>
          <w:sz w:val="36"/>
          <w14:ligatures w14:val="none"/>
        </w:rPr>
        <w:fldChar w:fldCharType="end"/>
      </w:r>
    </w:p>
    <w:p w14:paraId="094F6914" w14:textId="5EDE57F6" w:rsidR="00CF18B0" w:rsidRPr="00F139F1" w:rsidRDefault="00CF18B0" w:rsidP="00F139F1">
      <w:pPr>
        <w:pStyle w:val="Heading1"/>
      </w:pPr>
      <w:bookmarkStart w:id="11" w:name="_Toc229116043"/>
      <w:r w:rsidRPr="00F139F1">
        <w:t>Chapter 1: Introduction</w:t>
      </w:r>
      <w:bookmarkEnd w:id="11"/>
    </w:p>
    <w:p w14:paraId="467ED3B2" w14:textId="77777777" w:rsidR="00CF18B0" w:rsidRPr="007B550D" w:rsidRDefault="00CF18B0" w:rsidP="007B550D">
      <w:pPr>
        <w:pStyle w:val="Heading2"/>
      </w:pPr>
      <w:bookmarkStart w:id="12" w:name="_Toc229116044"/>
      <w:r w:rsidRPr="007B550D">
        <w:t>1.1 Background and Practical Motivation</w:t>
      </w:r>
      <w:bookmarkEnd w:id="12"/>
    </w:p>
    <w:p w14:paraId="0A8C2CA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Over the past four decades, the global financial system has experienced a fundamental transformation in its reliance on sovereign borrowing. Historically, sovereign debt was primarily utilized as an emergency mechanism, such as for funding wartime mobilizations or addressing severe recessionary gaps. In the present era, government debt has become a permanent and central component of modern economic policy frameworks.</w:t>
      </w:r>
    </w:p>
    <w:p w14:paraId="3E9AE0F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Sovereign debt is no longer a localized fiscal issue. A nation's debt burden is a primary determinant of its sovereign risk premium, currency valuation, and, by extension, its international trade competitiveness and cross-border capital flows (Krugman, 1988).</w:t>
      </w:r>
    </w:p>
    <w:p w14:paraId="56B4F75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practical motivation for this study arises from direct experience in processing macroeconomic data within the asset management sector, which has revealed prevailing structural trends. Modern central banks, particularly the United States Federal Reserve, now confront a macroeconomic trilemma.</w:t>
      </w:r>
    </w:p>
    <w:p w14:paraId="778274E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Central banks are managing a complex, multi-faceted mandate that requires balancing several conflicting objectives:</w:t>
      </w:r>
    </w:p>
    <w:p w14:paraId="62CB1AF4" w14:textId="77777777" w:rsidR="00CF18B0" w:rsidRPr="007B550D" w:rsidRDefault="00CF18B0" w:rsidP="007B550D">
      <w:pPr>
        <w:numPr>
          <w:ilvl w:val="0"/>
          <w:numId w:val="22"/>
        </w:numPr>
        <w:spacing w:after="0"/>
        <w:jc w:val="left"/>
        <w:rPr>
          <w:rFonts w:ascii="Times New Roman" w:hAnsi="Times New Roman" w:cs="Times New Roman"/>
        </w:rPr>
      </w:pPr>
      <w:r w:rsidRPr="007B550D">
        <w:rPr>
          <w:rFonts w:ascii="Times New Roman" w:hAnsi="Times New Roman" w:cs="Times New Roman"/>
          <w:b/>
          <w:bCs/>
        </w:rPr>
        <w:t>Pumping the real economy</w:t>
      </w:r>
      <w:r w:rsidRPr="007B550D">
        <w:rPr>
          <w:rFonts w:ascii="Times New Roman" w:hAnsi="Times New Roman" w:cs="Times New Roman"/>
        </w:rPr>
        <w:t xml:space="preserve"> to maximize employment.</w:t>
      </w:r>
    </w:p>
    <w:p w14:paraId="24D5F176" w14:textId="77777777" w:rsidR="00CF18B0" w:rsidRPr="007B550D" w:rsidRDefault="00CF18B0" w:rsidP="007B550D">
      <w:pPr>
        <w:numPr>
          <w:ilvl w:val="0"/>
          <w:numId w:val="22"/>
        </w:numPr>
        <w:spacing w:after="0"/>
        <w:jc w:val="left"/>
        <w:rPr>
          <w:rFonts w:ascii="Times New Roman" w:hAnsi="Times New Roman" w:cs="Times New Roman"/>
        </w:rPr>
      </w:pPr>
      <w:r w:rsidRPr="007B550D">
        <w:rPr>
          <w:rFonts w:ascii="Times New Roman" w:hAnsi="Times New Roman" w:cs="Times New Roman"/>
          <w:b/>
          <w:bCs/>
        </w:rPr>
        <w:t>Crushing inflation</w:t>
      </w:r>
      <w:r w:rsidRPr="007B550D">
        <w:rPr>
          <w:rFonts w:ascii="Times New Roman" w:hAnsi="Times New Roman" w:cs="Times New Roman"/>
        </w:rPr>
        <w:t xml:space="preserve"> to protect baseline purchasing power.</w:t>
      </w:r>
    </w:p>
    <w:p w14:paraId="3E9D0825" w14:textId="77777777" w:rsidR="00CF18B0" w:rsidRPr="007B550D" w:rsidRDefault="00CF18B0" w:rsidP="007B550D">
      <w:pPr>
        <w:numPr>
          <w:ilvl w:val="0"/>
          <w:numId w:val="22"/>
        </w:numPr>
        <w:spacing w:after="0"/>
        <w:jc w:val="left"/>
        <w:rPr>
          <w:rFonts w:ascii="Times New Roman" w:hAnsi="Times New Roman" w:cs="Times New Roman"/>
        </w:rPr>
      </w:pPr>
      <w:r w:rsidRPr="007B550D">
        <w:rPr>
          <w:rFonts w:ascii="Times New Roman" w:hAnsi="Times New Roman" w:cs="Times New Roman"/>
          <w:b/>
          <w:bCs/>
        </w:rPr>
        <w:t>Suppressing long-term interest rates</w:t>
      </w:r>
      <w:r w:rsidRPr="007B550D">
        <w:rPr>
          <w:rFonts w:ascii="Times New Roman" w:hAnsi="Times New Roman" w:cs="Times New Roman"/>
        </w:rPr>
        <w:t xml:space="preserve"> to prevent the sheer cost of servicing existing debt from choking out actual economic growth.</w:t>
      </w:r>
    </w:p>
    <w:p w14:paraId="294E49D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Managing this "impossible trinity" has become increasingly challenging in an era characterized by high leverage. Excessive reliance on debt-driven monetary tools within a constrained economic environment risks eroding trust in fiat currencies and may trigger inflation through both rising prices and declining purchasing power. Empirical evidence demonstrates that global economies cannot be sustained on perpetual credit, yet traditional fiscal frameworks offer few viable alternatives. The prevailing strategy of addressing debt problems through additional borrowing is becoming mathematically unsustainable.</w:t>
      </w:r>
    </w:p>
    <w:p w14:paraId="3B735AC7" w14:textId="77777777" w:rsidR="00CF18B0" w:rsidRPr="007B550D" w:rsidRDefault="00CF18B0" w:rsidP="007B550D">
      <w:pPr>
        <w:pStyle w:val="Heading2"/>
      </w:pPr>
      <w:bookmarkStart w:id="13" w:name="_Toc229116045"/>
      <w:r w:rsidRPr="007B550D">
        <w:t>1.2 Problem Statement: The Diminishing Marginal Returns of Debt</w:t>
      </w:r>
      <w:bookmarkEnd w:id="13"/>
    </w:p>
    <w:p w14:paraId="536E5B6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core problem addressed in this thesis is the theoretical fragmentation regarding the efficiency of debt as an economic stimulus. Modern economic policy is characterized by a fragile compromise between conflicting economic schools of thought:</w:t>
      </w:r>
    </w:p>
    <w:p w14:paraId="4BB694AE" w14:textId="77777777" w:rsidR="00CF18B0" w:rsidRPr="007B550D" w:rsidRDefault="00CF18B0" w:rsidP="007B550D">
      <w:pPr>
        <w:numPr>
          <w:ilvl w:val="0"/>
          <w:numId w:val="23"/>
        </w:numPr>
        <w:spacing w:after="0"/>
        <w:jc w:val="left"/>
        <w:rPr>
          <w:rFonts w:ascii="Times New Roman" w:hAnsi="Times New Roman" w:cs="Times New Roman"/>
        </w:rPr>
      </w:pPr>
      <w:r w:rsidRPr="007B550D">
        <w:rPr>
          <w:rFonts w:ascii="Times New Roman" w:hAnsi="Times New Roman" w:cs="Times New Roman"/>
          <w:b/>
          <w:bCs/>
        </w:rPr>
        <w:t>The Keynesian Paradigm:</w:t>
      </w:r>
      <w:r w:rsidRPr="007B550D">
        <w:rPr>
          <w:rFonts w:ascii="Times New Roman" w:hAnsi="Times New Roman" w:cs="Times New Roman"/>
        </w:rPr>
        <w:t xml:space="preserve"> Advocates for counter-cyclical deficit spending to stimulate aggregate demand. They operate on the assumption that the multiplier effect of borrowed capital will naturally outpace the cost of the debt itself (Keynes, 1936).</w:t>
      </w:r>
    </w:p>
    <w:p w14:paraId="3672AB82" w14:textId="77777777" w:rsidR="00CF18B0" w:rsidRPr="007B550D" w:rsidRDefault="00CF18B0" w:rsidP="007B550D">
      <w:pPr>
        <w:numPr>
          <w:ilvl w:val="0"/>
          <w:numId w:val="23"/>
        </w:numPr>
        <w:spacing w:after="0"/>
        <w:jc w:val="left"/>
        <w:rPr>
          <w:rFonts w:ascii="Times New Roman" w:hAnsi="Times New Roman" w:cs="Times New Roman"/>
        </w:rPr>
      </w:pPr>
      <w:r w:rsidRPr="007B550D">
        <w:rPr>
          <w:rFonts w:ascii="Times New Roman" w:hAnsi="Times New Roman" w:cs="Times New Roman"/>
          <w:b/>
          <w:bCs/>
        </w:rPr>
        <w:t>Classical and Monetarist Orthodoxy:</w:t>
      </w:r>
      <w:r w:rsidRPr="007B550D">
        <w:rPr>
          <w:rFonts w:ascii="Times New Roman" w:hAnsi="Times New Roman" w:cs="Times New Roman"/>
        </w:rPr>
        <w:t xml:space="preserve"> The old-liberal argument for tight monetary policy and fiscal restraint, positing that excessive debt crowds out private investment and destabilizes long-term economic stability (Friedman, 1968).</w:t>
      </w:r>
    </w:p>
    <w:p w14:paraId="682A5AF6" w14:textId="77777777" w:rsidR="00CF18B0" w:rsidRPr="007B550D" w:rsidRDefault="00CF18B0" w:rsidP="007B550D">
      <w:pPr>
        <w:numPr>
          <w:ilvl w:val="0"/>
          <w:numId w:val="23"/>
        </w:numPr>
        <w:spacing w:after="0"/>
        <w:jc w:val="left"/>
        <w:rPr>
          <w:rFonts w:ascii="Times New Roman" w:hAnsi="Times New Roman" w:cs="Times New Roman"/>
        </w:rPr>
      </w:pPr>
      <w:r w:rsidRPr="007B550D">
        <w:rPr>
          <w:rFonts w:ascii="Times New Roman" w:hAnsi="Times New Roman" w:cs="Times New Roman"/>
          <w:b/>
          <w:bCs/>
        </w:rPr>
        <w:t>Neoliberal and Institutional Synthesis:</w:t>
      </w:r>
      <w:r w:rsidRPr="007B550D">
        <w:rPr>
          <w:rFonts w:ascii="Times New Roman" w:hAnsi="Times New Roman" w:cs="Times New Roman"/>
        </w:rPr>
        <w:t xml:space="preserve"> Suggests that debt can be a highly effective growth tool, but primarily when capital is cheap and fiscal space is abundant (Ostry et al., 2010). If it isn't, this school argues that leverage must be accompanied by deep structural and institutional market easing to generate real development (Acemoglu &amp; Robinson, 2012).</w:t>
      </w:r>
    </w:p>
    <w:p w14:paraId="3BF08D2C" w14:textId="77777777" w:rsidR="00CF18B0" w:rsidRPr="007B550D" w:rsidRDefault="00CF18B0" w:rsidP="007B550D">
      <w:pPr>
        <w:numPr>
          <w:ilvl w:val="0"/>
          <w:numId w:val="23"/>
        </w:numPr>
        <w:spacing w:after="0"/>
        <w:jc w:val="left"/>
        <w:rPr>
          <w:rFonts w:ascii="Times New Roman" w:hAnsi="Times New Roman" w:cs="Times New Roman"/>
        </w:rPr>
      </w:pPr>
      <w:r w:rsidRPr="007B550D">
        <w:rPr>
          <w:rFonts w:ascii="Times New Roman" w:hAnsi="Times New Roman" w:cs="Times New Roman"/>
          <w:b/>
          <w:bCs/>
        </w:rPr>
        <w:t>The Modern Distributive Critique:</w:t>
      </w:r>
      <w:r w:rsidRPr="007B550D">
        <w:rPr>
          <w:rFonts w:ascii="Times New Roman" w:hAnsi="Times New Roman" w:cs="Times New Roman"/>
        </w:rPr>
        <w:t xml:space="preserve"> Recently, left-leaning economists have introduced a critical new dimension to the debate, arguing that debt is the primary engine of modern wealth concentration. Scholars argue that the financialization of sovereign debt disproportionately funnels capital into the hands of asset-owning elites, actively exacerbating inequality rather than generating broad economic stimulus (Piketty, 2014; Saez &amp; Zucman, 2016).</w:t>
      </w:r>
    </w:p>
    <w:p w14:paraId="1664A9D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This study contends that the foundational assumption of modern fiscal policy—that increased borrowing automatically generates economic value—is fundamentally flawed. The central hypothesis posits that the global economy has entered a phase of diminishing marginal returns on </w:t>
      </w:r>
      <w:r w:rsidRPr="007B550D">
        <w:rPr>
          <w:rFonts w:ascii="Times New Roman" w:hAnsi="Times New Roman" w:cs="Times New Roman"/>
        </w:rPr>
        <w:lastRenderedPageBreak/>
        <w:t>debt, wherein higher leverage yields progressively less GDP growth and simultaneously accelerates elite wealth capture, irrespective of a nation's institutional or developmental context.</w:t>
      </w:r>
    </w:p>
    <w:p w14:paraId="2ED4D402" w14:textId="77777777" w:rsidR="00CF18B0" w:rsidRPr="007B550D" w:rsidRDefault="00CF18B0" w:rsidP="007B550D">
      <w:pPr>
        <w:pStyle w:val="Heading2"/>
      </w:pPr>
      <w:bookmarkStart w:id="14" w:name="_Toc229116046"/>
      <w:r w:rsidRPr="007B550D">
        <w:t>1.3 Research Objectives and Questions</w:t>
      </w:r>
      <w:bookmarkEnd w:id="14"/>
    </w:p>
    <w:p w14:paraId="35D612F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address the ideological fragmentation outlined above, this thesis seeks empirical evidence to quantify the precise mathematical limits of debt efficiency. Moving beyond theoretical debates, the study employs advanced dynamic panel data econometrics on a dataset of developed (OECD) and developing (BRICS) economies from 1995 to 2022 to pursue three core objectives. The first objective is to empirically test the traditional Reinhart-Rogoff hypothesis (Reinhart &amp; Rogoff, 2010), aiming to calculate the exact, data-driven thresholds at which sovereign debt transitions from a macroeconomic stimulant to a structural constraint.</w:t>
      </w:r>
    </w:p>
    <w:p w14:paraId="70A2571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Objective 2: Quantifying "Elite Capture."</w:t>
      </w:r>
      <w:r w:rsidRPr="007B550D">
        <w:rPr>
          <w:rFonts w:ascii="Times New Roman" w:hAnsi="Times New Roman" w:cs="Times New Roman"/>
        </w:rPr>
        <w:t xml:space="preserve"> The definition of debt "efficiency" is expanded beyond baseline GDP. An "Elite Capture Ratio" is developed to calculate the threshold at which sovereign borrowing accelerates the transfer of wealth from the bottom 50% to the top 10% of asset owners.</w:t>
      </w:r>
    </w:p>
    <w:p w14:paraId="1EF3BA2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Objective 3: Mapping Dynamic Regimes.</w:t>
      </w:r>
      <w:r w:rsidRPr="007B550D">
        <w:rPr>
          <w:rFonts w:ascii="Times New Roman" w:hAnsi="Times New Roman" w:cs="Times New Roman"/>
        </w:rPr>
        <w:t xml:space="preserve"> The analysis examines how a nation's capacity to absorb debt fluctuates over time. Sovereign debt capacity is treated as a dynamic variable, expanding during global macroeconomic crises (such as the 2008 Financial Crisis) and contracting during periods of stability.</w:t>
      </w:r>
    </w:p>
    <w:p w14:paraId="0739A89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Primary Research Question:</w:t>
      </w:r>
      <w:r w:rsidRPr="007B550D">
        <w:rPr>
          <w:rFonts w:ascii="Times New Roman" w:hAnsi="Times New Roman" w:cs="Times New Roman"/>
        </w:rPr>
        <w:t xml:space="preserve"> At what precise thresholds does sovereign debt stop functioning as an efficient macroeconomic stimulus, and at what point does it explicitly transition into a mechanism for wealth concentration across differing institutional regimes (OECD vs. BRICS)?</w:t>
      </w:r>
    </w:p>
    <w:p w14:paraId="4A0464D8" w14:textId="77777777" w:rsidR="00CF18B0" w:rsidRPr="007B550D" w:rsidRDefault="00CF18B0" w:rsidP="007B550D">
      <w:pPr>
        <w:pStyle w:val="Heading2"/>
      </w:pPr>
      <w:bookmarkStart w:id="15" w:name="_Toc229116047"/>
      <w:r w:rsidRPr="007B550D">
        <w:t>1.4 Academic and Practical Significance</w:t>
      </w:r>
      <w:bookmarkEnd w:id="15"/>
    </w:p>
    <w:p w14:paraId="259D85B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From an academic perspective, this thesis advocates for a fundamental conceptual shift in the categorization of leverage within the economic sciences. Drawing a parallel to the emergence of "Complexity Studies" as an interdisciplinary field, it proposes the establishment of "Debt Studies" as a distinct discipline. Sovereign debt should no longer be considered solely a sub-topic of fiscal policy; it now functions as an independent mechanism influencing international trade flows, monetary stability, and wealth distribution. Analyzing sovereign debt as a holistic and interconnected system is essential for comprehending the broader consequences of global leverage.</w:t>
      </w:r>
    </w:p>
    <w:p w14:paraId="271F8FC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From a practical standpoint, this research offers critical, data-driven policy implications for both emerging and advanced economies. For emerging and developing economies (the BRICS bloc), it identifies strict institutional limits on debt capacity, providing empirical caution against the uncritical adoption of Keynesian stimulus strategies. For advanced economies (the OECD), it underscores the significant long-term social costs associated with maintaining prolonged, high-leverage fiscal regimes.</w:t>
      </w:r>
    </w:p>
    <w:p w14:paraId="00DAA387" w14:textId="77777777" w:rsidR="00CF18B0" w:rsidRPr="007B550D" w:rsidRDefault="00CF18B0" w:rsidP="007B550D">
      <w:pPr>
        <w:pStyle w:val="Heading2"/>
      </w:pPr>
      <w:bookmarkStart w:id="16" w:name="_Toc229116048"/>
      <w:r w:rsidRPr="007B550D">
        <w:t>1.5 Structure of the Thesis</w:t>
      </w:r>
      <w:bookmarkEnd w:id="16"/>
    </w:p>
    <w:p w14:paraId="5EC01F4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remainder of this thesis is organized to systematically develop the central argument:</w:t>
      </w:r>
    </w:p>
    <w:p w14:paraId="0B7D9BB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2 (Literature Review):</w:t>
      </w:r>
      <w:r w:rsidRPr="007B550D">
        <w:rPr>
          <w:rFonts w:ascii="Times New Roman" w:hAnsi="Times New Roman" w:cs="Times New Roman"/>
        </w:rPr>
        <w:t xml:space="preserve"> A comprehensive mapping of the existing academic battlefield regarding debt, international trade, and wealth inequality.</w:t>
      </w:r>
    </w:p>
    <w:p w14:paraId="6CCBE9D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3 (The Current Situation):</w:t>
      </w:r>
      <w:r w:rsidRPr="007B550D">
        <w:rPr>
          <w:rFonts w:ascii="Times New Roman" w:hAnsi="Times New Roman" w:cs="Times New Roman"/>
        </w:rPr>
        <w:t xml:space="preserve"> An outline of the modern sovereign debt landscape, introducing the conceptual framework of Dynamic Threshold Regimes.</w:t>
      </w:r>
    </w:p>
    <w:p w14:paraId="65D6AA9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4 (Methodology):</w:t>
      </w:r>
      <w:r w:rsidRPr="007B550D">
        <w:rPr>
          <w:rFonts w:ascii="Times New Roman" w:hAnsi="Times New Roman" w:cs="Times New Roman"/>
        </w:rPr>
        <w:t xml:space="preserve"> A detailed breakdown of the quantitative engine driving this research. This covers data aggregation, Difference GMM, and Panel Threshold specifications (the heavy econometric lifting).</w:t>
      </w:r>
    </w:p>
    <w:p w14:paraId="775AE8E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5 (Results):</w:t>
      </w:r>
      <w:r w:rsidRPr="007B550D">
        <w:rPr>
          <w:rFonts w:ascii="Times New Roman" w:hAnsi="Times New Roman" w:cs="Times New Roman"/>
        </w:rPr>
        <w:t xml:space="preserve"> The presentation of the empirical data. This reveals the exact, mathematically calculated tipping points for both GDP stagnation and the Elite Capture Ratio.</w:t>
      </w:r>
    </w:p>
    <w:p w14:paraId="75A69AE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6 (Conclusion and Policy):</w:t>
      </w:r>
      <w:r w:rsidRPr="007B550D">
        <w:rPr>
          <w:rFonts w:ascii="Times New Roman" w:hAnsi="Times New Roman" w:cs="Times New Roman"/>
        </w:rPr>
        <w:t xml:space="preserve"> Robust, actionable policy recommendations tailored specifically for both developed and developing economies trying to navigate a rapidly narrowing fiscal window.</w:t>
      </w:r>
    </w:p>
    <w:p w14:paraId="13922CE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7 (Unanswered Questions and Blind Spots):</w:t>
      </w:r>
      <w:r w:rsidRPr="007B550D">
        <w:rPr>
          <w:rFonts w:ascii="Times New Roman" w:hAnsi="Times New Roman" w:cs="Times New Roman"/>
        </w:rPr>
        <w:t xml:space="preserve"> Every rigorous analysis needs a risk slide. This chapter explicitly maps out the structural unknowns, limitations, and macroeconomic variables that our current models simply could not digest.</w:t>
      </w:r>
    </w:p>
    <w:p w14:paraId="69D0387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Chapter 8 (Methodological Transparency and AI Integration):</w:t>
      </w:r>
      <w:r w:rsidRPr="007B550D">
        <w:rPr>
          <w:rFonts w:ascii="Times New Roman" w:hAnsi="Times New Roman" w:cs="Times New Roman"/>
        </w:rPr>
        <w:t xml:space="preserve"> A candid breakdown of how artificial intelligence was utilized in this research. Pretending LLMs aren't heavily involved in modern data processing and structural drafting is just academic denial, so this section lays out exactly how these tools served as an analytical co-pilot.</w:t>
      </w:r>
    </w:p>
    <w:p w14:paraId="7412CB59" w14:textId="77777777" w:rsidR="00CF18B0" w:rsidRPr="007B550D" w:rsidRDefault="00CF18B0" w:rsidP="007B550D">
      <w:pPr>
        <w:pStyle w:val="Heading1"/>
      </w:pPr>
      <w:bookmarkStart w:id="17" w:name="_Toc229116049"/>
      <w:r w:rsidRPr="007B550D">
        <w:t>Chapter 2: Literature Review and the Evolution of the Debt Trap</w:t>
      </w:r>
      <w:bookmarkEnd w:id="17"/>
    </w:p>
    <w:p w14:paraId="1010164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A rigorous literature review extends beyond listing sources; it traces the intellectual developments that have shaped the current macroeconomic context. Academic discourse on sovereign debt, fiscal </w:t>
      </w:r>
      <w:r w:rsidRPr="007B550D">
        <w:rPr>
          <w:rFonts w:ascii="Times New Roman" w:hAnsi="Times New Roman" w:cs="Times New Roman"/>
        </w:rPr>
        <w:lastRenderedPageBreak/>
        <w:t>multipliers, and wealth distribution has evolved from the theoretical optimism of the 1930s to the pragmatic skepticism prevalent today. To understand the threshold event horizons modeled in this thesis, it is necessary to first deconstruct the legacy frameworks that inform current central bank policy.</w:t>
      </w:r>
    </w:p>
    <w:p w14:paraId="5433B939" w14:textId="77777777" w:rsidR="00CF18B0" w:rsidRPr="007B550D" w:rsidRDefault="00CF18B0" w:rsidP="007B550D">
      <w:pPr>
        <w:pStyle w:val="Heading2"/>
      </w:pPr>
      <w:bookmarkStart w:id="18" w:name="_Toc229116050"/>
      <w:r w:rsidRPr="007B550D">
        <w:t>2.1 The Keynesian Hangover and Multiplier Decay</w:t>
      </w:r>
      <w:bookmarkEnd w:id="18"/>
    </w:p>
    <w:p w14:paraId="5F559D3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The modern justification for infinite sovereign leverage begins, inevitably, with John Maynard Keynes. In </w:t>
      </w:r>
      <w:r w:rsidRPr="007B550D">
        <w:rPr>
          <w:rFonts w:ascii="Times New Roman" w:hAnsi="Times New Roman" w:cs="Times New Roman"/>
          <w:i/>
          <w:iCs/>
        </w:rPr>
        <w:t>The General Theory of Employment, Interest, and Money</w:t>
      </w:r>
      <w:r w:rsidRPr="007B550D">
        <w:rPr>
          <w:rFonts w:ascii="Times New Roman" w:hAnsi="Times New Roman" w:cs="Times New Roman"/>
        </w:rPr>
        <w:t xml:space="preserve"> (Keynes, 1936), the foundational argument was established: during deep recessionary gaps, governments must issue debt to stimulate aggregate demand.</w:t>
      </w:r>
    </w:p>
    <w:p w14:paraId="727D3B3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 key challenge arises from modern policymakers transforming a crisis-management tool into a permanent operational baseline. The assumption that government spending inherently produces a positive return—the fiscal multiplier—has become increasingly inconsistent with empirical data. Milton Friedman highlighted the limitations of this approach, emphasizing the long-term structural risks associated with exclusive reliance on demand-side monetary policy (Friedman, 1968).</w:t>
      </w:r>
    </w:p>
    <w:p w14:paraId="4954BC7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More recently, empirical research has brutally quantified the decay of this multiplier. Ilzetzki, Mendoza, and Végh (2013) demonstrated that fiscal multipliers are highly dependent on the economic environment, noting that in highly indebted countries the multiplier frequently drops to zero or even turns negative. When a country is saturated with liabilities, it enters a state of "debt overhang" (Krugman, 1988), in which the anticipated future tax burden of servicing new debt completely crowds out private investment. Furthermore, the IMF's internal analyses on "fiscal space" (Ostry et al., 2010) acknowledge that an economy's capacity to absorb debt without triggering market panic is finite and non-linear. The Keynesian free lunch has a mathematically defined expiration date.</w:t>
      </w:r>
    </w:p>
    <w:p w14:paraId="52CDF545" w14:textId="77777777" w:rsidR="00CF18B0" w:rsidRPr="007B550D" w:rsidRDefault="00CF18B0" w:rsidP="007B550D">
      <w:pPr>
        <w:pStyle w:val="Heading2"/>
      </w:pPr>
      <w:bookmarkStart w:id="19" w:name="_Toc229116051"/>
      <w:r w:rsidRPr="007B550D">
        <w:t>2.2 The Reinhart-Rogoff Maginot Line</w:t>
      </w:r>
      <w:bookmarkEnd w:id="19"/>
    </w:p>
    <w:p w14:paraId="4247371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If Keynes built the engine, Carmen Reinhart and Kenneth Rogoff were the first to formally map the brick wall. In their seminal paper </w:t>
      </w:r>
      <w:r w:rsidRPr="007B550D">
        <w:rPr>
          <w:rFonts w:ascii="Times New Roman" w:hAnsi="Times New Roman" w:cs="Times New Roman"/>
          <w:i/>
          <w:iCs/>
        </w:rPr>
        <w:t>Growth in a Time of Debt</w:t>
      </w:r>
      <w:r w:rsidRPr="007B550D">
        <w:rPr>
          <w:rFonts w:ascii="Times New Roman" w:hAnsi="Times New Roman" w:cs="Times New Roman"/>
        </w:rPr>
        <w:t xml:space="preserve"> (Reinhart &amp; Rogoff, 2010), they analyzed centuries of financial data to posit a stark threshold: once sovereign debt exceeds 90% of a nation's GDP, median economic growth drops off a cliff.</w:t>
      </w:r>
    </w:p>
    <w:p w14:paraId="4118BA0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This paper became the controversial bedrock of post-2008 austerity debates. However, from a modern data science perspective, the 90% rule was treated too much like a static Maginot Line. The academic world spent a decade fighting over Excel spreadsheet errors and exactitude, completely missing the broader structural reality.</w:t>
      </w:r>
    </w:p>
    <w:p w14:paraId="6CA58E7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Reinhart and Rogoff were directionally correct, but methodologically constrained. They treated the 90% mark as a universal cliff-edge across completely different institutional environments. As we demonstrate in this thesis, deploying dynamic panel threshold models (Hansen, 1999) reveals that the tipping point is actually a moving target. It triggers much earlier in emerging markets and manifests as a highly volatile "transition zone" rather than a single, static boundary.</w:t>
      </w:r>
    </w:p>
    <w:p w14:paraId="26581320" w14:textId="77777777" w:rsidR="00CF18B0" w:rsidRPr="007B550D" w:rsidRDefault="00CF18B0" w:rsidP="007B550D">
      <w:pPr>
        <w:pStyle w:val="Heading2"/>
      </w:pPr>
      <w:bookmarkStart w:id="20" w:name="_Toc229116052"/>
      <w:r w:rsidRPr="007B550D">
        <w:t>2.3 The Liquidity Funnel: Piketty, Cantillon, and Elite Capture</w:t>
      </w:r>
      <w:bookmarkEnd w:id="20"/>
    </w:p>
    <w:p w14:paraId="1BE271A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While the macroeconomists were arguing over GDP growth, a separate camp was tracking where all the printed liquidity was actually settling. To understand the Elite Capture Ratio modeled in this paper, we must bridge sovereign debt with distributive inequality.</w:t>
      </w:r>
    </w:p>
    <w:p w14:paraId="592E713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foundational blueprint for this is the Cantillon effect, first outlined by Richard Cantillon in the 18th century (</w:t>
      </w:r>
      <w:r w:rsidRPr="007B550D">
        <w:rPr>
          <w:rFonts w:ascii="Times New Roman" w:hAnsi="Times New Roman" w:cs="Times New Roman"/>
          <w:i/>
          <w:iCs/>
        </w:rPr>
        <w:t>Essai sur la Nature du Commerce en Général</w:t>
      </w:r>
      <w:r w:rsidRPr="007B550D">
        <w:rPr>
          <w:rFonts w:ascii="Times New Roman" w:hAnsi="Times New Roman" w:cs="Times New Roman"/>
        </w:rPr>
        <w:t>, 1755). Cantillon observed that new money entering an economy does not distribute evenly; it disproportionately enriches those closest to the source of issuance, while the broader public merely absorbs the resulting inflation.</w:t>
      </w:r>
    </w:p>
    <w:p w14:paraId="65B99C7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 the era of quantitative easing, this dynamic went nuclear. Thomas Piketty brought the math into the modern era, demonstrating that the rate of return on capital structurally outpaces baseline economic growth (Piketty, 2014). This was further empirically reinforced by Saez and Zucman (2016), who mapped the aggressive upward consolidation of wealth in the United States over the last century.</w:t>
      </w:r>
    </w:p>
    <w:p w14:paraId="1CB3C95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However, the definitive link tying central bank policy directly to this elite capture was formalized by the Bank for International Settlements. Domanski, Michell, and Scatena (2016) explicitly showed how unconventional monetary policy and cheap sovereign debt hyperinflate asset prices (equities and real estate), acting as a frictionless wealth transfer mechanism to the top decile.</w:t>
      </w:r>
    </w:p>
    <w:p w14:paraId="383FAEC0" w14:textId="77777777" w:rsidR="00CF18B0" w:rsidRPr="007B550D" w:rsidRDefault="00CF18B0" w:rsidP="007B550D">
      <w:pPr>
        <w:pStyle w:val="Heading2"/>
      </w:pPr>
      <w:bookmarkStart w:id="21" w:name="_Toc229116053"/>
      <w:r w:rsidRPr="007B550D">
        <w:t>2.4 Institutional Decay and Zombie Capital</w:t>
      </w:r>
      <w:bookmarkEnd w:id="21"/>
    </w:p>
    <w:p w14:paraId="7E1FD2A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Why does the debt threshold trigger at 22% for BRICS nations but drift past 100% for the Advanced OECD? The literature points to two distinct phenomena: institutional gravity and zombie lending.</w:t>
      </w:r>
    </w:p>
    <w:p w14:paraId="25E1B89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For emerging economies, Acemoglu and Robinson (</w:t>
      </w:r>
      <w:r w:rsidRPr="007B550D">
        <w:rPr>
          <w:rFonts w:ascii="Times New Roman" w:hAnsi="Times New Roman" w:cs="Times New Roman"/>
          <w:i/>
          <w:iCs/>
        </w:rPr>
        <w:t>Why Nations Fail</w:t>
      </w:r>
      <w:r w:rsidRPr="007B550D">
        <w:rPr>
          <w:rFonts w:ascii="Times New Roman" w:hAnsi="Times New Roman" w:cs="Times New Roman"/>
        </w:rPr>
        <w:t>, 2012) provide the answer. High leverage requires high institutional trust. Extractive political regimes with weak property rights and poor legal enforcement cannot efficiently deploy capital; the sovereign risk premium suffocates the investment before the multiplier can take effect.</w:t>
      </w:r>
    </w:p>
    <w:p w14:paraId="5F7299C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Conversely, in advanced economies, the damage occurs later but is equally destructive. By continuously rolling over cheap debt, mature economies actively avoid the necessary pain of "creative destruction"—a concept famously championed by Joseph Schumpeter (1942). By analyzing Japan's lost decades, Caballero, Hoshi, and Kashyap (2008) codified the result of this avoidance: the rise of "zombie companies." Rather than letting failing entities collapse and clear the board for new innovation, highly leveraged governments effectively put the corporate sector on life support, tying up massive amounts of capital just to service existing debt.</w:t>
      </w:r>
    </w:p>
    <w:p w14:paraId="4A82078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A synthesis of this literature reveals a clear narrative: unlimited sovereign debt does not generate economic growth. Instead, it inhibits creative destruction among less competitive entities and facilitates the concentration of asset wealth among the top decile, ultimately stalling the broader macroeconomic system. </w:t>
      </w:r>
    </w:p>
    <w:p w14:paraId="79670A79" w14:textId="77777777" w:rsidR="00CF18B0" w:rsidRPr="007B550D" w:rsidRDefault="00CF18B0" w:rsidP="007B550D">
      <w:pPr>
        <w:pStyle w:val="Heading1"/>
      </w:pPr>
      <w:bookmarkStart w:id="22" w:name="_Toc229116054"/>
      <w:r w:rsidRPr="007B550D">
        <w:t>Chapter 3: The Current Situation</w:t>
      </w:r>
      <w:bookmarkEnd w:id="22"/>
    </w:p>
    <w:p w14:paraId="0109B4A7" w14:textId="77777777" w:rsidR="00CF18B0" w:rsidRPr="007B550D" w:rsidRDefault="00CF18B0" w:rsidP="007B550D">
      <w:pPr>
        <w:pStyle w:val="Heading2"/>
      </w:pPr>
      <w:bookmarkStart w:id="23" w:name="_Toc229116055"/>
      <w:r w:rsidRPr="007B550D">
        <w:t>3.1 The End of the Keynesian Free Lunch</w:t>
      </w:r>
      <w:bookmarkEnd w:id="23"/>
    </w:p>
    <w:p w14:paraId="6C64255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 macroeconomic circles, there is a pervasive sense that the traditional Keynesian framework is no longer effective. For decades, the foundational logic of global finance dictated that, during crises, policymakers should lower rates, issue sovereign debt, and rely on the multiplier effect to outpace the principal. However, this mechanism now appears to be stalling. The threshold has been crossed where the volume of existing leverage actively nullifies the stimulative effect of new borrowing (Ilzetzki, Mendoza, &amp; Végh, 2013).</w:t>
      </w:r>
    </w:p>
    <w:p w14:paraId="58F936B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However, in academic research, subjective impressions require empirical validation. It is necessary to determine whether current global debt levels are indeed unprecedented or if perceptions are influenced by recency bias.</w:t>
      </w:r>
    </w:p>
    <w:p w14:paraId="6BB449F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The data is terrifyingly clear. According to global debt monitors, since the 2008 financial crisis, the OECD and the newly emerging BRICS nations have collectively borrowed more money—even adjusted for inflation—than the entire human race had accumulated in its history prior to 2008 (Institute of International Finance, 2024). The global debt stockpile surged past the $315 trillion mark recently, and the situation has undoubtedly worsened amid aggressive COVID-19 stimulus measures, though the final reckoning of that era is still somewhat obscured by data aggregation lags.</w:t>
      </w:r>
    </w:p>
    <w:p w14:paraId="7E8679D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2008 credit crisis was addressed through extensive credit expansion, a strategy repeated in 2020. The result is a global economy increasingly reliant on stimulus measures that no longer yield the intended effects.</w:t>
      </w:r>
    </w:p>
    <w:p w14:paraId="07FE447F" w14:textId="77777777" w:rsidR="00CF18B0" w:rsidRPr="007B550D" w:rsidRDefault="00CF18B0" w:rsidP="007B550D">
      <w:pPr>
        <w:pStyle w:val="Heading2"/>
      </w:pPr>
      <w:bookmarkStart w:id="24" w:name="_Toc229116056"/>
      <w:r w:rsidRPr="007B550D">
        <w:t>3.2 The Polycrisis and the Default Sovereign Response</w:t>
      </w:r>
      <w:bookmarkEnd w:id="24"/>
    </w:p>
    <w:p w14:paraId="40965F9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world is currently staring down a barrage of structural headwinds. We are operating in what risk analysts now cleanly package as a "polycrisis" (World Economic Forum, 2024). The list of overlapping macro-threats is exhausting:</w:t>
      </w:r>
    </w:p>
    <w:p w14:paraId="63DD8762"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Demographic collapse</w:t>
      </w:r>
      <w:r w:rsidRPr="007B550D">
        <w:rPr>
          <w:rFonts w:ascii="Times New Roman" w:hAnsi="Times New Roman" w:cs="Times New Roman"/>
        </w:rPr>
        <w:t xml:space="preserve"> across the developed world and China, rapidly shrinking the future tax base.</w:t>
      </w:r>
    </w:p>
    <w:p w14:paraId="449F938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Geopolitical instability</w:t>
      </w:r>
      <w:r w:rsidRPr="007B550D">
        <w:rPr>
          <w:rFonts w:ascii="Times New Roman" w:hAnsi="Times New Roman" w:cs="Times New Roman"/>
        </w:rPr>
        <w:t>, characterized by trade wars and active military conflicts, which is, in essence, an adversarial fight over global and regional dominance.</w:t>
      </w:r>
    </w:p>
    <w:p w14:paraId="38EC064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The climate crisis</w:t>
      </w:r>
      <w:r w:rsidRPr="007B550D">
        <w:rPr>
          <w:rFonts w:ascii="Times New Roman" w:hAnsi="Times New Roman" w:cs="Times New Roman"/>
        </w:rPr>
        <w:t xml:space="preserve"> demands massive, front-loaded capital for the new energy transition.</w:t>
      </w:r>
    </w:p>
    <w:p w14:paraId="51B98FE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A productivity and employment crisis</w:t>
      </w:r>
      <w:r w:rsidRPr="007B550D">
        <w:rPr>
          <w:rFonts w:ascii="Times New Roman" w:hAnsi="Times New Roman" w:cs="Times New Roman"/>
        </w:rPr>
        <w:t>, exacerbated by the technological shocks of the AI revolution (the two likely feed each other).</w:t>
      </w:r>
    </w:p>
    <w:p w14:paraId="56D2A75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Growing wealth inequality</w:t>
      </w:r>
      <w:r w:rsidRPr="007B550D">
        <w:rPr>
          <w:rFonts w:ascii="Times New Roman" w:hAnsi="Times New Roman" w:cs="Times New Roman"/>
        </w:rPr>
        <w:t>, which actively feeds back into domestic and systemic instability.</w:t>
      </w:r>
    </w:p>
    <w:p w14:paraId="6A6BDD8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Addressing these epoch-defining challenges—such as building alternative financial infrastructure, funding the green transition, or subsidizing displaced workers—requires significant capital. Given the inherently short-term nature of political structures, the default policy response to each of these issues has been to increase sovereign debt.</w:t>
      </w:r>
    </w:p>
    <w:p w14:paraId="471E3ABE" w14:textId="77777777" w:rsidR="00CF18B0" w:rsidRPr="007B550D" w:rsidRDefault="00CF18B0" w:rsidP="007B550D">
      <w:pPr>
        <w:pStyle w:val="Heading2"/>
      </w:pPr>
      <w:bookmarkStart w:id="25" w:name="_Toc229116057"/>
      <w:r w:rsidRPr="007B550D">
        <w:t>3.3 The Closing Window and Sovereign Weaponization</w:t>
      </w:r>
      <w:bookmarkEnd w:id="25"/>
    </w:p>
    <w:p w14:paraId="6DC0556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Macroeconomic indicators suggest that the window for prudent debt use has rapidly narrowed; some analysts contend that this window has already closed.</w:t>
      </w:r>
    </w:p>
    <w:p w14:paraId="069A1E9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Look across the board: the US Treasury yield curve has experienced historic inversions, the Bank of Japan has finally been forced to raise its key rate after decades of sub-zero monetary hibernation, China is actively rethinking its massive debt-fueled infrastructural and government spending models, and European budgets are struggling to simply form (hi, France). Average global economic growth has undeniably slowed.</w:t>
      </w:r>
    </w:p>
    <w:p w14:paraId="6194B1E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 particularly salient indicator of systemic strain is the escalating cost of servicing sovereign debt. In the United States, annual net interest payments on national debt have surpassed $800 billion, effectively matching the Pentagon's budget and rivaling federal Medicare spending (Congressional Budget Office, 2024). Governments are now allocating more resources to servicing legacy debt than to national defense or healthcare.</w:t>
      </w:r>
    </w:p>
    <w:p w14:paraId="207A522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Furthermore, we are seeing the rise of secondary debt risks that have nothing to do with the ledger's absolute size. Debt is now a vector for sovereignty risk. Amid ongoing trade wars and geopolitical decoupling, China has significantly decreased its investments into US sovereign debt, dumping its Treasury holdings from over $1.3 trillion a decade ago to roughly $770 billion today (U.S. Department of the Treasury, 2024). When the entities holding your debt are your primary geopolitical rivals, your yield curve is no longer just a financial metric; it is a national security vulnerability.</w:t>
      </w:r>
    </w:p>
    <w:p w14:paraId="0FAE441D" w14:textId="77777777" w:rsidR="00CF18B0" w:rsidRPr="007B550D" w:rsidRDefault="00CF18B0" w:rsidP="007B550D">
      <w:pPr>
        <w:pStyle w:val="Heading2"/>
      </w:pPr>
      <w:bookmarkStart w:id="26" w:name="_Toc229116058"/>
      <w:r w:rsidRPr="007B550D">
        <w:t>3.4 Deconstructing the Polarizing Loop</w:t>
      </w:r>
      <w:bookmarkEnd w:id="26"/>
    </w:p>
    <w:p w14:paraId="2B77CAE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As the underlying economic models become less reliable, narratives surrounding sovereign debt have grown increasingly polarized and contentious. There is a divergence between policymakers advocating for additional stimulus and those warning of imminent systemic risks. These polarized perspectives are influencing policy decisions and may contribute to self-reinforcing negative outcomes.</w:t>
      </w:r>
    </w:p>
    <w:p w14:paraId="2DAED20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objective of this paper is to address ideological polarization by employing advanced data analysis and panel econometrics. This research seeks to distill the complexity of global debt into manageable, quantifiable components, thereby enabling the construction of robust analytical frameworks and the identification of empirically grounded tipping points. The ultimate goal is to develop a model based on mathematical constraints rather than political assumptions.</w:t>
      </w:r>
    </w:p>
    <w:p w14:paraId="26BB8061" w14:textId="77777777" w:rsidR="00CF18B0" w:rsidRPr="007B550D" w:rsidRDefault="00CF18B0" w:rsidP="007B550D">
      <w:pPr>
        <w:pStyle w:val="Heading1"/>
      </w:pPr>
      <w:bookmarkStart w:id="27" w:name="_Toc229116059"/>
      <w:r w:rsidRPr="007B550D">
        <w:lastRenderedPageBreak/>
        <w:t>Chapter 4: Methodology and Data Architecture</w:t>
      </w:r>
      <w:bookmarkEnd w:id="27"/>
    </w:p>
    <w:p w14:paraId="0238C110" w14:textId="77777777" w:rsidR="00CF18B0" w:rsidRPr="007B550D" w:rsidRDefault="00CF18B0" w:rsidP="007B550D">
      <w:pPr>
        <w:pStyle w:val="Heading2"/>
      </w:pPr>
      <w:bookmarkStart w:id="28" w:name="_Toc229116060"/>
      <w:r w:rsidRPr="007B550D">
        <w:t>4.1 Data Architecture and Pragmatic Limitations</w:t>
      </w:r>
      <w:bookmarkEnd w:id="28"/>
    </w:p>
    <w:p w14:paraId="565342A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At the outset, it is important to acknowledge the complexities inherent in macroeconomic research. Employing simple linear regression to analyze the global sovereign debt system is inadequate and potentially misleading. The global financial system exhibits significant nonlinearity. Even before engaging with the literature, it was evident that isolating the true effect of leverage requires a comprehensive set of control variables and time-series-adjusted methods to address structural biases.</w:t>
      </w:r>
    </w:p>
    <w:p w14:paraId="5330D13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Nevertheless, it is necessary to recognize the constraints of the data architecture. Compiling a comprehensive, original sovereign dataset is a multi-year endeavor typically requiring a well-funded research team. As a single analyst, this study relies on established institutional databases (such as the World Bank, IMF, and the World Inequality Database). While this reliance on pre-aggregated data and the operational limitations of a sole researcher may preclude the methodology from being considered foundational science, it represents a functional, data-driven approach to mapping structural macroeconomic realities.</w:t>
      </w:r>
    </w:p>
    <w:p w14:paraId="12D725F1" w14:textId="77777777" w:rsidR="00CF18B0" w:rsidRPr="007B550D" w:rsidRDefault="00CF18B0" w:rsidP="007B550D">
      <w:pPr>
        <w:pStyle w:val="Heading2"/>
      </w:pPr>
      <w:bookmarkStart w:id="29" w:name="_Toc229116061"/>
      <w:r w:rsidRPr="007B550D">
        <w:t>4.2 The Computational Stack: Moving Beyond Excel</w:t>
      </w:r>
      <w:bookmarkEnd w:id="29"/>
    </w:p>
    <w:p w14:paraId="62D744C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Regarding computational tools, a thousand-iteration SSR grid search over dynamic panel data cannot be performed in Microsoft Excel, as the Solver function is insufficient to meet these computational demands. The data complexity and endogeneity checks exceed the capabilities of standard office software.</w:t>
      </w:r>
    </w:p>
    <w:p w14:paraId="7777336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Conversely, while R and Stata are the traditional, accepted darlings of academic economics, they are incredibly niche ecosystems. From an operational standpoint, spending hundreds of hours learning archaic Stata syntax just to run a single thesis model is a poor return on the time invested.</w:t>
      </w:r>
    </w:p>
    <w:p w14:paraId="32FCDD5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Accordingly, the quantitative framework for this study was developed in Python, utilizing Jupyter Notebooks as the primary integrated development environment. Python is widely recognized as the industry standard for data science, quantitative finance, and machine learning. The computational stack relies on pandas for complex, multi-index panel data aggregation, as well as statsmodels and the linearmodels library for advanced econometric analysis (specifically </w:t>
      </w:r>
      <w:r w:rsidRPr="007B550D">
        <w:rPr>
          <w:rFonts w:ascii="Times New Roman" w:hAnsi="Times New Roman" w:cs="Times New Roman"/>
        </w:rPr>
        <w:lastRenderedPageBreak/>
        <w:t>instrumental variable and GMM models). Maintaining the workflow in Python ensures scalability, reproducibility, and integration with contemporary analytical practices.</w:t>
      </w:r>
    </w:p>
    <w:p w14:paraId="29C3953E" w14:textId="77777777" w:rsidR="00CF18B0" w:rsidRPr="007B550D" w:rsidRDefault="00CF18B0" w:rsidP="007B550D">
      <w:pPr>
        <w:pStyle w:val="Heading2"/>
      </w:pPr>
      <w:bookmarkStart w:id="30" w:name="_Toc229116062"/>
      <w:r w:rsidRPr="007B550D">
        <w:t>4.3 Baseline Diagnostics (Why Linear Regression is Dead)</w:t>
      </w:r>
      <w:bookmarkEnd w:id="30"/>
    </w:p>
    <w:p w14:paraId="4F41281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You cannot simply plug decades of macroeconomic data into a model without verifying if the mathematical foundation is actually stable. The computational pipeline begins with rigorous exploratory data analysis and panel unit root tests.</w:t>
      </w:r>
    </w:p>
    <w:p w14:paraId="11AAE50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Specifically, I deployed Augmented Dickey-Fuller (ADF) and Phillips-Perron (PP) tests across our core metrics. After the stationarity checks, the baseline models were subjected to standard panel diagnostics. The Hausman test was applied repeatedly to determine whether the data required Fixed Effects or Random Effects modeling.</w:t>
      </w:r>
    </w:p>
    <w:p w14:paraId="6420F0A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baseline panel specification takes the following general form:</w:t>
      </w:r>
    </w:p>
    <w:p w14:paraId="5EBCBF22"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Y_it = α + β*X_it + μ_i + ε_it</w:t>
      </w:r>
    </w:p>
    <w:p w14:paraId="09FD695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Where:</w:t>
      </w:r>
    </w:p>
    <w:p w14:paraId="59BF47A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Y_it</w:t>
      </w:r>
      <w:r w:rsidRPr="007B550D">
        <w:rPr>
          <w:rFonts w:ascii="Times New Roman" w:hAnsi="Times New Roman" w:cs="Times New Roman"/>
        </w:rPr>
        <w:t xml:space="preserve">: The dependent variable (either GDP Growth or the Elite Capture Ratio) for country </w:t>
      </w:r>
      <w:r w:rsidRPr="007B550D">
        <w:rPr>
          <w:rFonts w:ascii="Times New Roman" w:hAnsi="Times New Roman" w:cs="Times New Roman"/>
          <w:i/>
          <w:iCs/>
        </w:rPr>
        <w:t>i</w:t>
      </w:r>
      <w:r w:rsidRPr="007B550D">
        <w:rPr>
          <w:rFonts w:ascii="Times New Roman" w:hAnsi="Times New Roman" w:cs="Times New Roman"/>
        </w:rPr>
        <w:t xml:space="preserve"> at time </w:t>
      </w:r>
      <w:r w:rsidRPr="007B550D">
        <w:rPr>
          <w:rFonts w:ascii="Times New Roman" w:hAnsi="Times New Roman" w:cs="Times New Roman"/>
          <w:i/>
          <w:iCs/>
        </w:rPr>
        <w:t>t</w:t>
      </w:r>
      <w:r w:rsidRPr="007B550D">
        <w:rPr>
          <w:rFonts w:ascii="Times New Roman" w:hAnsi="Times New Roman" w:cs="Times New Roman"/>
        </w:rPr>
        <w:t>.</w:t>
      </w:r>
    </w:p>
    <w:p w14:paraId="1A2DE1F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α</w:t>
      </w:r>
      <w:r w:rsidRPr="007B550D">
        <w:rPr>
          <w:rFonts w:ascii="Times New Roman" w:hAnsi="Times New Roman" w:cs="Times New Roman"/>
        </w:rPr>
        <w:t>: The baseline constant.</w:t>
      </w:r>
    </w:p>
    <w:p w14:paraId="6D41741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X_it</w:t>
      </w:r>
      <w:r w:rsidRPr="007B550D">
        <w:rPr>
          <w:rFonts w:ascii="Times New Roman" w:hAnsi="Times New Roman" w:cs="Times New Roman"/>
        </w:rPr>
        <w:t>: The vector of independent explanatory variables (General Government Debt) and our macroeconomic controls (Gross capital formation, Inflation, etc.).</w:t>
      </w:r>
    </w:p>
    <w:p w14:paraId="030FE0F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μ_i</w:t>
      </w:r>
      <w:r w:rsidRPr="007B550D">
        <w:rPr>
          <w:rFonts w:ascii="Times New Roman" w:hAnsi="Times New Roman" w:cs="Times New Roman"/>
        </w:rPr>
        <w:t>: The unobserved country-specific fixed effects. Think of this as the permanent structural and institutional baggage a specific country carries that doesn't change over time.</w:t>
      </w:r>
    </w:p>
    <w:p w14:paraId="13361D3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ε_it</w:t>
      </w:r>
      <w:r w:rsidRPr="007B550D">
        <w:rPr>
          <w:rFonts w:ascii="Times New Roman" w:hAnsi="Times New Roman" w:cs="Times New Roman"/>
        </w:rPr>
        <w:t>: The standard idiosyncratic error term.</w:t>
      </w:r>
    </w:p>
    <w:p w14:paraId="1E0B139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Crucially, the dataset isn't treated as one monolithic block of time. The pipeline explicitly fractures the data into distinct macroeconomic eras: the pre-crisis baseline (1995-2008) and the post-crisis quantitative easing regime (2009-2022).</w:t>
      </w:r>
    </w:p>
    <w:p w14:paraId="29FB14BF" w14:textId="77777777" w:rsidR="00CF18B0" w:rsidRPr="007B550D" w:rsidRDefault="00CF18B0" w:rsidP="007B550D">
      <w:pPr>
        <w:pStyle w:val="Heading2"/>
      </w:pPr>
      <w:bookmarkStart w:id="31" w:name="_Toc229116063"/>
      <w:r w:rsidRPr="007B550D">
        <w:t>4.4 Tackling Endogeneity (The Difference GMM)</w:t>
      </w:r>
      <w:bookmarkEnd w:id="31"/>
    </w:p>
    <w:p w14:paraId="2057A02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Here is the classic macroeconomic trap that ruins most debt analyses: does high sovereign debt inherently choke out GDP growth, or do crashing economies simply issue massive amounts of debt to survive? This feedback loop—endogeneity—will completely destroy the validity of a basic regression.</w:t>
      </w:r>
    </w:p>
    <w:p w14:paraId="5CA7DDE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To surgically untangle this chicken-and-egg problem, the methodology pivots to the Difference Generalized Method of Moments (GMM) framework (Arellano &amp; Bond, 1991). By taking the first difference of the equation, we completely mathematically eliminate the unobserved country-specific effects (μ_i).</w:t>
      </w:r>
    </w:p>
    <w:p w14:paraId="2EF973D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Difference GMM specification is structured as:</w:t>
      </w:r>
    </w:p>
    <w:p w14:paraId="32DDAF1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ΔY_it = ρ</w:t>
      </w:r>
      <w:r w:rsidRPr="007B550D">
        <w:rPr>
          <w:rFonts w:ascii="Times New Roman" w:hAnsi="Times New Roman" w:cs="Times New Roman"/>
          <w:b/>
          <w:bCs/>
          <w:i/>
          <w:iCs/>
        </w:rPr>
        <w:t>ΔY_i,t-1 + β</w:t>
      </w:r>
      <w:r w:rsidRPr="007B550D">
        <w:rPr>
          <w:rFonts w:ascii="Times New Roman" w:hAnsi="Times New Roman" w:cs="Times New Roman"/>
          <w:b/>
          <w:bCs/>
        </w:rPr>
        <w:t>ΔX_it + Δε_it</w:t>
      </w:r>
    </w:p>
    <w:p w14:paraId="7D91B5E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Where:</w:t>
      </w:r>
    </w:p>
    <w:p w14:paraId="59FB540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Δ</w:t>
      </w:r>
      <w:r w:rsidRPr="007B550D">
        <w:rPr>
          <w:rFonts w:ascii="Times New Roman" w:hAnsi="Times New Roman" w:cs="Times New Roman"/>
        </w:rPr>
        <w:t>: The first-difference operator (the change from the previous year).</w:t>
      </w:r>
    </w:p>
    <w:p w14:paraId="19D266F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ΔY_it</w:t>
      </w:r>
      <w:r w:rsidRPr="007B550D">
        <w:rPr>
          <w:rFonts w:ascii="Times New Roman" w:hAnsi="Times New Roman" w:cs="Times New Roman"/>
        </w:rPr>
        <w:t>: The change in our dependent variable.</w:t>
      </w:r>
    </w:p>
    <w:p w14:paraId="37C5830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ΔY_i,t-1</w:t>
      </w:r>
      <w:r w:rsidRPr="007B550D">
        <w:rPr>
          <w:rFonts w:ascii="Times New Roman" w:hAnsi="Times New Roman" w:cs="Times New Roman"/>
        </w:rPr>
        <w:t>: The lagged dependent variable, acting as a dynamic internal instrument.</w:t>
      </w:r>
    </w:p>
    <w:p w14:paraId="2F3F6C5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ΔX_it</w:t>
      </w:r>
      <w:r w:rsidRPr="007B550D">
        <w:rPr>
          <w:rFonts w:ascii="Times New Roman" w:hAnsi="Times New Roman" w:cs="Times New Roman"/>
        </w:rPr>
        <w:t>: The differenced vector of our explanatory and control variables.</w:t>
      </w:r>
    </w:p>
    <w:p w14:paraId="2F2C418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Δε_it</w:t>
      </w:r>
      <w:r w:rsidRPr="007B550D">
        <w:rPr>
          <w:rFonts w:ascii="Times New Roman" w:hAnsi="Times New Roman" w:cs="Times New Roman"/>
        </w:rPr>
        <w:t>: The differenced error term.</w:t>
      </w:r>
    </w:p>
    <w:p w14:paraId="4FDB0F3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By using lagged variables (specifically two-to-three-year lags on institutional debt and GDP metrics) as internal instruments, we force the model to separate pure causation from mere correlation. To ensure this isn't just algorithmic guesswork, the Hansen J-Test is applied to all GMM outputs to validate that our instrumental variables are mathematically sound and not merely statistical noise.</w:t>
      </w:r>
    </w:p>
    <w:p w14:paraId="21E49BA3" w14:textId="77777777" w:rsidR="00CF18B0" w:rsidRPr="007B550D" w:rsidRDefault="00CF18B0" w:rsidP="007B550D">
      <w:pPr>
        <w:pStyle w:val="Heading2"/>
      </w:pPr>
      <w:bookmarkStart w:id="32" w:name="_Toc229116064"/>
      <w:r w:rsidRPr="007B550D">
        <w:t>4.5 The Threshold Engine and SSR Grid Search</w:t>
      </w:r>
      <w:bookmarkEnd w:id="32"/>
    </w:p>
    <w:p w14:paraId="5A33751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is where the actual heavy lifting happens. The core objective of this thesis is to map exact tipping points, not general trends. To do this, the model deploys Hansen’s Panel Threshold Regression framework (Hansen, 1999).</w:t>
      </w:r>
    </w:p>
    <w:p w14:paraId="031FA1A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Instead of operating on the archaic assumption that debt behaves the exact same way at 30% of GDP as it does at 120%, we introduce an indicator function that acts as a binary trigger.</w:t>
      </w:r>
    </w:p>
    <w:p w14:paraId="6F89B3F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single-threshold equation takes the form:</w:t>
      </w:r>
    </w:p>
    <w:p w14:paraId="10CA40A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Y_it = μ_i + β1</w:t>
      </w:r>
      <w:r w:rsidRPr="007B550D">
        <w:rPr>
          <w:rFonts w:ascii="Times New Roman" w:hAnsi="Times New Roman" w:cs="Times New Roman"/>
          <w:b/>
          <w:bCs/>
          <w:i/>
          <w:iCs/>
        </w:rPr>
        <w:t>X_it * I(q_it ≤ γ) + β2</w:t>
      </w:r>
      <w:r w:rsidRPr="007B550D">
        <w:rPr>
          <w:rFonts w:ascii="Times New Roman" w:hAnsi="Times New Roman" w:cs="Times New Roman"/>
          <w:b/>
          <w:bCs/>
        </w:rPr>
        <w:t>X_it * I(q_it &gt; γ) + ε_it</w:t>
      </w:r>
    </w:p>
    <w:p w14:paraId="3A1F5EB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Where:</w:t>
      </w:r>
    </w:p>
    <w:p w14:paraId="6080C18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I(·)</w:t>
      </w:r>
      <w:r w:rsidRPr="007B550D">
        <w:rPr>
          <w:rFonts w:ascii="Times New Roman" w:hAnsi="Times New Roman" w:cs="Times New Roman"/>
        </w:rPr>
        <w:t>: The indicator function. It equals 1 if the condition in the parentheses is true, and 0 if it is false.</w:t>
      </w:r>
    </w:p>
    <w:p w14:paraId="468E5E32"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q_it</w:t>
      </w:r>
      <w:r w:rsidRPr="007B550D">
        <w:rPr>
          <w:rFonts w:ascii="Times New Roman" w:hAnsi="Times New Roman" w:cs="Times New Roman"/>
        </w:rPr>
        <w:t>: The threshold variable (in our case, the Debt-to-GDP ratio).</w:t>
      </w:r>
    </w:p>
    <w:p w14:paraId="5EC0766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γ (Gamma)</w:t>
      </w:r>
      <w:r w:rsidRPr="007B550D">
        <w:rPr>
          <w:rFonts w:ascii="Times New Roman" w:hAnsi="Times New Roman" w:cs="Times New Roman"/>
        </w:rPr>
        <w:t>: The exact threshold tipping point we are trying to calculate.</w:t>
      </w:r>
    </w:p>
    <w:p w14:paraId="188C6B1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β1</w:t>
      </w:r>
      <w:r w:rsidRPr="007B550D">
        <w:rPr>
          <w:rFonts w:ascii="Times New Roman" w:hAnsi="Times New Roman" w:cs="Times New Roman"/>
        </w:rPr>
        <w:t xml:space="preserve">: The macroeconomic effect of debt </w:t>
      </w:r>
      <w:r w:rsidRPr="007B550D">
        <w:rPr>
          <w:rFonts w:ascii="Times New Roman" w:hAnsi="Times New Roman" w:cs="Times New Roman"/>
          <w:i/>
          <w:iCs/>
        </w:rPr>
        <w:t>before</w:t>
      </w:r>
      <w:r w:rsidRPr="007B550D">
        <w:rPr>
          <w:rFonts w:ascii="Times New Roman" w:hAnsi="Times New Roman" w:cs="Times New Roman"/>
        </w:rPr>
        <w:t xml:space="preserve"> crossing the threshold.</w:t>
      </w:r>
    </w:p>
    <w:p w14:paraId="5DF571B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 xml:space="preserve">·       </w:t>
      </w:r>
      <w:r w:rsidRPr="007B550D">
        <w:rPr>
          <w:rFonts w:ascii="Times New Roman" w:hAnsi="Times New Roman" w:cs="Times New Roman"/>
          <w:b/>
          <w:bCs/>
        </w:rPr>
        <w:t>β2</w:t>
      </w:r>
      <w:r w:rsidRPr="007B550D">
        <w:rPr>
          <w:rFonts w:ascii="Times New Roman" w:hAnsi="Times New Roman" w:cs="Times New Roman"/>
        </w:rPr>
        <w:t xml:space="preserve">: The mutated macroeconomic effect of debt </w:t>
      </w:r>
      <w:r w:rsidRPr="007B550D">
        <w:rPr>
          <w:rFonts w:ascii="Times New Roman" w:hAnsi="Times New Roman" w:cs="Times New Roman"/>
          <w:i/>
          <w:iCs/>
        </w:rPr>
        <w:t>after</w:t>
      </w:r>
      <w:r w:rsidRPr="007B550D">
        <w:rPr>
          <w:rFonts w:ascii="Times New Roman" w:hAnsi="Times New Roman" w:cs="Times New Roman"/>
        </w:rPr>
        <w:t xml:space="preserve"> crossing the threshold.</w:t>
      </w:r>
    </w:p>
    <w:p w14:paraId="2C17D52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To find </w:t>
      </w:r>
      <w:r w:rsidRPr="007B550D">
        <w:rPr>
          <w:rFonts w:ascii="Times New Roman" w:hAnsi="Times New Roman" w:cs="Times New Roman"/>
          <w:b/>
          <w:bCs/>
        </w:rPr>
        <w:t>γ</w:t>
      </w:r>
      <w:r w:rsidRPr="007B550D">
        <w:rPr>
          <w:rFonts w:ascii="Times New Roman" w:hAnsi="Times New Roman" w:cs="Times New Roman"/>
        </w:rPr>
        <w:t>, the Python algorithm performs a brute-force grid search over 1,000 potential debt-to-GDP thresholds. For each potential threshold, it calculates the Sum of Squared Residuals (SSR) to isolate the exact, mathematically defined local minimum.</w:t>
      </w:r>
    </w:p>
    <w:p w14:paraId="29589C3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computational engine is deployed twice across our distinct institutional blocs (OECD Advanced, OECD Emerging, and BRICS). First, it scans for the traditional Reinhart-Rogoff threshold—the exact percentage where debt stops acting as a macroeconomic stimulant. Second, and more importantly, it runs the same grid search on the wealth distribution data to locate the elite capture threshold—the precise point at which sovereign leverage explicitly triggers the transfer of wealth from the bottom 50% directly to the top 10%.</w:t>
      </w:r>
    </w:p>
    <w:p w14:paraId="476EF261" w14:textId="77777777" w:rsidR="00CF18B0" w:rsidRPr="007B550D" w:rsidRDefault="00CF18B0" w:rsidP="007B550D">
      <w:pPr>
        <w:pStyle w:val="Heading1"/>
      </w:pPr>
      <w:bookmarkStart w:id="33" w:name="_Toc229116065"/>
      <w:r w:rsidRPr="007B550D">
        <w:t>Chapter 5: Empirical Results and Structural Tipping Points</w:t>
      </w:r>
      <w:bookmarkEnd w:id="33"/>
    </w:p>
    <w:p w14:paraId="065556BF" w14:textId="77777777" w:rsidR="00CF18B0" w:rsidRPr="007B550D" w:rsidRDefault="00CF18B0" w:rsidP="007B550D">
      <w:pPr>
        <w:pStyle w:val="Heading2"/>
      </w:pPr>
      <w:bookmarkStart w:id="34" w:name="_Toc229116066"/>
      <w:r w:rsidRPr="007B550D">
        <w:t>5.1 Exploratory Data Analysis and Baseline Diagnostics</w:t>
      </w:r>
      <w:bookmarkEnd w:id="34"/>
    </w:p>
    <w:p w14:paraId="12ED9942"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Before we start running dynamic panel thresholds and hunting for exact tipping points, we have to look at the raw structural reality of the dataset. You don't just blindly feed decades of macroeconomic variables into a Difference GMM model without understanding the underlying terrain. This section strips down the descriptive statistics across our institutional blocs to see exactly what kind of fiscal environment we are dealing with, followed by correlation mapping to visualize the initial relationships.</w:t>
      </w:r>
    </w:p>
    <w:p w14:paraId="401D3179" w14:textId="77777777" w:rsidR="00CF18B0" w:rsidRPr="007B550D" w:rsidRDefault="00CF18B0" w:rsidP="007B550D">
      <w:pPr>
        <w:pStyle w:val="Heading3"/>
      </w:pPr>
      <w:bookmarkStart w:id="35" w:name="_Toc229116067"/>
      <w:r w:rsidRPr="007B550D">
        <w:t>5.1.1 Macroeconomic Baselines and the Debt Landscape</w:t>
      </w:r>
      <w:bookmarkEnd w:id="35"/>
    </w:p>
    <w:p w14:paraId="3AFFC72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summary statistics below are aggregated directly from the cleaned panel data spanning 1995 to 2022. These figures are presented by global and regional blocs to highlight the substantial structural divergences in how different economies carry and respond to leverage.</w:t>
      </w:r>
    </w:p>
    <w:p w14:paraId="0187CEA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i/>
          <w:iCs/>
        </w:rPr>
        <w:t>(Note: Wealth Inequality metrics are included here for panel completeness, but will be structurally deconstructed in Subchapter 5.1.2).</w:t>
      </w:r>
    </w:p>
    <w:p w14:paraId="083F2147" w14:textId="77777777" w:rsidR="00C234FC" w:rsidRPr="007B550D" w:rsidRDefault="00C234FC" w:rsidP="007B550D">
      <w:pPr>
        <w:pStyle w:val="NormalWeb"/>
        <w:spacing w:before="0" w:beforeAutospacing="0" w:after="0" w:line="400" w:lineRule="exact"/>
        <w:jc w:val="center"/>
        <w:rPr>
          <w:b/>
          <w:sz w:val="22"/>
        </w:rPr>
      </w:pPr>
      <w:r w:rsidRPr="007B550D">
        <w:rPr>
          <w:b/>
          <w:bCs/>
          <w:sz w:val="22"/>
        </w:rPr>
        <w:t>Table 1: Summary Statistics - Global Panel (All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750"/>
        <w:gridCol w:w="677"/>
        <w:gridCol w:w="938"/>
        <w:gridCol w:w="705"/>
        <w:gridCol w:w="1545"/>
        <w:gridCol w:w="765"/>
      </w:tblGrid>
      <w:tr w:rsidR="00C234FC" w:rsidRPr="007B550D" w14:paraId="7583097D"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C4AF9"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lastRenderedPageBreak/>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53CC7"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95D9C"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8EFCD"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Std.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48C46"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63C90"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50% (Median)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E1FB4"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Max</w:t>
            </w:r>
          </w:p>
        </w:tc>
      </w:tr>
      <w:tr w:rsidR="00C234FC" w:rsidRPr="007B550D" w14:paraId="255C3E2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FFD1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GDP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D3EC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1204.0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E804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C2D2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3.58</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C6F9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2699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ACA3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24.62</w:t>
            </w:r>
          </w:p>
        </w:tc>
      </w:tr>
      <w:tr w:rsidR="00C234FC" w:rsidRPr="007B550D" w14:paraId="7B240A6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A25E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General Government Debt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CFBC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44B4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59.49</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9976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39.57</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2EAE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2.69</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A12C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52.64</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04AD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258.37</w:t>
            </w:r>
          </w:p>
        </w:tc>
      </w:tr>
      <w:tr w:rsidR="00C234FC" w:rsidRPr="007B550D" w14:paraId="5F7AAAF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0B5C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Gross capital formation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AD71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A0C2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24.17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137F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CEBF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11.89</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5A93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23.25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9833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53.70</w:t>
            </w:r>
          </w:p>
        </w:tc>
      </w:tr>
      <w:tr w:rsidR="00C234FC" w:rsidRPr="007B550D" w14:paraId="4B57E69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DC07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Inflation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D5CF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1191.0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3369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4.71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1D25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9.91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F0FC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CF34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EA68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197.41</w:t>
            </w:r>
          </w:p>
        </w:tc>
      </w:tr>
      <w:tr w:rsidR="00C234FC" w:rsidRPr="007B550D" w14:paraId="17F2B52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36A66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Population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B361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1204.0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77E7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BF1E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BEDC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CDFD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486C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11.59</w:t>
            </w:r>
          </w:p>
        </w:tc>
      </w:tr>
      <w:tr w:rsidR="00C234FC" w:rsidRPr="007B550D" w14:paraId="3A30D54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BF8C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Wealth Inequality (Top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4985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1204.0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4AFC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80FE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7DE9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2815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8116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0.76</w:t>
            </w:r>
          </w:p>
        </w:tc>
      </w:tr>
    </w:tbl>
    <w:p w14:paraId="7E726FA9" w14:textId="77777777" w:rsidR="00C234FC" w:rsidRPr="007B550D" w:rsidRDefault="00C234FC" w:rsidP="007B550D">
      <w:pPr>
        <w:pStyle w:val="NormalWeb"/>
        <w:spacing w:before="0" w:beforeAutospacing="0" w:after="0" w:line="400" w:lineRule="exact"/>
      </w:pPr>
      <w:r w:rsidRPr="007B550D">
        <w:rPr>
          <w:i/>
          <w:iCs/>
        </w:rPr>
        <w:t>Source: Author's calculations based on panel dataset.</w:t>
      </w:r>
    </w:p>
    <w:p w14:paraId="45DF5F26" w14:textId="77777777" w:rsidR="00C234FC" w:rsidRPr="007B550D" w:rsidRDefault="00C234FC" w:rsidP="007B550D">
      <w:pPr>
        <w:pStyle w:val="NormalWeb"/>
        <w:spacing w:before="0" w:beforeAutospacing="0" w:after="0" w:line="400" w:lineRule="exact"/>
        <w:jc w:val="center"/>
        <w:rPr>
          <w:b/>
          <w:sz w:val="22"/>
        </w:rPr>
      </w:pPr>
      <w:r w:rsidRPr="007B550D">
        <w:rPr>
          <w:b/>
          <w:bCs/>
          <w:sz w:val="22"/>
        </w:rPr>
        <w:t>Table 2: Summary Statistics - OECD (Advanced)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8"/>
        <w:gridCol w:w="731"/>
        <w:gridCol w:w="677"/>
        <w:gridCol w:w="939"/>
        <w:gridCol w:w="706"/>
        <w:gridCol w:w="1548"/>
        <w:gridCol w:w="765"/>
      </w:tblGrid>
      <w:tr w:rsidR="00C234FC" w:rsidRPr="007B550D" w14:paraId="077C4669"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5216F6"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7B342"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4C74A"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E3354"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Std.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4085E"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1B25F"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50% (Median)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4D780"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Max</w:t>
            </w:r>
          </w:p>
        </w:tc>
      </w:tr>
      <w:tr w:rsidR="00C234FC" w:rsidRPr="007B550D" w14:paraId="08112C7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5D5D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GDP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8FBE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3ED1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2.61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B329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1B82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1B6E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2.68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3CCB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24.62</w:t>
            </w:r>
          </w:p>
        </w:tc>
      </w:tr>
      <w:tr w:rsidR="00C234FC" w:rsidRPr="007B550D" w14:paraId="5B87615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2F27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General Government Debt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BE1D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4F56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63.88</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7AF5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42.48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E493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3.91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A933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55.64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DE06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258.37</w:t>
            </w:r>
          </w:p>
        </w:tc>
      </w:tr>
      <w:tr w:rsidR="00C234FC" w:rsidRPr="007B550D" w14:paraId="46166C32"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EBCE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Gross capital formation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1790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DDC1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23.96</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1153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4.69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7443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11.89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16B3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23.43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A15E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53.70</w:t>
            </w:r>
          </w:p>
        </w:tc>
      </w:tr>
      <w:tr w:rsidR="00C234FC" w:rsidRPr="007B550D" w14:paraId="6D2FBE1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1A5F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Inflation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99D0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8C46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4184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3.89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4731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F6F7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4716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58.45</w:t>
            </w:r>
          </w:p>
        </w:tc>
      </w:tr>
      <w:tr w:rsidR="00C234FC" w:rsidRPr="007B550D" w14:paraId="34EE950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D007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Population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82D1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6FDA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F081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0.77</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6AC1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464E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0433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2.89</w:t>
            </w:r>
          </w:p>
        </w:tc>
      </w:tr>
      <w:tr w:rsidR="00C234FC" w:rsidRPr="007B550D" w14:paraId="0C3D3036"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717E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Wealth Inequality (Top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D299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1B84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0.58</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6A87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A046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779C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0.58</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6732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0.74</w:t>
            </w:r>
          </w:p>
        </w:tc>
      </w:tr>
    </w:tbl>
    <w:p w14:paraId="226F3733" w14:textId="77777777" w:rsidR="00C234FC" w:rsidRPr="007B550D" w:rsidRDefault="00C234FC" w:rsidP="007B550D">
      <w:pPr>
        <w:pStyle w:val="NormalWeb"/>
        <w:spacing w:before="0" w:beforeAutospacing="0" w:after="0" w:line="400" w:lineRule="exact"/>
      </w:pPr>
      <w:r w:rsidRPr="007B550D">
        <w:rPr>
          <w:i/>
          <w:iCs/>
        </w:rPr>
        <w:t>Source: Author's calculations based on panel dataset.</w:t>
      </w:r>
    </w:p>
    <w:p w14:paraId="03860050" w14:textId="77777777" w:rsidR="00C234FC" w:rsidRPr="007B550D" w:rsidRDefault="00C234FC" w:rsidP="007B550D">
      <w:pPr>
        <w:pStyle w:val="NormalWeb"/>
        <w:spacing w:before="0" w:beforeAutospacing="0" w:after="0" w:line="400" w:lineRule="exact"/>
        <w:jc w:val="center"/>
        <w:rPr>
          <w:b/>
          <w:sz w:val="22"/>
        </w:rPr>
      </w:pPr>
      <w:r w:rsidRPr="007B550D">
        <w:rPr>
          <w:b/>
          <w:bCs/>
          <w:sz w:val="22"/>
        </w:rPr>
        <w:t>Table 3: Summary Statistics - OECD (Emerging)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5"/>
        <w:gridCol w:w="731"/>
        <w:gridCol w:w="677"/>
        <w:gridCol w:w="957"/>
        <w:gridCol w:w="630"/>
        <w:gridCol w:w="1577"/>
        <w:gridCol w:w="645"/>
      </w:tblGrid>
      <w:tr w:rsidR="00C234FC" w:rsidRPr="007B550D" w14:paraId="0CA791CE"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6B077"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lastRenderedPageBreak/>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C8FEF"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AA156"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C2E17"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Std.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11DFF"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879DC"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50% (Median)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7A592"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Max</w:t>
            </w:r>
          </w:p>
        </w:tc>
      </w:tr>
      <w:tr w:rsidR="00C234FC" w:rsidRPr="007B550D" w14:paraId="3E745349"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1556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GDP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6AB9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1586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A63F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A5CD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-7.19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96B7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CA4A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11.81</w:t>
            </w:r>
          </w:p>
        </w:tc>
      </w:tr>
      <w:tr w:rsidR="00C234FC" w:rsidRPr="007B550D" w14:paraId="36B2AE8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BE41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General Government Debt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A5EF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148.0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AC37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95E8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19.55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B767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DB4B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43.27</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B7EF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83.87</w:t>
            </w:r>
          </w:p>
        </w:tc>
      </w:tr>
      <w:tr w:rsidR="00C234FC" w:rsidRPr="007B550D" w14:paraId="1FA7288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D96D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Gross capital formation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03F8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2B35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23.46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7674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1D1A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12.88</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3E83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0D1A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38.60</w:t>
            </w:r>
          </w:p>
        </w:tc>
      </w:tr>
      <w:tr w:rsidR="00C234FC" w:rsidRPr="007B550D" w14:paraId="5580574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A22A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Inflation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10EB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DF0B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10.35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8C12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15.74</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7984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-0.87</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9360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A95C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89.11</w:t>
            </w:r>
          </w:p>
        </w:tc>
      </w:tr>
      <w:tr w:rsidR="00C234FC" w:rsidRPr="007B550D" w14:paraId="0B68E0B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0CE7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Population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D108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0FE5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91E0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1B9A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-1.43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BFDA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FD70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2.41</w:t>
            </w:r>
          </w:p>
        </w:tc>
      </w:tr>
      <w:tr w:rsidR="00C234FC" w:rsidRPr="007B550D" w14:paraId="0F19F33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196A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Wealth Inequality (Top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DA47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C3A1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0.66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E10D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8418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6877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0.65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805F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0.73</w:t>
            </w:r>
          </w:p>
        </w:tc>
      </w:tr>
    </w:tbl>
    <w:p w14:paraId="7193F23F" w14:textId="77777777" w:rsidR="00C234FC" w:rsidRPr="007B550D" w:rsidRDefault="00C234FC" w:rsidP="007B550D">
      <w:pPr>
        <w:pStyle w:val="NormalWeb"/>
        <w:spacing w:before="0" w:beforeAutospacing="0" w:after="0" w:line="400" w:lineRule="exact"/>
      </w:pPr>
      <w:r w:rsidRPr="007B550D">
        <w:rPr>
          <w:i/>
          <w:iCs/>
        </w:rPr>
        <w:t>Source: Author's calculations based on panel dataset.</w:t>
      </w:r>
    </w:p>
    <w:p w14:paraId="53C14B5A" w14:textId="77777777" w:rsidR="00C234FC" w:rsidRPr="007B550D" w:rsidRDefault="00C234FC" w:rsidP="007B550D">
      <w:pPr>
        <w:pStyle w:val="NormalWeb"/>
        <w:spacing w:before="0" w:beforeAutospacing="0" w:after="0" w:line="400" w:lineRule="exact"/>
        <w:jc w:val="center"/>
        <w:rPr>
          <w:b/>
          <w:sz w:val="22"/>
        </w:rPr>
      </w:pPr>
      <w:r w:rsidRPr="007B550D">
        <w:rPr>
          <w:b/>
          <w:bCs/>
          <w:sz w:val="22"/>
        </w:rPr>
        <w:t>Table 4: Summary Statistics - BRICS (Developing)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731"/>
        <w:gridCol w:w="677"/>
        <w:gridCol w:w="946"/>
        <w:gridCol w:w="630"/>
        <w:gridCol w:w="1559"/>
        <w:gridCol w:w="765"/>
      </w:tblGrid>
      <w:tr w:rsidR="00C234FC" w:rsidRPr="007B550D" w14:paraId="70A10B28"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4AE43"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E0FC3"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F9A5B"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19230"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Std.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22250"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B4009"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50% (Median)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48578"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Max</w:t>
            </w:r>
          </w:p>
        </w:tc>
      </w:tr>
      <w:tr w:rsidR="00C234FC" w:rsidRPr="007B550D" w14:paraId="1BFE869F"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5F11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GDP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E1CD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4AA0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BFDD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755B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-8.69</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0112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E6CB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14.15</w:t>
            </w:r>
          </w:p>
        </w:tc>
      </w:tr>
      <w:tr w:rsidR="00C234FC" w:rsidRPr="007B550D" w14:paraId="4AE3A7D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F543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General Government Debt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D616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159.0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F379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50.61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5518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30.95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5C3F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2.69</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BDAB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61.61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234E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135.19</w:t>
            </w:r>
          </w:p>
        </w:tc>
      </w:tr>
      <w:tr w:rsidR="00C234FC" w:rsidRPr="007B550D" w14:paraId="1A3EE8EC"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B49A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Gross capital formation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5AEB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C5F8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26.01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A592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9.05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9DD3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13.64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96B5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22.52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7BDF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46.27</w:t>
            </w:r>
          </w:p>
        </w:tc>
      </w:tr>
      <w:tr w:rsidR="00C234FC" w:rsidRPr="007B550D" w14:paraId="7E21066C"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A70E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Inflation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9956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155.0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62BB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9.05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829B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18.23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5B66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2CA8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5.55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FAF32"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197.41</w:t>
            </w:r>
          </w:p>
        </w:tc>
      </w:tr>
      <w:tr w:rsidR="00C234FC" w:rsidRPr="007B550D" w14:paraId="317D424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067B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Population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731A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844D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57A9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BE8C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D63B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8673C"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11.59</w:t>
            </w:r>
          </w:p>
        </w:tc>
      </w:tr>
      <w:tr w:rsidR="00C234FC" w:rsidRPr="007B550D" w14:paraId="2BE5B7F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3D98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Wealth Inequality (Top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D246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A4FC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0.64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315EE"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D0B5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A396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8912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0.76</w:t>
            </w:r>
          </w:p>
        </w:tc>
      </w:tr>
    </w:tbl>
    <w:p w14:paraId="26CEA7E4" w14:textId="77777777" w:rsidR="00C234FC" w:rsidRPr="007B550D" w:rsidRDefault="00C234FC" w:rsidP="007B550D">
      <w:pPr>
        <w:pStyle w:val="NormalWeb"/>
        <w:spacing w:before="0" w:beforeAutospacing="0" w:after="0" w:line="400" w:lineRule="exact"/>
      </w:pPr>
      <w:r w:rsidRPr="007B550D">
        <w:rPr>
          <w:i/>
          <w:iCs/>
        </w:rPr>
        <w:t>Source: Author's calculations based on panel dataset.</w:t>
      </w:r>
    </w:p>
    <w:p w14:paraId="2F98686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There is a pronounced divergence in debt profiles. The OECD Advanced bloc maintains a mean General Government Debt of nearly 64% of GDP, with maximum values exceeding 258%, representing a structural anomaly that challenges conventional models. Meanwhile, the average GDP growth rate is 2.61%, illustrating the phenomenon of substantial accumulated liabilities yielding minimal marginal growth.</w:t>
      </w:r>
    </w:p>
    <w:p w14:paraId="04EAF2B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In contrast, the BRICS and Emerging OECD blocs exhibit distinct dynamics. BRICS countries demonstrate a higher average growth rate (4.71%) and a slightly lower mean debt (50.61%), but this is accompanied by significant macroeconomic volatility, as evidenced by maximum inflation </w:t>
      </w:r>
      <w:r w:rsidRPr="007B550D">
        <w:rPr>
          <w:rFonts w:ascii="Times New Roman" w:hAnsi="Times New Roman" w:cs="Times New Roman"/>
        </w:rPr>
        <w:lastRenderedPageBreak/>
        <w:t>rates reaching 197.41%. Emerging currency regimes remain structurally unstable under economic stress.</w:t>
      </w:r>
    </w:p>
    <w:p w14:paraId="446E3D82"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Before incorporating these variables into predictive algorithms, it is essential to verify the stability of the mathematical foundation. Running regressions on non-stationary time-series data can produce spurious correlations. Therefore, both Augmented Dickey-Fuller (ADF) and Phillips-Perron (PP) panel unit root tests were applied across the entire dataset.</w:t>
      </w:r>
    </w:p>
    <w:p w14:paraId="543A74B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For rigorous econometric transparency, the explicit hypotheses for both tests are defined as follows:</w:t>
      </w:r>
    </w:p>
    <w:p w14:paraId="619BD40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Null Hypothesis (H0) for both ADF and PP tests:</w:t>
      </w:r>
      <w:r w:rsidRPr="007B550D">
        <w:rPr>
          <w:rFonts w:ascii="Times New Roman" w:hAnsi="Times New Roman" w:cs="Times New Roman"/>
        </w:rPr>
        <w:t xml:space="preserve"> The panel series contains a unit root (the data is NON-STATIONARY and therefore unsafe for baseline regression).</w:t>
      </w:r>
    </w:p>
    <w:p w14:paraId="322160E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w:t>
      </w:r>
      <w:r w:rsidRPr="007B550D">
        <w:rPr>
          <w:rFonts w:ascii="Times New Roman" w:hAnsi="Times New Roman" w:cs="Times New Roman"/>
          <w:b/>
          <w:bCs/>
        </w:rPr>
        <w:t>Alternative Hypothesis (H1) for both ADF and PP tests:</w:t>
      </w:r>
      <w:r w:rsidRPr="007B550D">
        <w:rPr>
          <w:rFonts w:ascii="Times New Roman" w:hAnsi="Times New Roman" w:cs="Times New Roman"/>
        </w:rPr>
        <w:t xml:space="preserve"> The panel series does not contain a unit root (the data is STATIONARY, assuming a standard alpha level of p &lt; 0.05).</w:t>
      </w:r>
    </w:p>
    <w:p w14:paraId="746CB770" w14:textId="02865376" w:rsidR="00C234FC" w:rsidRPr="007B550D" w:rsidRDefault="00C234FC" w:rsidP="007B550D">
      <w:pPr>
        <w:pStyle w:val="NormalWeb"/>
        <w:spacing w:before="0" w:beforeAutospacing="0" w:after="0" w:line="400" w:lineRule="exact"/>
        <w:jc w:val="center"/>
        <w:rPr>
          <w:b/>
          <w:sz w:val="22"/>
        </w:rPr>
      </w:pPr>
      <w:r w:rsidRPr="007B550D">
        <w:rPr>
          <w:b/>
          <w:bCs/>
          <w:sz w:val="22"/>
        </w:rPr>
        <w:t>Table 5: Advanced Panel Unit Root Tests (ADF &amp; 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5"/>
        <w:gridCol w:w="1395"/>
        <w:gridCol w:w="1191"/>
        <w:gridCol w:w="2582"/>
      </w:tblGrid>
      <w:tr w:rsidR="00C234FC" w:rsidRPr="007B550D" w14:paraId="044BD0D6"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63C2D"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F40D3"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ADF 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69427"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PP 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E6A2B" w14:textId="77777777" w:rsidR="00C234FC" w:rsidRPr="007B550D" w:rsidRDefault="00C234FC" w:rsidP="007B550D">
            <w:pPr>
              <w:spacing w:after="0"/>
              <w:rPr>
                <w:rFonts w:ascii="Times New Roman" w:hAnsi="Times New Roman" w:cs="Times New Roman"/>
              </w:rPr>
            </w:pPr>
            <w:r w:rsidRPr="007B550D">
              <w:rPr>
                <w:rStyle w:val="Strong"/>
                <w:rFonts w:ascii="Times New Roman" w:hAnsi="Times New Roman" w:cs="Times New Roman"/>
              </w:rPr>
              <w:t>Joint Conclusion</w:t>
            </w:r>
          </w:p>
        </w:tc>
      </w:tr>
      <w:tr w:rsidR="00C234FC" w:rsidRPr="007B550D" w14:paraId="58999609"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753B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GDP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3999B"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88808"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761A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ROBUST STATIONARY</w:t>
            </w:r>
          </w:p>
        </w:tc>
      </w:tr>
      <w:tr w:rsidR="00C234FC" w:rsidRPr="007B550D" w14:paraId="4FD8378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DBFB9"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General Government Debt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0D79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CF08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4A8B0"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ROBUST STATIONARY</w:t>
            </w:r>
          </w:p>
        </w:tc>
      </w:tr>
      <w:tr w:rsidR="00C234FC" w:rsidRPr="007B550D" w14:paraId="1667300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672AF"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Gross capital formation (% of GDP)</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A721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810B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5D19D"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ROBUST STATIONARY</w:t>
            </w:r>
          </w:p>
        </w:tc>
      </w:tr>
      <w:tr w:rsidR="00C234FC" w:rsidRPr="007B550D" w14:paraId="3773889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B4F8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Inflation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67144"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41047"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12DB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ROBUST STATIONARY</w:t>
            </w:r>
          </w:p>
        </w:tc>
      </w:tr>
      <w:tr w:rsidR="00C234FC" w:rsidRPr="007B550D" w14:paraId="07197B46"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CE5A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Population growth (annual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2D963"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A7AC5"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475D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ROBUST STATIONARY</w:t>
            </w:r>
          </w:p>
        </w:tc>
      </w:tr>
      <w:tr w:rsidR="00C234FC" w:rsidRPr="007B550D" w14:paraId="2254D81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AD3EA"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b/>
                <w:bCs/>
              </w:rPr>
              <w:t>Wealth Inequality (Top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0ADA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27386"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6BAB1" w14:textId="77777777" w:rsidR="00C234FC" w:rsidRPr="007B550D" w:rsidRDefault="00C234FC" w:rsidP="007B550D">
            <w:pPr>
              <w:spacing w:after="0"/>
              <w:rPr>
                <w:rFonts w:ascii="Times New Roman" w:hAnsi="Times New Roman" w:cs="Times New Roman"/>
              </w:rPr>
            </w:pPr>
            <w:r w:rsidRPr="007B550D">
              <w:rPr>
                <w:rFonts w:ascii="Times New Roman" w:hAnsi="Times New Roman" w:cs="Times New Roman"/>
              </w:rPr>
              <w:t>ROBUST STATIONARY</w:t>
            </w:r>
          </w:p>
        </w:tc>
      </w:tr>
    </w:tbl>
    <w:p w14:paraId="2BF1CDC2" w14:textId="41881C59" w:rsidR="00C234FC" w:rsidRPr="007B550D" w:rsidRDefault="00C234FC" w:rsidP="007B550D">
      <w:pPr>
        <w:pStyle w:val="NormalWeb"/>
        <w:spacing w:before="0" w:beforeAutospacing="0" w:after="0" w:line="400" w:lineRule="exact"/>
      </w:pPr>
      <w:r w:rsidRPr="007B550D">
        <w:rPr>
          <w:i/>
          <w:iCs/>
        </w:rPr>
        <w:t>Source: Python Econometric Pipeline Outputs.</w:t>
      </w:r>
    </w:p>
    <w:p w14:paraId="7D69D67D" w14:textId="3F1D0EE0"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verdict? Robust stationarity across the board. The p-values for both the ADF and PP tests are well below the 0.05 threshold, indicating we reject the null hypothesis for every core metric. The data is clean, the series do not contain unit roots, and the panel is structurally sound enough to tolerate the heavy econometric lifting to follow.</w:t>
      </w:r>
    </w:p>
    <w:p w14:paraId="6056860D" w14:textId="64B4880B"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visually map out how these stationary variables interact before applying causal restrictions, we generated Pearson correlation matrices across the entire timeline.</w:t>
      </w:r>
    </w:p>
    <w:p w14:paraId="6299EFA2" w14:textId="77777777" w:rsidR="00C234FC" w:rsidRPr="007B550D" w:rsidRDefault="00C234FC" w:rsidP="007B550D">
      <w:pPr>
        <w:spacing w:after="0"/>
        <w:rPr>
          <w:rFonts w:ascii="Times New Roman" w:hAnsi="Times New Roman" w:cs="Times New Roman"/>
          <w:b/>
          <w:bCs/>
        </w:rPr>
      </w:pPr>
    </w:p>
    <w:p w14:paraId="1738477E" w14:textId="77777777" w:rsidR="00C234FC" w:rsidRPr="007B550D" w:rsidRDefault="00C234FC" w:rsidP="007B550D">
      <w:pPr>
        <w:spacing w:after="0"/>
        <w:rPr>
          <w:rFonts w:ascii="Times New Roman" w:hAnsi="Times New Roman" w:cs="Times New Roman"/>
          <w:b/>
          <w:bCs/>
        </w:rPr>
      </w:pPr>
    </w:p>
    <w:p w14:paraId="20517BDE" w14:textId="4F351F71" w:rsidR="00CF18B0" w:rsidRPr="007B550D" w:rsidRDefault="00C234FC" w:rsidP="007B550D">
      <w:pPr>
        <w:spacing w:after="0"/>
        <w:jc w:val="center"/>
        <w:rPr>
          <w:rFonts w:ascii="Times New Roman" w:hAnsi="Times New Roman" w:cs="Times New Roman"/>
          <w:b/>
          <w:sz w:val="22"/>
        </w:rPr>
      </w:pPr>
      <w:r w:rsidRPr="007B550D">
        <w:rPr>
          <w:rFonts w:ascii="Times New Roman" w:hAnsi="Times New Roman" w:cs="Times New Roman"/>
          <w:b/>
          <w:noProof/>
          <w:sz w:val="22"/>
        </w:rPr>
        <w:lastRenderedPageBreak/>
        <w:drawing>
          <wp:anchor distT="0" distB="0" distL="114300" distR="114300" simplePos="0" relativeHeight="251658240" behindDoc="0" locked="0" layoutInCell="1" allowOverlap="1" wp14:anchorId="5A8BF207" wp14:editId="5F8A0A62">
            <wp:simplePos x="0" y="0"/>
            <wp:positionH relativeFrom="column">
              <wp:posOffset>0</wp:posOffset>
            </wp:positionH>
            <wp:positionV relativeFrom="paragraph">
              <wp:posOffset>0</wp:posOffset>
            </wp:positionV>
            <wp:extent cx="5943600" cy="4119245"/>
            <wp:effectExtent l="0" t="0" r="0" b="0"/>
            <wp:wrapTopAndBottom/>
            <wp:docPr id="10056150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500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19245"/>
                    </a:xfrm>
                    <a:prstGeom prst="rect">
                      <a:avLst/>
                    </a:prstGeom>
                  </pic:spPr>
                </pic:pic>
              </a:graphicData>
            </a:graphic>
            <wp14:sizeRelH relativeFrom="page">
              <wp14:pctWidth>0</wp14:pctWidth>
            </wp14:sizeRelH>
            <wp14:sizeRelV relativeFrom="page">
              <wp14:pctHeight>0</wp14:pctHeight>
            </wp14:sizeRelV>
          </wp:anchor>
        </w:drawing>
      </w:r>
      <w:r w:rsidR="00CF18B0" w:rsidRPr="007B550D">
        <w:rPr>
          <w:rFonts w:ascii="Times New Roman" w:hAnsi="Times New Roman" w:cs="Times New Roman"/>
          <w:b/>
          <w:bCs/>
          <w:sz w:val="22"/>
        </w:rPr>
        <w:t>Figure 1: Pearson Correlation Matrix for Global Macroeconomic and Wealth Variables.</w:t>
      </w:r>
    </w:p>
    <w:p w14:paraId="14B4B77C" w14:textId="3EC2B8B7" w:rsidR="00C234FC" w:rsidRPr="007B550D" w:rsidRDefault="00C234FC" w:rsidP="007B550D">
      <w:pPr>
        <w:spacing w:after="0"/>
        <w:rPr>
          <w:rFonts w:ascii="Times New Roman" w:hAnsi="Times New Roman" w:cs="Times New Roman"/>
          <w:b/>
          <w:bCs/>
        </w:rPr>
      </w:pPr>
      <w:r w:rsidRPr="007B550D">
        <w:rPr>
          <w:rFonts w:ascii="Times New Roman" w:hAnsi="Times New Roman" w:cs="Times New Roman"/>
          <w:noProof/>
        </w:rPr>
        <w:lastRenderedPageBreak/>
        <w:drawing>
          <wp:anchor distT="0" distB="0" distL="114300" distR="114300" simplePos="0" relativeHeight="251659264" behindDoc="0" locked="0" layoutInCell="1" allowOverlap="1" wp14:anchorId="0C9F73CA" wp14:editId="71BD0CAD">
            <wp:simplePos x="0" y="0"/>
            <wp:positionH relativeFrom="column">
              <wp:posOffset>-177800</wp:posOffset>
            </wp:positionH>
            <wp:positionV relativeFrom="paragraph">
              <wp:posOffset>355600</wp:posOffset>
            </wp:positionV>
            <wp:extent cx="5943600" cy="5395595"/>
            <wp:effectExtent l="0" t="0" r="0" b="1905"/>
            <wp:wrapTopAndBottom/>
            <wp:docPr id="3345591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913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5395595"/>
                    </a:xfrm>
                    <a:prstGeom prst="rect">
                      <a:avLst/>
                    </a:prstGeom>
                  </pic:spPr>
                </pic:pic>
              </a:graphicData>
            </a:graphic>
            <wp14:sizeRelH relativeFrom="page">
              <wp14:pctWidth>0</wp14:pctWidth>
            </wp14:sizeRelH>
            <wp14:sizeRelV relativeFrom="page">
              <wp14:pctHeight>0</wp14:pctHeight>
            </wp14:sizeRelV>
          </wp:anchor>
        </w:drawing>
      </w:r>
    </w:p>
    <w:p w14:paraId="1B93BA55" w14:textId="5306AA6A" w:rsidR="00CF18B0" w:rsidRPr="007B550D" w:rsidRDefault="00CF18B0" w:rsidP="007B550D">
      <w:pPr>
        <w:spacing w:after="0"/>
        <w:jc w:val="center"/>
        <w:rPr>
          <w:rFonts w:ascii="Times New Roman" w:hAnsi="Times New Roman" w:cs="Times New Roman"/>
          <w:b/>
          <w:sz w:val="22"/>
        </w:rPr>
      </w:pPr>
      <w:r w:rsidRPr="007B550D">
        <w:rPr>
          <w:rFonts w:ascii="Times New Roman" w:hAnsi="Times New Roman" w:cs="Times New Roman"/>
          <w:b/>
          <w:bCs/>
          <w:sz w:val="22"/>
        </w:rPr>
        <w:t>Figure 2: Pearson Correlation Matrix for OECD (Advanced) Economies.</w:t>
      </w:r>
    </w:p>
    <w:p w14:paraId="5F37B82D" w14:textId="74968B12" w:rsidR="00C234FC" w:rsidRPr="007B550D" w:rsidRDefault="00C234FC" w:rsidP="007B550D">
      <w:pPr>
        <w:spacing w:after="0"/>
        <w:rPr>
          <w:rFonts w:ascii="Times New Roman" w:hAnsi="Times New Roman" w:cs="Times New Roman"/>
          <w:i/>
          <w:iCs/>
        </w:rPr>
      </w:pPr>
    </w:p>
    <w:p w14:paraId="330756B0" w14:textId="2A12F01B" w:rsidR="00C234FC" w:rsidRPr="007B550D" w:rsidRDefault="00C234FC" w:rsidP="007B550D">
      <w:pPr>
        <w:spacing w:after="0"/>
        <w:rPr>
          <w:rFonts w:ascii="Times New Roman" w:hAnsi="Times New Roman" w:cs="Times New Roman"/>
          <w:b/>
          <w:bCs/>
        </w:rPr>
      </w:pPr>
    </w:p>
    <w:p w14:paraId="658C6DCC" w14:textId="6AC0F291" w:rsidR="00C234FC" w:rsidRPr="007B550D" w:rsidRDefault="00C234FC" w:rsidP="007B550D">
      <w:pPr>
        <w:spacing w:after="0"/>
        <w:rPr>
          <w:rFonts w:ascii="Times New Roman" w:hAnsi="Times New Roman" w:cs="Times New Roman"/>
          <w:b/>
          <w:bCs/>
        </w:rPr>
      </w:pPr>
    </w:p>
    <w:p w14:paraId="02BDAC1B" w14:textId="206BECCC" w:rsidR="00C234FC" w:rsidRPr="007B550D" w:rsidRDefault="00C234FC" w:rsidP="007B550D">
      <w:pPr>
        <w:spacing w:after="0"/>
        <w:jc w:val="center"/>
        <w:rPr>
          <w:rFonts w:ascii="Times New Roman" w:hAnsi="Times New Roman" w:cs="Times New Roman"/>
          <w:b/>
          <w:sz w:val="22"/>
        </w:rPr>
      </w:pPr>
      <w:r w:rsidRPr="007B550D">
        <w:rPr>
          <w:rFonts w:ascii="Times New Roman" w:hAnsi="Times New Roman" w:cs="Times New Roman"/>
          <w:b/>
          <w:i/>
          <w:iCs/>
          <w:noProof/>
          <w:sz w:val="22"/>
        </w:rPr>
        <w:lastRenderedPageBreak/>
        <w:drawing>
          <wp:anchor distT="0" distB="0" distL="114300" distR="114300" simplePos="0" relativeHeight="251660288" behindDoc="0" locked="0" layoutInCell="1" allowOverlap="1" wp14:anchorId="0BAC6153" wp14:editId="5AB6FF56">
            <wp:simplePos x="0" y="0"/>
            <wp:positionH relativeFrom="column">
              <wp:posOffset>939800</wp:posOffset>
            </wp:positionH>
            <wp:positionV relativeFrom="paragraph">
              <wp:posOffset>0</wp:posOffset>
            </wp:positionV>
            <wp:extent cx="3467100" cy="3119279"/>
            <wp:effectExtent l="0" t="0" r="0" b="5080"/>
            <wp:wrapTopAndBottom/>
            <wp:docPr id="7766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647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7100" cy="3119279"/>
                    </a:xfrm>
                    <a:prstGeom prst="rect">
                      <a:avLst/>
                    </a:prstGeom>
                  </pic:spPr>
                </pic:pic>
              </a:graphicData>
            </a:graphic>
            <wp14:sizeRelH relativeFrom="page">
              <wp14:pctWidth>0</wp14:pctWidth>
            </wp14:sizeRelH>
            <wp14:sizeRelV relativeFrom="page">
              <wp14:pctHeight>0</wp14:pctHeight>
            </wp14:sizeRelV>
          </wp:anchor>
        </w:drawing>
      </w:r>
      <w:r w:rsidR="00CF18B0" w:rsidRPr="007B550D">
        <w:rPr>
          <w:rFonts w:ascii="Times New Roman" w:hAnsi="Times New Roman" w:cs="Times New Roman"/>
          <w:b/>
          <w:bCs/>
          <w:sz w:val="22"/>
        </w:rPr>
        <w:t>Figure 3: Pearson Correlation Matrix for OECD (Emerging) Economies.</w:t>
      </w:r>
    </w:p>
    <w:p w14:paraId="76E75C72" w14:textId="6768039B" w:rsidR="00C234FC" w:rsidRPr="007B550D" w:rsidRDefault="00C234FC" w:rsidP="007B550D">
      <w:pPr>
        <w:spacing w:after="0"/>
        <w:rPr>
          <w:rFonts w:ascii="Times New Roman" w:hAnsi="Times New Roman" w:cs="Times New Roman"/>
          <w:b/>
          <w:bCs/>
        </w:rPr>
      </w:pPr>
      <w:r w:rsidRPr="007B550D">
        <w:rPr>
          <w:rFonts w:ascii="Times New Roman" w:hAnsi="Times New Roman" w:cs="Times New Roman"/>
          <w:i/>
          <w:iCs/>
          <w:noProof/>
        </w:rPr>
        <w:drawing>
          <wp:anchor distT="0" distB="0" distL="114300" distR="114300" simplePos="0" relativeHeight="251661312" behindDoc="0" locked="0" layoutInCell="1" allowOverlap="1" wp14:anchorId="720A1330" wp14:editId="7FBEEDD5">
            <wp:simplePos x="0" y="0"/>
            <wp:positionH relativeFrom="column">
              <wp:posOffset>457200</wp:posOffset>
            </wp:positionH>
            <wp:positionV relativeFrom="paragraph">
              <wp:posOffset>431800</wp:posOffset>
            </wp:positionV>
            <wp:extent cx="4381500" cy="4064000"/>
            <wp:effectExtent l="0" t="0" r="0" b="0"/>
            <wp:wrapTopAndBottom/>
            <wp:docPr id="9015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35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1500" cy="4064000"/>
                    </a:xfrm>
                    <a:prstGeom prst="rect">
                      <a:avLst/>
                    </a:prstGeom>
                  </pic:spPr>
                </pic:pic>
              </a:graphicData>
            </a:graphic>
            <wp14:sizeRelH relativeFrom="page">
              <wp14:pctWidth>0</wp14:pctWidth>
            </wp14:sizeRelH>
            <wp14:sizeRelV relativeFrom="page">
              <wp14:pctHeight>0</wp14:pctHeight>
            </wp14:sizeRelV>
          </wp:anchor>
        </w:drawing>
      </w:r>
    </w:p>
    <w:p w14:paraId="5CEB6786" w14:textId="1310E70B" w:rsidR="00CF18B0" w:rsidRPr="007B550D" w:rsidRDefault="00CF18B0" w:rsidP="007B550D">
      <w:pPr>
        <w:spacing w:after="0"/>
        <w:jc w:val="center"/>
        <w:rPr>
          <w:rFonts w:ascii="Times New Roman" w:hAnsi="Times New Roman" w:cs="Times New Roman"/>
          <w:b/>
          <w:sz w:val="22"/>
        </w:rPr>
      </w:pPr>
      <w:r w:rsidRPr="007B550D">
        <w:rPr>
          <w:rFonts w:ascii="Times New Roman" w:hAnsi="Times New Roman" w:cs="Times New Roman"/>
          <w:b/>
          <w:bCs/>
          <w:sz w:val="22"/>
        </w:rPr>
        <w:t>Figure 4: Pearson Correlation Matrix for BRICS (Developing) Economies.</w:t>
      </w:r>
    </w:p>
    <w:p w14:paraId="4DEF6B0D" w14:textId="704807A0"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While correlation does not imply causation, these matrices serve as an essential operational check. The structural differences in capital behavior across distinct economic regimes are visually apparent. In the Advanced economies matrix, the relationship between debt accumulation and baseline GDP growth is flat, indicating a saturated, highly leveraged market where new debt has minimal impact. In contrast, the matrices for emerging and developing regimes reveal clear correlations between inflation, debt shocks, and wealth inequality.</w:t>
      </w:r>
    </w:p>
    <w:p w14:paraId="74EAB6B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These visual baselines lead directly into the central distributive critique of this paper: how this debt explicitly impacts wealth concentration, which we will deconstruct in the next section.</w:t>
      </w:r>
    </w:p>
    <w:p w14:paraId="6B70D1B6" w14:textId="77777777" w:rsidR="00CF18B0" w:rsidRPr="007B550D" w:rsidRDefault="00CF18B0" w:rsidP="007B550D">
      <w:pPr>
        <w:pStyle w:val="Heading3"/>
      </w:pPr>
      <w:bookmarkStart w:id="36" w:name="_Toc229116068"/>
      <w:r w:rsidRPr="007B550D">
        <w:t>5.1.2 Inequality and Systemic Correlations (The Wealth Data)</w:t>
      </w:r>
      <w:bookmarkEnd w:id="36"/>
    </w:p>
    <w:p w14:paraId="622A32B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section shifts focus from baseline macroeconomic health to the distributive dynamics of the system. To quantify these effects, a specific metric was developed for the panel: the Elite Capture Ratio (Wealth_Ratio_Top10_to_Bottom50). Unlike the generic Gini coefficient, this measure captures the exact multiple of wealth held by the top 10% of asset owners relative to the bottom 50% of the population. The findings suggest that the modern sovereign debt mechanism functions less as a macroeconomic rising tide and more as an efficient mechanism for wealth concentration.</w:t>
      </w:r>
    </w:p>
    <w:p w14:paraId="07E8A39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avoid repeating the baseline fiscal variables already established in the previous section, the table below isolates the statistical behavior of this specific wealth ratio across all observed economic blocs.</w:t>
      </w:r>
    </w:p>
    <w:p w14:paraId="3E92D910" w14:textId="77777777" w:rsidR="002F46E1" w:rsidRPr="007B550D" w:rsidRDefault="002F46E1" w:rsidP="007B550D">
      <w:pPr>
        <w:spacing w:after="0" w:afterAutospacing="1"/>
        <w:jc w:val="center"/>
        <w:rPr>
          <w:rFonts w:ascii="Times New Roman" w:eastAsia="Times New Roman" w:hAnsi="Times New Roman" w:cs="Times New Roman"/>
          <w:b/>
          <w:kern w:val="0"/>
          <w:sz w:val="22"/>
          <w14:ligatures w14:val="none"/>
        </w:rPr>
      </w:pPr>
      <w:r w:rsidRPr="007B550D">
        <w:rPr>
          <w:rFonts w:ascii="Times New Roman" w:eastAsia="Times New Roman" w:hAnsi="Times New Roman" w:cs="Times New Roman"/>
          <w:b/>
          <w:bCs/>
          <w:kern w:val="0"/>
          <w:sz w:val="22"/>
          <w14:ligatures w14:val="none"/>
        </w:rPr>
        <w:t>Table 6: Summary Statistics - Elite Capture Ratio (Top 10% vs. Bottom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750"/>
        <w:gridCol w:w="677"/>
        <w:gridCol w:w="957"/>
        <w:gridCol w:w="950"/>
        <w:gridCol w:w="1577"/>
        <w:gridCol w:w="885"/>
      </w:tblGrid>
      <w:tr w:rsidR="002F46E1" w:rsidRPr="007B550D" w14:paraId="09E3E33A"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E0F8F"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7A523"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EE6F"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5CD12"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Std.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926F2"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7F20C"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50% (Median)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D91ED"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Max</w:t>
            </w:r>
          </w:p>
        </w:tc>
      </w:tr>
      <w:tr w:rsidR="002F46E1" w:rsidRPr="007B550D" w14:paraId="370D0BB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0EF68"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Global Panel (All Entities)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D1944"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1204.0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EE6D3"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15.75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9EB12"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85.39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BDC47"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-2394.67</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E83F9"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12.81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9A008"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1194.17</w:t>
            </w:r>
          </w:p>
        </w:tc>
      </w:tr>
      <w:tr w:rsidR="002F46E1" w:rsidRPr="007B550D" w14:paraId="69150B12"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6C618"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A480E"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B29E9"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16.48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3ADFA"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99.27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643F6"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-2394.67</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9FCAD"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F3731"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1194.17</w:t>
            </w:r>
          </w:p>
        </w:tc>
      </w:tr>
      <w:tr w:rsidR="002F46E1" w:rsidRPr="007B550D" w14:paraId="5AB8B95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69B30"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C5EA0"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6DFF7"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10.64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AD748"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1AE3F"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-84.27</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69B37"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D537D"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42.84</w:t>
            </w:r>
          </w:p>
        </w:tc>
      </w:tr>
      <w:tr w:rsidR="002F46E1" w:rsidRPr="007B550D" w14:paraId="5728268F"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A99F6"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17963"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AB0F2"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2EF8F"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9.89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D0AE8"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82479"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15.26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C06A8"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36.95</w:t>
            </w:r>
          </w:p>
        </w:tc>
      </w:tr>
    </w:tbl>
    <w:p w14:paraId="3A5C1963" w14:textId="77777777" w:rsidR="002F46E1" w:rsidRPr="007B550D" w:rsidRDefault="002F46E1"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i/>
          <w:iCs/>
          <w:kern w:val="0"/>
          <w14:ligatures w14:val="none"/>
        </w:rPr>
        <w:t>Source: Author's calculations based on panel dataset.</w:t>
      </w:r>
    </w:p>
    <w:p w14:paraId="78944F5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The results are striking. On a global median, the top 10% own approximately 12.8 times the wealth of the entire bottom 50% combined. In the BRICS bloc, the mean elite capture ratio rises to 17.09, illustrating the aggressive consolidation of capital in developing institutional environments. </w:t>
      </w:r>
      <w:r w:rsidRPr="007B550D">
        <w:rPr>
          <w:rFonts w:ascii="Times New Roman" w:hAnsi="Times New Roman" w:cs="Times New Roman"/>
        </w:rPr>
        <w:lastRenderedPageBreak/>
        <w:t>Notably, extreme minimum values are observed in the Advanced and Emerging OECD blocs (reaching -2394.67). This outcome does not reflect a data error or systemic glitch. A highly negative wealth ratio indicates that the bottom 50% of the population holds more structural debt and liabilities than liquid assets. When central banks inject substantial credit to stimulate the economy, asset prices (such as equities and real estate) inflate, disproportionately benefiting the top decile, while the bottom half absorbs the resulting inflation and increases consumer debt to maintain consumption.</w:t>
      </w:r>
    </w:p>
    <w:p w14:paraId="6CB5C88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As with our baseline macroeconomic variables, we must ensure this newly engineered metric is mathematically viable before running it through the dynamic GMM and threshold engines.</w:t>
      </w:r>
    </w:p>
    <w:p w14:paraId="14DAB4CB" w14:textId="77777777" w:rsidR="00CF18B0" w:rsidRPr="007B550D" w:rsidRDefault="00CF18B0" w:rsidP="007B550D">
      <w:pPr>
        <w:spacing w:after="0"/>
        <w:jc w:val="center"/>
        <w:rPr>
          <w:rFonts w:ascii="Times New Roman" w:hAnsi="Times New Roman" w:cs="Times New Roman"/>
          <w:b/>
          <w:sz w:val="22"/>
        </w:rPr>
      </w:pPr>
      <w:r w:rsidRPr="007B550D">
        <w:rPr>
          <w:rFonts w:ascii="Times New Roman" w:hAnsi="Times New Roman" w:cs="Times New Roman"/>
          <w:b/>
          <w:bCs/>
          <w:sz w:val="22"/>
        </w:rPr>
        <w:t>Table 7: Panel Unit Root Tests for Elite Capture Ratio (ADF &amp; PP)</w:t>
      </w:r>
    </w:p>
    <w:p w14:paraId="255689D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i/>
          <w:iCs/>
        </w:rPr>
        <w:t>H0: The series has a unit root (NON-STATIONARY).</w:t>
      </w:r>
    </w:p>
    <w:p w14:paraId="03F1E80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i/>
          <w:iCs/>
        </w:rPr>
        <w:t>H1: The series is STATIONARY (p &lt; 0.05).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gridCol w:w="1404"/>
        <w:gridCol w:w="1204"/>
        <w:gridCol w:w="2646"/>
      </w:tblGrid>
      <w:tr w:rsidR="002F46E1" w:rsidRPr="007B550D" w14:paraId="4304882F"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4245B"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38DFA"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ADF 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A7E45"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PP 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AFDB9"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Joint Conclusion</w:t>
            </w:r>
          </w:p>
        </w:tc>
      </w:tr>
      <w:tr w:rsidR="002F46E1" w:rsidRPr="007B550D" w14:paraId="6079F2F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95515"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Wealth_Ratio_Top10_to_Bottom50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1D095"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BC8B0"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&lt;0.0001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EB245" w14:textId="77777777" w:rsidR="002F46E1" w:rsidRPr="007B550D" w:rsidRDefault="002F46E1"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ROBUST STATIONARY</w:t>
            </w:r>
          </w:p>
        </w:tc>
      </w:tr>
    </w:tbl>
    <w:p w14:paraId="416A7E71" w14:textId="77777777" w:rsidR="002F46E1" w:rsidRPr="007B550D" w:rsidRDefault="002F46E1"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i/>
          <w:iCs/>
          <w:kern w:val="0"/>
          <w14:ligatures w14:val="none"/>
        </w:rPr>
        <w:t>Source: Python Econometric Pipeline Outputs.</w:t>
      </w:r>
    </w:p>
    <w:p w14:paraId="4DEB617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unit root tests clear the deck. The wealth ratio is perfectly stationary, allowing us to safely model its causal interaction with sovereign debt.</w:t>
      </w:r>
    </w:p>
    <w:p w14:paraId="5A07895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visualize these structural interactions, the Python pipeline generated Pearson correlation matrices that map the wealth ratio to our core fiscal indicators across all institutional regimes.</w:t>
      </w:r>
    </w:p>
    <w:p w14:paraId="605E27BB" w14:textId="0FDBF2FE" w:rsidR="002F46E1" w:rsidRPr="007B550D" w:rsidRDefault="002F46E1" w:rsidP="007B550D">
      <w:pPr>
        <w:spacing w:after="0"/>
        <w:rPr>
          <w:rFonts w:ascii="Times New Roman" w:hAnsi="Times New Roman" w:cs="Times New Roman"/>
          <w:i/>
          <w:iCs/>
        </w:rPr>
      </w:pPr>
      <w:r w:rsidRPr="007B550D">
        <w:rPr>
          <w:rFonts w:ascii="Times New Roman" w:eastAsia="Times New Roman" w:hAnsi="Times New Roman" w:cs="Times New Roman"/>
          <w:i/>
          <w:iCs/>
          <w:noProof/>
          <w:kern w:val="0"/>
          <w14:ligatures w14:val="none"/>
        </w:rPr>
        <w:lastRenderedPageBreak/>
        <w:drawing>
          <wp:anchor distT="0" distB="0" distL="114300" distR="114300" simplePos="0" relativeHeight="251662336" behindDoc="0" locked="0" layoutInCell="1" allowOverlap="1" wp14:anchorId="51A6CAA6" wp14:editId="46E91AAD">
            <wp:simplePos x="0" y="0"/>
            <wp:positionH relativeFrom="column">
              <wp:posOffset>0</wp:posOffset>
            </wp:positionH>
            <wp:positionV relativeFrom="paragraph">
              <wp:posOffset>-3719195</wp:posOffset>
            </wp:positionV>
            <wp:extent cx="5943600" cy="3920490"/>
            <wp:effectExtent l="0" t="0" r="0" b="3810"/>
            <wp:wrapTopAndBottom/>
            <wp:docPr id="23797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7523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920490"/>
                    </a:xfrm>
                    <a:prstGeom prst="rect">
                      <a:avLst/>
                    </a:prstGeom>
                  </pic:spPr>
                </pic:pic>
              </a:graphicData>
            </a:graphic>
            <wp14:sizeRelH relativeFrom="page">
              <wp14:pctWidth>0</wp14:pctWidth>
            </wp14:sizeRelH>
            <wp14:sizeRelV relativeFrom="page">
              <wp14:pctHeight>0</wp14:pctHeight>
            </wp14:sizeRelV>
          </wp:anchor>
        </w:drawing>
      </w:r>
    </w:p>
    <w:p w14:paraId="31F547D2" w14:textId="5E5AE008" w:rsidR="002F46E1" w:rsidRPr="007B550D" w:rsidRDefault="00CF18B0" w:rsidP="007B550D">
      <w:pPr>
        <w:spacing w:after="0"/>
        <w:jc w:val="center"/>
        <w:rPr>
          <w:rFonts w:ascii="Times New Roman" w:hAnsi="Times New Roman" w:cs="Times New Roman"/>
          <w:b/>
          <w:sz w:val="22"/>
        </w:rPr>
      </w:pPr>
      <w:r w:rsidRPr="007B550D">
        <w:rPr>
          <w:rFonts w:ascii="Times New Roman" w:hAnsi="Times New Roman" w:cs="Times New Roman"/>
          <w:b/>
          <w:bCs/>
          <w:sz w:val="22"/>
        </w:rPr>
        <w:t xml:space="preserve">Figure 1: Pearson Correlation Matrix for </w:t>
      </w:r>
    </w:p>
    <w:p w14:paraId="44C99510" w14:textId="77777777" w:rsidR="002F46E1" w:rsidRPr="007B550D" w:rsidRDefault="002F46E1" w:rsidP="007B550D">
      <w:pPr>
        <w:spacing w:after="0"/>
        <w:rPr>
          <w:rFonts w:ascii="Times New Roman" w:hAnsi="Times New Roman" w:cs="Times New Roman"/>
          <w:b/>
          <w:bCs/>
        </w:rPr>
      </w:pPr>
    </w:p>
    <w:p w14:paraId="3305FBB4" w14:textId="77777777" w:rsidR="002F46E1" w:rsidRPr="007B550D" w:rsidRDefault="002F46E1" w:rsidP="007B550D">
      <w:pPr>
        <w:spacing w:after="0"/>
        <w:rPr>
          <w:rFonts w:ascii="Times New Roman" w:hAnsi="Times New Roman" w:cs="Times New Roman"/>
          <w:b/>
          <w:bCs/>
        </w:rPr>
      </w:pPr>
    </w:p>
    <w:p w14:paraId="1F9E7198" w14:textId="77777777" w:rsidR="002F46E1" w:rsidRPr="007B550D" w:rsidRDefault="002F46E1" w:rsidP="007B550D">
      <w:pPr>
        <w:spacing w:after="0"/>
        <w:rPr>
          <w:rFonts w:ascii="Times New Roman" w:hAnsi="Times New Roman" w:cs="Times New Roman"/>
          <w:b/>
          <w:bCs/>
        </w:rPr>
      </w:pPr>
    </w:p>
    <w:p w14:paraId="5717480B" w14:textId="77777777" w:rsidR="002F46E1" w:rsidRPr="007B550D" w:rsidRDefault="002F46E1" w:rsidP="007B550D">
      <w:pPr>
        <w:spacing w:after="0"/>
        <w:rPr>
          <w:rFonts w:ascii="Times New Roman" w:hAnsi="Times New Roman" w:cs="Times New Roman"/>
          <w:b/>
          <w:bCs/>
        </w:rPr>
      </w:pPr>
    </w:p>
    <w:p w14:paraId="5F3C141A" w14:textId="77777777" w:rsidR="002F46E1" w:rsidRPr="007B550D" w:rsidRDefault="002F46E1" w:rsidP="007B550D">
      <w:pPr>
        <w:spacing w:after="0"/>
        <w:rPr>
          <w:rFonts w:ascii="Times New Roman" w:hAnsi="Times New Roman" w:cs="Times New Roman"/>
          <w:b/>
          <w:bCs/>
        </w:rPr>
      </w:pPr>
    </w:p>
    <w:p w14:paraId="7D92E9DB" w14:textId="77777777" w:rsidR="002F46E1" w:rsidRPr="007B550D" w:rsidRDefault="002F46E1" w:rsidP="007B550D">
      <w:pPr>
        <w:spacing w:after="0"/>
        <w:rPr>
          <w:rFonts w:ascii="Times New Roman" w:hAnsi="Times New Roman" w:cs="Times New Roman"/>
          <w:b/>
          <w:bCs/>
        </w:rPr>
      </w:pPr>
    </w:p>
    <w:p w14:paraId="40178C0F" w14:textId="60812EAD" w:rsidR="002F46E1" w:rsidRPr="007B550D" w:rsidRDefault="002F46E1" w:rsidP="007B550D">
      <w:pPr>
        <w:spacing w:after="0"/>
        <w:jc w:val="center"/>
        <w:rPr>
          <w:rFonts w:ascii="Times New Roman" w:hAnsi="Times New Roman" w:cs="Times New Roman"/>
          <w:b/>
          <w:sz w:val="22"/>
        </w:rPr>
      </w:pPr>
      <w:r w:rsidRPr="007B550D">
        <w:rPr>
          <w:rFonts w:ascii="Times New Roman" w:eastAsia="Times New Roman" w:hAnsi="Times New Roman" w:cs="Times New Roman"/>
          <w:b/>
          <w:i/>
          <w:iCs/>
          <w:noProof/>
          <w:kern w:val="0"/>
          <w:sz w:val="22"/>
          <w14:ligatures w14:val="none"/>
        </w:rPr>
        <w:lastRenderedPageBreak/>
        <w:drawing>
          <wp:anchor distT="0" distB="0" distL="114300" distR="114300" simplePos="0" relativeHeight="251664384" behindDoc="0" locked="0" layoutInCell="1" allowOverlap="1" wp14:anchorId="7B1DE2EA" wp14:editId="09C2041B">
            <wp:simplePos x="0" y="0"/>
            <wp:positionH relativeFrom="column">
              <wp:posOffset>0</wp:posOffset>
            </wp:positionH>
            <wp:positionV relativeFrom="paragraph">
              <wp:posOffset>0</wp:posOffset>
            </wp:positionV>
            <wp:extent cx="5943600" cy="4330700"/>
            <wp:effectExtent l="0" t="0" r="0" b="0"/>
            <wp:wrapTopAndBottom/>
            <wp:docPr id="99163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3842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330700"/>
                    </a:xfrm>
                    <a:prstGeom prst="rect">
                      <a:avLst/>
                    </a:prstGeom>
                  </pic:spPr>
                </pic:pic>
              </a:graphicData>
            </a:graphic>
            <wp14:sizeRelH relativeFrom="page">
              <wp14:pctWidth>0</wp14:pctWidth>
            </wp14:sizeRelH>
            <wp14:sizeRelV relativeFrom="page">
              <wp14:pctHeight>0</wp14:pctHeight>
            </wp14:sizeRelV>
          </wp:anchor>
        </w:drawing>
      </w:r>
      <w:r w:rsidR="00CF18B0" w:rsidRPr="007B550D">
        <w:rPr>
          <w:rFonts w:ascii="Times New Roman" w:hAnsi="Times New Roman" w:cs="Times New Roman"/>
          <w:b/>
          <w:bCs/>
          <w:sz w:val="22"/>
        </w:rPr>
        <w:t>Figure 2: Pearson Correlation Matrix for OECD (Advanced) Economies.</w:t>
      </w:r>
    </w:p>
    <w:p w14:paraId="30F9A84A" w14:textId="63E0FEF3" w:rsidR="002F46E1" w:rsidRPr="007B550D" w:rsidRDefault="002F46E1" w:rsidP="007B550D">
      <w:pPr>
        <w:spacing w:after="0"/>
        <w:rPr>
          <w:rFonts w:ascii="Times New Roman" w:hAnsi="Times New Roman" w:cs="Times New Roman"/>
          <w:b/>
          <w:bCs/>
        </w:rPr>
      </w:pPr>
    </w:p>
    <w:p w14:paraId="1ABEC2F4" w14:textId="77777777" w:rsidR="002F46E1" w:rsidRPr="007B550D" w:rsidRDefault="002F46E1" w:rsidP="007B550D">
      <w:pPr>
        <w:spacing w:after="0"/>
        <w:rPr>
          <w:rFonts w:ascii="Times New Roman" w:hAnsi="Times New Roman" w:cs="Times New Roman"/>
          <w:b/>
          <w:bCs/>
        </w:rPr>
      </w:pPr>
    </w:p>
    <w:p w14:paraId="62ACECED" w14:textId="77777777" w:rsidR="002F46E1" w:rsidRPr="007B550D" w:rsidRDefault="002F46E1" w:rsidP="007B550D">
      <w:pPr>
        <w:spacing w:after="0"/>
        <w:rPr>
          <w:rFonts w:ascii="Times New Roman" w:hAnsi="Times New Roman" w:cs="Times New Roman"/>
          <w:b/>
          <w:bCs/>
        </w:rPr>
      </w:pPr>
    </w:p>
    <w:p w14:paraId="63DC437A" w14:textId="77777777" w:rsidR="002F46E1" w:rsidRPr="007B550D" w:rsidRDefault="002F46E1" w:rsidP="007B550D">
      <w:pPr>
        <w:spacing w:after="0"/>
        <w:rPr>
          <w:rFonts w:ascii="Times New Roman" w:hAnsi="Times New Roman" w:cs="Times New Roman"/>
          <w:b/>
          <w:bCs/>
        </w:rPr>
      </w:pPr>
    </w:p>
    <w:p w14:paraId="174326A8" w14:textId="77777777" w:rsidR="002F46E1" w:rsidRPr="007B550D" w:rsidRDefault="002F46E1" w:rsidP="007B550D">
      <w:pPr>
        <w:spacing w:after="0"/>
        <w:rPr>
          <w:rFonts w:ascii="Times New Roman" w:hAnsi="Times New Roman" w:cs="Times New Roman"/>
          <w:b/>
          <w:bCs/>
        </w:rPr>
      </w:pPr>
    </w:p>
    <w:p w14:paraId="475F891B" w14:textId="77777777" w:rsidR="002F46E1" w:rsidRPr="007B550D" w:rsidRDefault="002F46E1" w:rsidP="007B550D">
      <w:pPr>
        <w:spacing w:after="0"/>
        <w:rPr>
          <w:rFonts w:ascii="Times New Roman" w:hAnsi="Times New Roman" w:cs="Times New Roman"/>
          <w:b/>
          <w:bCs/>
        </w:rPr>
      </w:pPr>
    </w:p>
    <w:p w14:paraId="3C432A68" w14:textId="44661312" w:rsidR="002F46E1" w:rsidRPr="007B550D" w:rsidRDefault="002F46E1" w:rsidP="007B550D">
      <w:pPr>
        <w:spacing w:after="0"/>
        <w:rPr>
          <w:rFonts w:ascii="Times New Roman" w:hAnsi="Times New Roman" w:cs="Times New Roman"/>
          <w:b/>
          <w:bCs/>
        </w:rPr>
      </w:pPr>
    </w:p>
    <w:p w14:paraId="5435EC18" w14:textId="56E87A83" w:rsidR="002F46E1" w:rsidRPr="007B550D" w:rsidRDefault="002F46E1" w:rsidP="007B550D">
      <w:pPr>
        <w:spacing w:after="0"/>
        <w:jc w:val="center"/>
        <w:rPr>
          <w:rFonts w:ascii="Times New Roman" w:hAnsi="Times New Roman" w:cs="Times New Roman"/>
          <w:b/>
          <w:sz w:val="22"/>
        </w:rPr>
      </w:pPr>
      <w:r w:rsidRPr="007B550D">
        <w:rPr>
          <w:rFonts w:ascii="Times New Roman" w:eastAsia="Times New Roman" w:hAnsi="Times New Roman" w:cs="Times New Roman"/>
          <w:b/>
          <w:i/>
          <w:iCs/>
          <w:noProof/>
          <w:kern w:val="0"/>
          <w:sz w:val="22"/>
          <w14:ligatures w14:val="none"/>
        </w:rPr>
        <w:lastRenderedPageBreak/>
        <w:drawing>
          <wp:anchor distT="0" distB="0" distL="114300" distR="114300" simplePos="0" relativeHeight="251665408" behindDoc="0" locked="0" layoutInCell="1" allowOverlap="1" wp14:anchorId="08065CC3" wp14:editId="1DC7D6E9">
            <wp:simplePos x="0" y="0"/>
            <wp:positionH relativeFrom="column">
              <wp:posOffset>0</wp:posOffset>
            </wp:positionH>
            <wp:positionV relativeFrom="paragraph">
              <wp:posOffset>0</wp:posOffset>
            </wp:positionV>
            <wp:extent cx="5930900" cy="5365750"/>
            <wp:effectExtent l="0" t="0" r="0" b="6350"/>
            <wp:wrapTopAndBottom/>
            <wp:docPr id="161681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16411" name=""/>
                    <pic:cNvPicPr/>
                  </pic:nvPicPr>
                  <pic:blipFill>
                    <a:blip r:embed="rId17">
                      <a:extLst>
                        <a:ext uri="{28A0092B-C50C-407E-A947-70E740481C1C}">
                          <a14:useLocalDpi xmlns:a14="http://schemas.microsoft.com/office/drawing/2010/main" val="0"/>
                        </a:ext>
                      </a:extLst>
                    </a:blip>
                    <a:stretch>
                      <a:fillRect/>
                    </a:stretch>
                  </pic:blipFill>
                  <pic:spPr>
                    <a:xfrm>
                      <a:off x="0" y="0"/>
                      <a:ext cx="5930900" cy="5365750"/>
                    </a:xfrm>
                    <a:prstGeom prst="rect">
                      <a:avLst/>
                    </a:prstGeom>
                  </pic:spPr>
                </pic:pic>
              </a:graphicData>
            </a:graphic>
            <wp14:sizeRelH relativeFrom="page">
              <wp14:pctWidth>0</wp14:pctWidth>
            </wp14:sizeRelH>
            <wp14:sizeRelV relativeFrom="page">
              <wp14:pctHeight>0</wp14:pctHeight>
            </wp14:sizeRelV>
          </wp:anchor>
        </w:drawing>
      </w:r>
      <w:r w:rsidR="00CF18B0" w:rsidRPr="007B550D">
        <w:rPr>
          <w:rFonts w:ascii="Times New Roman" w:hAnsi="Times New Roman" w:cs="Times New Roman"/>
          <w:b/>
          <w:bCs/>
          <w:sz w:val="22"/>
        </w:rPr>
        <w:t>Figure 3: Pearson Correlation Matrix for OECD (Emerging) Economies.</w:t>
      </w:r>
    </w:p>
    <w:p w14:paraId="3FAEC9F7" w14:textId="1F7C7DCE" w:rsidR="002F46E1" w:rsidRPr="007B550D" w:rsidRDefault="002F46E1" w:rsidP="007B550D">
      <w:pPr>
        <w:spacing w:after="0"/>
        <w:rPr>
          <w:rFonts w:ascii="Times New Roman" w:hAnsi="Times New Roman" w:cs="Times New Roman"/>
          <w:b/>
          <w:bCs/>
        </w:rPr>
      </w:pPr>
    </w:p>
    <w:p w14:paraId="61649E11" w14:textId="56316965" w:rsidR="002F46E1" w:rsidRPr="007B550D" w:rsidRDefault="002F46E1" w:rsidP="007B550D">
      <w:pPr>
        <w:spacing w:after="0"/>
        <w:rPr>
          <w:rFonts w:ascii="Times New Roman" w:hAnsi="Times New Roman" w:cs="Times New Roman"/>
          <w:b/>
          <w:bCs/>
        </w:rPr>
      </w:pPr>
    </w:p>
    <w:p w14:paraId="5CE53650" w14:textId="03FB33C6" w:rsidR="002F46E1" w:rsidRPr="007B550D" w:rsidRDefault="002F46E1" w:rsidP="007B550D">
      <w:pPr>
        <w:spacing w:after="0"/>
        <w:rPr>
          <w:rFonts w:ascii="Times New Roman" w:hAnsi="Times New Roman" w:cs="Times New Roman"/>
          <w:b/>
          <w:bCs/>
        </w:rPr>
      </w:pPr>
    </w:p>
    <w:p w14:paraId="555E2D64" w14:textId="77777777" w:rsidR="002F46E1" w:rsidRPr="007B550D" w:rsidRDefault="002F46E1" w:rsidP="007B550D">
      <w:pPr>
        <w:spacing w:after="0"/>
        <w:rPr>
          <w:rFonts w:ascii="Times New Roman" w:hAnsi="Times New Roman" w:cs="Times New Roman"/>
          <w:b/>
          <w:bCs/>
        </w:rPr>
      </w:pPr>
    </w:p>
    <w:p w14:paraId="38CD82E5" w14:textId="77777777" w:rsidR="002F46E1" w:rsidRPr="007B550D" w:rsidRDefault="002F46E1" w:rsidP="007B550D">
      <w:pPr>
        <w:spacing w:after="0"/>
        <w:rPr>
          <w:rFonts w:ascii="Times New Roman" w:hAnsi="Times New Roman" w:cs="Times New Roman"/>
          <w:b/>
          <w:bCs/>
        </w:rPr>
      </w:pPr>
    </w:p>
    <w:p w14:paraId="4B2FBDDB" w14:textId="77777777" w:rsidR="002F46E1" w:rsidRPr="007B550D" w:rsidRDefault="002F46E1" w:rsidP="007B550D">
      <w:pPr>
        <w:spacing w:after="0"/>
        <w:rPr>
          <w:rFonts w:ascii="Times New Roman" w:hAnsi="Times New Roman" w:cs="Times New Roman"/>
          <w:b/>
          <w:bCs/>
        </w:rPr>
      </w:pPr>
    </w:p>
    <w:p w14:paraId="0B5067C8" w14:textId="77777777" w:rsidR="002F46E1" w:rsidRPr="007B550D" w:rsidRDefault="002F46E1" w:rsidP="007B550D">
      <w:pPr>
        <w:spacing w:after="0"/>
        <w:rPr>
          <w:rFonts w:ascii="Times New Roman" w:hAnsi="Times New Roman" w:cs="Times New Roman"/>
          <w:b/>
          <w:bCs/>
        </w:rPr>
      </w:pPr>
    </w:p>
    <w:p w14:paraId="15F1120A" w14:textId="3537FE60" w:rsidR="002F46E1" w:rsidRPr="007B550D" w:rsidRDefault="002F46E1" w:rsidP="007B550D">
      <w:pPr>
        <w:spacing w:after="0"/>
        <w:rPr>
          <w:rFonts w:ascii="Times New Roman" w:hAnsi="Times New Roman" w:cs="Times New Roman"/>
          <w:b/>
          <w:bCs/>
        </w:rPr>
      </w:pPr>
    </w:p>
    <w:p w14:paraId="3161BE8C" w14:textId="3339A6BB" w:rsidR="002F46E1" w:rsidRPr="007B550D" w:rsidRDefault="002F46E1" w:rsidP="007B550D">
      <w:pPr>
        <w:spacing w:after="0"/>
        <w:rPr>
          <w:rFonts w:ascii="Times New Roman" w:hAnsi="Times New Roman" w:cs="Times New Roman"/>
          <w:b/>
          <w:bCs/>
        </w:rPr>
      </w:pPr>
    </w:p>
    <w:p w14:paraId="2A3BF5BD" w14:textId="2D332E7C" w:rsidR="002F46E1" w:rsidRPr="007B550D" w:rsidRDefault="002F46E1" w:rsidP="007B550D">
      <w:pPr>
        <w:spacing w:after="0"/>
        <w:rPr>
          <w:rFonts w:ascii="Times New Roman" w:hAnsi="Times New Roman" w:cs="Times New Roman"/>
          <w:b/>
          <w:bCs/>
        </w:rPr>
      </w:pPr>
      <w:r w:rsidRPr="007B550D">
        <w:rPr>
          <w:rFonts w:ascii="Times New Roman" w:eastAsia="Times New Roman" w:hAnsi="Times New Roman" w:cs="Times New Roman"/>
          <w:i/>
          <w:iCs/>
          <w:noProof/>
          <w:kern w:val="0"/>
          <w14:ligatures w14:val="none"/>
        </w:rPr>
        <w:lastRenderedPageBreak/>
        <w:drawing>
          <wp:anchor distT="0" distB="0" distL="114300" distR="114300" simplePos="0" relativeHeight="251667456" behindDoc="0" locked="0" layoutInCell="1" allowOverlap="1" wp14:anchorId="2DB2C048" wp14:editId="12A1F794">
            <wp:simplePos x="0" y="0"/>
            <wp:positionH relativeFrom="column">
              <wp:posOffset>379730</wp:posOffset>
            </wp:positionH>
            <wp:positionV relativeFrom="paragraph">
              <wp:posOffset>444500</wp:posOffset>
            </wp:positionV>
            <wp:extent cx="4686935" cy="4356100"/>
            <wp:effectExtent l="0" t="0" r="0" b="0"/>
            <wp:wrapTopAndBottom/>
            <wp:docPr id="201893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0666" name=""/>
                    <pic:cNvPicPr/>
                  </pic:nvPicPr>
                  <pic:blipFill>
                    <a:blip r:embed="rId18">
                      <a:extLst>
                        <a:ext uri="{28A0092B-C50C-407E-A947-70E740481C1C}">
                          <a14:useLocalDpi xmlns:a14="http://schemas.microsoft.com/office/drawing/2010/main" val="0"/>
                        </a:ext>
                      </a:extLst>
                    </a:blip>
                    <a:stretch>
                      <a:fillRect/>
                    </a:stretch>
                  </pic:blipFill>
                  <pic:spPr>
                    <a:xfrm>
                      <a:off x="0" y="0"/>
                      <a:ext cx="4686935" cy="4356100"/>
                    </a:xfrm>
                    <a:prstGeom prst="rect">
                      <a:avLst/>
                    </a:prstGeom>
                  </pic:spPr>
                </pic:pic>
              </a:graphicData>
            </a:graphic>
            <wp14:sizeRelH relativeFrom="page">
              <wp14:pctWidth>0</wp14:pctWidth>
            </wp14:sizeRelH>
            <wp14:sizeRelV relativeFrom="page">
              <wp14:pctHeight>0</wp14:pctHeight>
            </wp14:sizeRelV>
          </wp:anchor>
        </w:drawing>
      </w:r>
    </w:p>
    <w:p w14:paraId="4C3E286F" w14:textId="32A2D073" w:rsidR="002F46E1" w:rsidRPr="007B550D" w:rsidRDefault="002F46E1" w:rsidP="007B550D">
      <w:pPr>
        <w:spacing w:after="0"/>
        <w:rPr>
          <w:rFonts w:ascii="Times New Roman" w:hAnsi="Times New Roman" w:cs="Times New Roman"/>
          <w:b/>
          <w:bCs/>
        </w:rPr>
      </w:pPr>
    </w:p>
    <w:p w14:paraId="53CFDF26" w14:textId="17A33343" w:rsidR="00CF18B0" w:rsidRPr="007B550D" w:rsidRDefault="00CF18B0" w:rsidP="007B550D">
      <w:pPr>
        <w:spacing w:after="0"/>
        <w:jc w:val="center"/>
        <w:rPr>
          <w:rFonts w:ascii="Times New Roman" w:hAnsi="Times New Roman" w:cs="Times New Roman"/>
          <w:b/>
          <w:sz w:val="22"/>
        </w:rPr>
      </w:pPr>
      <w:r w:rsidRPr="007B550D">
        <w:rPr>
          <w:rFonts w:ascii="Times New Roman" w:hAnsi="Times New Roman" w:cs="Times New Roman"/>
          <w:b/>
          <w:bCs/>
          <w:sz w:val="22"/>
        </w:rPr>
        <w:t>Figure 4: Pearson Correlation Matrix for BRICS (Developing) Economies.</w:t>
      </w:r>
    </w:p>
    <w:p w14:paraId="68B08D71" w14:textId="0C3C6D23"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While correlation obviously does not equate to pure causation—which is exactly why we deploy the Difference GMM in the next phase—these visual matrices act as a critical sanity check. You can see the distinct signatures of how capital misallocates across different regimes.</w:t>
      </w:r>
    </w:p>
    <w:p w14:paraId="582F23AE" w14:textId="4BB61BF9"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 the OECD Advanced matrix, the relationship between debt accumulation and real GDP growth is visually flat, suggesting a highly saturated market in which leverage yields almost zero marginal return. Yet in the emerging and developing blocs, the correlations between debt shocks, inflation spikes, and subsequent elite wealth capture are clear. When the macroeconomic environment becomes unstable, capital consolidates upwards at an accelerated rate.</w:t>
      </w:r>
    </w:p>
    <w:p w14:paraId="2378BF2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These visual baselines lead us directly to the thesis's core quantitative mission: proving mathematically exactly when and how this upward consolidation triggers.</w:t>
      </w:r>
    </w:p>
    <w:p w14:paraId="6A4AE994" w14:textId="77777777" w:rsidR="00CF18B0" w:rsidRPr="007B550D" w:rsidRDefault="00CF18B0" w:rsidP="007B550D">
      <w:pPr>
        <w:pStyle w:val="Heading2"/>
      </w:pPr>
      <w:bookmarkStart w:id="37" w:name="_Toc229116069"/>
      <w:r w:rsidRPr="007B550D">
        <w:lastRenderedPageBreak/>
        <w:t>5.2 Baseline Regressions and the Endogeneity Trap</w:t>
      </w:r>
      <w:bookmarkEnd w:id="37"/>
    </w:p>
    <w:p w14:paraId="56EFB08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With the exploratory data outlining the structural divergences across our economic blocs, the next step is to run the baseline panel regressions. We need to observe how sovereign debt interacts with GDP growth and wealth concentration across two distinct macroeconomic eras: the relatively stable pre-crisis period (1995-2008) and the quantitative easing era post-crisis (2009-2022).</w:t>
      </w:r>
    </w:p>
    <w:p w14:paraId="4453014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Before generating the models, every panel was subjected to a Hausman specification test to mathematically determine whether to use Fixed Effects (FE) or Random Effects (RE). The majority of the sub-blocs required Fixed Effects, indicating that unobserved, country-specific institutional characteristics heavily dictate how a nation digests its debt.</w:t>
      </w:r>
    </w:p>
    <w:p w14:paraId="3F6403E3" w14:textId="77777777" w:rsidR="00CF18B0" w:rsidRPr="007B550D" w:rsidRDefault="00CF18B0" w:rsidP="007B550D">
      <w:pPr>
        <w:pStyle w:val="Heading3"/>
      </w:pPr>
      <w:bookmarkStart w:id="38" w:name="_Toc229116070"/>
      <w:r w:rsidRPr="007B550D">
        <w:t>5.2.1 Baseline GDP Models (The Growth Illusion)</w:t>
      </w:r>
      <w:bookmarkEnd w:id="38"/>
    </w:p>
    <w:p w14:paraId="7AF5FD2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cleanly aggregate the extensive regression and ANOVA outputs, the table below compiles the core model diagnostics alongside the specific coefficient for our primary independent variable (General Government Debt % of GDP).</w:t>
      </w:r>
    </w:p>
    <w:p w14:paraId="78F8864E" w14:textId="77777777" w:rsidR="002F46E1" w:rsidRPr="007B550D" w:rsidRDefault="002F46E1" w:rsidP="007B550D">
      <w:pPr>
        <w:pStyle w:val="NormalWeb"/>
        <w:spacing w:before="0" w:beforeAutospacing="0" w:after="0" w:line="400" w:lineRule="exact"/>
        <w:jc w:val="center"/>
        <w:rPr>
          <w:b/>
          <w:sz w:val="22"/>
        </w:rPr>
      </w:pPr>
      <w:r w:rsidRPr="007B550D">
        <w:rPr>
          <w:b/>
          <w:bCs/>
          <w:sz w:val="22"/>
        </w:rPr>
        <w:t>Table 8: Baseline Panel Regressions &amp; ANOVA Diagnostics — Dependent Variable: GDP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117"/>
        <w:gridCol w:w="1498"/>
        <w:gridCol w:w="1010"/>
        <w:gridCol w:w="1456"/>
        <w:gridCol w:w="916"/>
        <w:gridCol w:w="816"/>
        <w:gridCol w:w="828"/>
      </w:tblGrid>
      <w:tr w:rsidR="002F46E1" w:rsidRPr="007B550D" w14:paraId="4F6045AE"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5547F"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77736"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51BD2"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Model (Hausman)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932E3"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R² (Adj R²)</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20204"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ANOVA F-Stat (Sig F)</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3F4E0"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Debt Coeff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5E94E"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Std. Err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41B18"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P-Value</w:t>
            </w:r>
          </w:p>
        </w:tc>
      </w:tr>
      <w:tr w:rsidR="002F46E1" w:rsidRPr="007B550D" w14:paraId="103BE7BF"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DF58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Global 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05924"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8768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RE (p=0.000)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8A2BC"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0.589 (0.540)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80A3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23.21 (&lt;0.001)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DE7C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1B5DA"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A500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0.945</w:t>
            </w:r>
          </w:p>
        </w:tc>
      </w:tr>
      <w:tr w:rsidR="002F46E1" w:rsidRPr="007B550D" w14:paraId="10619990"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6326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84CB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4FF1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C29E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0.569 (0.516)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003AC"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20.45 (&lt;0.001)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9E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CCB3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C25C3"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0.242</w:t>
            </w:r>
          </w:p>
        </w:tc>
      </w:tr>
      <w:tr w:rsidR="002F46E1" w:rsidRPr="007B550D" w14:paraId="239A2B7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CD62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F2E91"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A393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1797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0.680 (0.521)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EF5C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6.55 (0.0003)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7715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3EA3A"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0.0526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D81D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0.823</w:t>
            </w:r>
          </w:p>
        </w:tc>
      </w:tr>
      <w:tr w:rsidR="002F46E1" w:rsidRPr="007B550D" w14:paraId="35ECC8E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1FCF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3A624"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9954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1D69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0.826 (0.729)</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10424"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8.08 (&lt;0.001)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8AAE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-0.0888</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137E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9BC6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&lt;0.001</w:t>
            </w:r>
          </w:p>
        </w:tc>
      </w:tr>
      <w:tr w:rsidR="002F46E1" w:rsidRPr="007B550D" w14:paraId="26B6587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51752" w14:textId="77777777" w:rsidR="002F46E1" w:rsidRPr="007B550D" w:rsidRDefault="002F46E1" w:rsidP="007B550D">
            <w:pPr>
              <w:spacing w:after="0"/>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ABC7BDC"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E85CF1"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428855"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74E53E"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8B567E"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81C085"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C37042" w14:textId="77777777" w:rsidR="002F46E1" w:rsidRPr="007B550D" w:rsidRDefault="002F46E1" w:rsidP="007B550D">
            <w:pPr>
              <w:spacing w:after="0"/>
              <w:rPr>
                <w:rFonts w:ascii="Times New Roman" w:hAnsi="Times New Roman" w:cs="Times New Roman"/>
                <w:szCs w:val="20"/>
              </w:rPr>
            </w:pPr>
          </w:p>
        </w:tc>
      </w:tr>
      <w:tr w:rsidR="002F46E1" w:rsidRPr="007B550D" w14:paraId="1BBAB87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C817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Global 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F302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65EE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RE (p=1.000)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3492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0.668 (0.632)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A9F2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17.92 (&lt;0.001)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8A5B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-0.0076</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A0B5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1C25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0.630</w:t>
            </w:r>
          </w:p>
        </w:tc>
      </w:tr>
      <w:tr w:rsidR="002F46E1" w:rsidRPr="007B550D" w14:paraId="6FA292F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2792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lastRenderedPageBreak/>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FA10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1F9D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A749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0.657 (0.615)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7834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8.15 (&lt;0.001)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3D3A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C2CA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0.0187</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9BAD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0.968</w:t>
            </w:r>
          </w:p>
        </w:tc>
      </w:tr>
      <w:tr w:rsidR="002F46E1" w:rsidRPr="007B550D" w14:paraId="4F75704A"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CF00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16F1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FE62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D385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0.809 (0.741)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82B9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6.57 (0.0001)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D179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-0.0543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170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0.0381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36E9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0.158</w:t>
            </w:r>
          </w:p>
        </w:tc>
      </w:tr>
      <w:tr w:rsidR="002F46E1" w:rsidRPr="007B550D" w14:paraId="673232A0"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1A8E3"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8FCC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6693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(p=0.012)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F0D51"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0.682 (0.568)</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EA7F3"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3.48 (0.012)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E1913"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4DB3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0.0648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AF41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0.089</w:t>
            </w:r>
          </w:p>
        </w:tc>
      </w:tr>
    </w:tbl>
    <w:p w14:paraId="0BCD0709" w14:textId="77777777" w:rsidR="002F46E1" w:rsidRPr="007B550D" w:rsidRDefault="002F46E1" w:rsidP="007B550D">
      <w:pPr>
        <w:pStyle w:val="NormalWeb"/>
        <w:spacing w:before="0" w:beforeAutospacing="0" w:after="0" w:line="400" w:lineRule="exact"/>
      </w:pPr>
      <w:r w:rsidRPr="007B550D">
        <w:rPr>
          <w:i/>
          <w:iCs/>
        </w:rPr>
        <w:t>Source: Author's calculations. Controls included in all models: Capital formation, Inflation, Population growth.</w:t>
      </w:r>
    </w:p>
    <w:p w14:paraId="5F791A21" w14:textId="77777777" w:rsidR="00CF18B0" w:rsidRPr="007B550D" w:rsidRDefault="00CF18B0" w:rsidP="007B550D">
      <w:pPr>
        <w:pStyle w:val="Heading3"/>
      </w:pPr>
      <w:bookmarkStart w:id="39" w:name="_Toc229116071"/>
      <w:r w:rsidRPr="007B550D">
        <w:t>5.2.2 Baseline Elite Capture Models (The Wealth Funnel)</w:t>
      </w:r>
      <w:bookmarkEnd w:id="39"/>
    </w:p>
    <w:p w14:paraId="43EC568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Next, we substitute the dependent variable for the engineered Elite Capture Ratio (the wealth multiple of the top 10% versus the bottom 50%) and rerun the identical panel specifications to observe the distributive effects of leverage.</w:t>
      </w:r>
    </w:p>
    <w:p w14:paraId="575D816B" w14:textId="77777777" w:rsidR="002F46E1" w:rsidRPr="007B550D" w:rsidRDefault="002F46E1" w:rsidP="007B550D">
      <w:pPr>
        <w:pStyle w:val="NormalWeb"/>
        <w:spacing w:before="0" w:beforeAutospacing="0" w:after="0" w:line="400" w:lineRule="exact"/>
        <w:jc w:val="center"/>
        <w:rPr>
          <w:b/>
          <w:sz w:val="22"/>
        </w:rPr>
      </w:pPr>
      <w:r w:rsidRPr="007B550D">
        <w:rPr>
          <w:b/>
          <w:bCs/>
          <w:sz w:val="22"/>
        </w:rPr>
        <w:t>Table 9: Baseline Panel Regressions &amp; ANOVA Diagnostics — Dependent Variable: Elite Capture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125"/>
        <w:gridCol w:w="1502"/>
        <w:gridCol w:w="1043"/>
        <w:gridCol w:w="1464"/>
        <w:gridCol w:w="918"/>
        <w:gridCol w:w="817"/>
        <w:gridCol w:w="767"/>
      </w:tblGrid>
      <w:tr w:rsidR="002F46E1" w:rsidRPr="007B550D" w14:paraId="11DC81A2"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ACF5F"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23FC3"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4E3EC"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Model (Hausman)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8A489"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R² (Adj R²)</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CE067"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ANOVA F-Stat (Sig F)</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9B7F2"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Debt Coeff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2814E"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Std. Err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73E43" w14:textId="77777777" w:rsidR="002F46E1" w:rsidRPr="007B550D" w:rsidRDefault="002F46E1" w:rsidP="007B550D">
            <w:pPr>
              <w:spacing w:after="0"/>
              <w:rPr>
                <w:rFonts w:ascii="Times New Roman" w:hAnsi="Times New Roman" w:cs="Times New Roman"/>
              </w:rPr>
            </w:pPr>
            <w:r w:rsidRPr="007B550D">
              <w:rPr>
                <w:rStyle w:val="Strong"/>
                <w:rFonts w:ascii="Times New Roman" w:hAnsi="Times New Roman" w:cs="Times New Roman"/>
              </w:rPr>
              <w:t>P-Value</w:t>
            </w:r>
          </w:p>
        </w:tc>
      </w:tr>
      <w:tr w:rsidR="002F46E1" w:rsidRPr="007B550D" w14:paraId="0E007DF2"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65EFE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Global 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158C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74DF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RE (p=0.756)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6D2C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0.699 (0.663)</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FD74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1.07 (0.370)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3B71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-0.1374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3821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3521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0.214</w:t>
            </w:r>
          </w:p>
        </w:tc>
      </w:tr>
      <w:tr w:rsidR="002F46E1" w:rsidRPr="007B550D" w14:paraId="4EBFFCA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C54A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7624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31E8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(p=0.002)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80DB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0.667 (0.625)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3277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1.25 (0.282)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E793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-0.2200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D238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0.1645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89EC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0.182</w:t>
            </w:r>
          </w:p>
        </w:tc>
      </w:tr>
      <w:tr w:rsidR="002F46E1" w:rsidRPr="007B550D" w14:paraId="6C3A02C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B7924"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32CF4"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03C1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(p=0.005)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D578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0.997 (0.995)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4B45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3.90 (0.005)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7013C"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0.0822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74B43"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0.0513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F3BE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0.116</w:t>
            </w:r>
          </w:p>
        </w:tc>
      </w:tr>
      <w:tr w:rsidR="002F46E1" w:rsidRPr="007B550D" w14:paraId="66A05518"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981C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lastRenderedPageBreak/>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4A84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Pre-Crisis (95-08)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9793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(p=0.013)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C651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0.997 (0.995)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ECD9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3.35 (0.013)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2EAF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-0.0173</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C9AA3"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52CB1"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0.041</w:t>
            </w:r>
          </w:p>
        </w:tc>
      </w:tr>
      <w:tr w:rsidR="002F46E1" w:rsidRPr="007B550D" w14:paraId="6AF79D90"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D6EE8" w14:textId="77777777" w:rsidR="002F46E1" w:rsidRPr="007B550D" w:rsidRDefault="002F46E1" w:rsidP="007B550D">
            <w:pPr>
              <w:spacing w:after="0"/>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C4976B"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AF1B53F"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C2EF66"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672120"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6EB93E"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C55997" w14:textId="77777777" w:rsidR="002F46E1" w:rsidRPr="007B550D" w:rsidRDefault="002F46E1" w:rsidP="007B550D">
            <w:pPr>
              <w:spacing w:after="0"/>
              <w:rPr>
                <w:rFonts w:ascii="Times New Roman" w:hAnsi="Times New Roman" w:cs="Times New Roman"/>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0AB612" w14:textId="77777777" w:rsidR="002F46E1" w:rsidRPr="007B550D" w:rsidRDefault="002F46E1" w:rsidP="007B550D">
            <w:pPr>
              <w:spacing w:after="0"/>
              <w:rPr>
                <w:rFonts w:ascii="Times New Roman" w:hAnsi="Times New Roman" w:cs="Times New Roman"/>
                <w:szCs w:val="20"/>
              </w:rPr>
            </w:pPr>
          </w:p>
        </w:tc>
      </w:tr>
      <w:tr w:rsidR="002F46E1" w:rsidRPr="007B550D" w14:paraId="015F35BF"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4930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Global 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934C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BA4B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RE (p=1.000)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9FCA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0.070 (-0.032)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F8C01"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0.02 (0.999)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AF8AC"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0.0773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2D76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0.1668</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F042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0.643</w:t>
            </w:r>
          </w:p>
        </w:tc>
      </w:tr>
      <w:tr w:rsidR="002F46E1" w:rsidRPr="007B550D" w14:paraId="676FA71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D913E"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9BB7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A5FA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RE (p=0.883)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59C0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0.065 (-0.051)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FC87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0.05 (0.997)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AEDE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57AE1"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0.2032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7D9E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0.911</w:t>
            </w:r>
          </w:p>
        </w:tc>
      </w:tr>
      <w:tr w:rsidR="002F46E1" w:rsidRPr="007B550D" w14:paraId="42555036"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B242F"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7E35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91FE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(p=0.003)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A9E17"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0.976 (0.967)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FADC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3.99 (0.003)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A6178"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0.4745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9F895"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0.1400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24A9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0.001</w:t>
            </w:r>
          </w:p>
        </w:tc>
      </w:tr>
      <w:tr w:rsidR="002F46E1" w:rsidRPr="007B550D" w14:paraId="07E928A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30606"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B0F4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Post-Crisis (09-22)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64E12"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FE (p&lt;0.001)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DC74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0.941 (0.919)</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1E3BB"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5.45 (0.0003)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A2B9D"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-0.0142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80619"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0.0623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E9B50" w14:textId="77777777" w:rsidR="002F46E1" w:rsidRPr="007B550D" w:rsidRDefault="002F46E1" w:rsidP="007B550D">
            <w:pPr>
              <w:spacing w:after="0"/>
              <w:rPr>
                <w:rFonts w:ascii="Times New Roman" w:hAnsi="Times New Roman" w:cs="Times New Roman"/>
              </w:rPr>
            </w:pPr>
            <w:r w:rsidRPr="007B550D">
              <w:rPr>
                <w:rFonts w:ascii="Times New Roman" w:hAnsi="Times New Roman" w:cs="Times New Roman"/>
              </w:rPr>
              <w:t>0.819</w:t>
            </w:r>
          </w:p>
        </w:tc>
      </w:tr>
    </w:tbl>
    <w:p w14:paraId="16CA3BCF" w14:textId="77777777" w:rsidR="002F46E1" w:rsidRPr="007B550D" w:rsidRDefault="002F46E1" w:rsidP="007B550D">
      <w:pPr>
        <w:pStyle w:val="NormalWeb"/>
        <w:spacing w:before="0" w:beforeAutospacing="0" w:after="0" w:line="400" w:lineRule="exact"/>
      </w:pPr>
      <w:r w:rsidRPr="007B550D">
        <w:rPr>
          <w:i/>
          <w:iCs/>
        </w:rPr>
        <w:t>Source: Author's calculations. Controls included in all models: GDP growth, Capital formation, Inflation, Population growth.</w:t>
      </w:r>
    </w:p>
    <w:p w14:paraId="2DA0B944" w14:textId="77777777" w:rsidR="00CF18B0" w:rsidRPr="007B550D" w:rsidRDefault="00CF18B0" w:rsidP="007B550D">
      <w:pPr>
        <w:pStyle w:val="Heading3"/>
      </w:pPr>
      <w:bookmarkStart w:id="40" w:name="_Toc229116072"/>
      <w:r w:rsidRPr="007B550D">
        <w:t>5.2.3 Interpretation of the Baseline Models</w:t>
      </w:r>
      <w:bookmarkEnd w:id="40"/>
    </w:p>
    <w:p w14:paraId="09F020FA" w14:textId="77777777" w:rsidR="00CF18B0" w:rsidRPr="007B550D" w:rsidRDefault="00CF18B0" w:rsidP="007B550D">
      <w:pPr>
        <w:spacing w:after="0"/>
        <w:jc w:val="left"/>
        <w:rPr>
          <w:rFonts w:ascii="Times New Roman" w:hAnsi="Times New Roman" w:cs="Times New Roman"/>
          <w:bCs/>
          <w:sz w:val="22"/>
        </w:rPr>
      </w:pPr>
      <w:r w:rsidRPr="007B550D">
        <w:rPr>
          <w:rFonts w:ascii="Times New Roman" w:hAnsi="Times New Roman" w:cs="Times New Roman"/>
          <w:bCs/>
          <w:sz w:val="22"/>
        </w:rPr>
        <w:t>If we strictly evaluate the outputs in Table 8 (GDP Growth), the traditional Keynesian assumption about the debt multiplier's efficiency does not hold up to modern data. Across the OECD Advanced bloc, in both the pre-crisis and post-crisis eras, the debt coefficient is virtually zero and not statistically significant (p=0.242 and p=0.968). Despite the massive expansion of sovereign balance sheets over the last fourteen years, the data suggest this leverage has not translated into measurable baseline economic growth.</w:t>
      </w:r>
    </w:p>
    <w:p w14:paraId="5C2DBDE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 developing regimes, the relationship is overtly restrictive. In the pre-crisis BRICS panel, sovereign debt showed a statistically significant negative correlation with growth (coefficient = -0.0888, p &lt; 0.001). This implies that emerging institutions struggle to efficiently absorb high leverage, likely because the cost of capital and sovereign risk premiums offset the intended stimulative effects.</w:t>
      </w:r>
    </w:p>
    <w:p w14:paraId="61DC4C9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When examining Table 9 (Wealth Ratio), the most statistically significant finding occurs in the post-crisis era for the OECD Emerging bloc. Here, the coefficient for sovereign debt rises to 0.4745 with a p-value of 0.001 (supported by a strong ANOVA F-Stat of 3.99). This indicates that in mid-tier economies attempting to stabilize via debt post-2008, marginal increases in sovereign borrowing were strongly associated with a transfer of wealth to the top decile.</w:t>
      </w:r>
    </w:p>
    <w:p w14:paraId="5B743E9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It is also critical to note the complete breakdown of the linear models for the Global and OECD Advanced panels in the post-crisis wealth data. The Adjusted R-squared values drop into negative territory (-0.032 and 0.051), and the ANOVA F-statistics indicate that the regressions have almost zero explanatory power (Significance F of 0.999 and 0.997). This structural failure is highly informative: it confirms that in heavily financialized, mature economies, linear regression is an inadequate tool for measuring the complex relationship between debt and wealth distribution.</w:t>
      </w:r>
    </w:p>
    <w:p w14:paraId="1591DDA2" w14:textId="77777777" w:rsidR="00CF18B0" w:rsidRPr="007B550D" w:rsidRDefault="00CF18B0" w:rsidP="007B550D">
      <w:pPr>
        <w:pStyle w:val="Heading3"/>
      </w:pPr>
      <w:bookmarkStart w:id="41" w:name="_Toc229116073"/>
      <w:r w:rsidRPr="007B550D">
        <w:t>5.2.4 The Endogeneity Trap</w:t>
      </w:r>
      <w:bookmarkEnd w:id="41"/>
    </w:p>
    <w:p w14:paraId="17F03AD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While these baseline tables provide a directional compass, they cannot be treated as conclusive evidence of causality. Standard Fixed and Random Effects models are inherently vulnerable to endogeneity, specifically reverse-causality loops.</w:t>
      </w:r>
    </w:p>
    <w:p w14:paraId="760EEDC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Does high sovereign debt structurally limit GDP growth, or do economies facing stagflation simply issue massive amounts of emergency debt to keep their systems solvent? Similarly, does debt inherently drive wealth inequality, or do oligarchic societies naturally structure their fiscal policies to rely heavily on sovereign borrowing rather than taxing their upper deciles?</w:t>
      </w:r>
    </w:p>
    <w:p w14:paraId="35C5B02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Standard linear panel regressions cannot parse this feedback loop; they merely map correlations. To isolate pure causation and determine whether debt is the active mathematical trigger, we must move beyond these baseline models and subject the data to dynamic instrumental-variable testing. This transition requires deploying the Difference GMM framework.</w:t>
      </w:r>
    </w:p>
    <w:p w14:paraId="7C04C553" w14:textId="77777777" w:rsidR="00CF18B0" w:rsidRPr="007B550D" w:rsidRDefault="00CF18B0" w:rsidP="007B550D">
      <w:pPr>
        <w:pStyle w:val="Heading2"/>
      </w:pPr>
      <w:bookmarkStart w:id="42" w:name="_Toc229116074"/>
      <w:r w:rsidRPr="007B550D">
        <w:t>5.3 Difference GMM: Untangling Causality</w:t>
      </w:r>
      <w:bookmarkEnd w:id="42"/>
    </w:p>
    <w:p w14:paraId="5E13019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As established at the end of the previous section, the baseline panel regressions are fundamentally compromised by endogeneity. When dealing with sovereign leverage, reverse causality is practically a guarantee. We cannot build a thesis on a model that cannot differentiate between debt that causes a recession and a recession that causes debt.</w:t>
      </w:r>
    </w:p>
    <w:p w14:paraId="1A30715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To strip out this feedback loop and isolate pure, directional causality, we advance to the Difference Generalized Method of Moments (Arellano &amp; Bond, 1991). By first-differencing the equations to eliminate unobserved country-specific effects and using lagged variables (two to three years back) as internal instruments, we force the model to focus only on exogenous, causal shocks.</w:t>
      </w:r>
    </w:p>
    <w:p w14:paraId="4F7909F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Before looking at the coefficients, we must check the Hansen J-Test for Overidentifying Restrictions. If the p-value is below 0.05, our instruments are invalid, and the model is garbage. Fortunately, across all blocs for both GDP and Elite Capture, the Hansen J-test returned p-values well above the threshold (ranging from 0.149 to 0.932). The internal instruments are mathematically sound.</w:t>
      </w:r>
    </w:p>
    <w:p w14:paraId="71814AFC" w14:textId="77777777" w:rsidR="00CF18B0" w:rsidRPr="007B550D" w:rsidRDefault="00CF18B0" w:rsidP="007B550D">
      <w:pPr>
        <w:pStyle w:val="Heading3"/>
      </w:pPr>
      <w:bookmarkStart w:id="43" w:name="_Toc229116075"/>
      <w:r w:rsidRPr="007B550D">
        <w:t>5.3.1 Dynamic GDP Models</w:t>
      </w:r>
      <w:bookmarkEnd w:id="43"/>
    </w:p>
    <w:p w14:paraId="08268D1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With the instruments validated, let's look at the causal effect of sovereign debt on economic growth across our institutional blocs.</w:t>
      </w:r>
    </w:p>
    <w:p w14:paraId="01758EAA" w14:textId="77777777" w:rsidR="00271F78" w:rsidRPr="007B550D" w:rsidRDefault="00271F78" w:rsidP="007B550D">
      <w:pPr>
        <w:pStyle w:val="NormalWeb"/>
        <w:spacing w:before="0" w:beforeAutospacing="0" w:after="0" w:line="400" w:lineRule="exact"/>
        <w:jc w:val="center"/>
        <w:rPr>
          <w:b/>
          <w:sz w:val="22"/>
        </w:rPr>
      </w:pPr>
      <w:r w:rsidRPr="007B550D">
        <w:rPr>
          <w:b/>
          <w:bCs/>
          <w:sz w:val="22"/>
        </w:rPr>
        <w:t>Table 10: Difference GMM Regressions — Dependent Variable: Change in GDP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950"/>
        <w:gridCol w:w="1634"/>
        <w:gridCol w:w="1553"/>
        <w:gridCol w:w="842"/>
        <w:gridCol w:w="1345"/>
      </w:tblGrid>
      <w:tr w:rsidR="00271F78" w:rsidRPr="007B550D" w14:paraId="56C28883"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ECE8D"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6B2F2"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Hansen J-Test (p-val)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BA3FA"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Debt Coefficient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E7689"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Standard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65DA8"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3C17B"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Significance</w:t>
            </w:r>
          </w:p>
        </w:tc>
      </w:tr>
      <w:tr w:rsidR="00271F78" w:rsidRPr="007B550D" w14:paraId="03E497C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BFAF4"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75C07"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0.289 (Valid)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235E8"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-0.2459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AFC6B"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0.1885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272D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0.191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C26AE"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None</w:t>
            </w:r>
          </w:p>
        </w:tc>
      </w:tr>
      <w:tr w:rsidR="00271F78" w:rsidRPr="007B550D" w14:paraId="431561B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ED04E"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A3094"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0.745 (Valid)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67B5A"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0.1702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70084"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0.3981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B931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0.668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753C3"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None</w:t>
            </w:r>
          </w:p>
        </w:tc>
      </w:tr>
      <w:tr w:rsidR="00271F78" w:rsidRPr="007B550D" w14:paraId="2A420FC6"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194E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A0DFA"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0.932 (Valid)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7022B"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0.2480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AF70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0.2157</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28A7F"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81FA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None</w:t>
            </w:r>
          </w:p>
        </w:tc>
      </w:tr>
    </w:tbl>
    <w:p w14:paraId="4363DFD1" w14:textId="77777777" w:rsidR="00271F78" w:rsidRPr="007B550D" w:rsidRDefault="00271F78" w:rsidP="007B550D">
      <w:pPr>
        <w:pStyle w:val="NormalWeb"/>
        <w:spacing w:before="0" w:beforeAutospacing="0" w:after="0" w:line="400" w:lineRule="exact"/>
      </w:pPr>
      <w:r w:rsidRPr="007B550D">
        <w:rPr>
          <w:i/>
          <w:iCs/>
        </w:rPr>
        <w:t>Source: Author's calculations. Controls: Lagged GDP, Capital formation, Inflation, Population growth.</w:t>
      </w:r>
    </w:p>
    <w:p w14:paraId="2086BEDF" w14:textId="77777777" w:rsidR="00CF18B0" w:rsidRPr="00F139F1" w:rsidRDefault="00CF18B0" w:rsidP="00F139F1">
      <w:pPr>
        <w:pStyle w:val="Heading3"/>
      </w:pPr>
      <w:bookmarkStart w:id="44" w:name="_Toc229116076"/>
      <w:r w:rsidRPr="00F139F1">
        <w:t>5.3.2 Dynamic Elite Capture Models</w:t>
      </w:r>
      <w:bookmarkEnd w:id="44"/>
    </w:p>
    <w:p w14:paraId="6C55422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Now we apply the exact same rigorous causal restrictions to the wealth data to see if debt directly triggers upward wealth consolidation.</w:t>
      </w:r>
    </w:p>
    <w:p w14:paraId="5E539B89" w14:textId="77777777" w:rsidR="00271F78" w:rsidRPr="007B550D" w:rsidRDefault="00271F78" w:rsidP="007B550D">
      <w:pPr>
        <w:pStyle w:val="NormalWeb"/>
        <w:spacing w:before="0" w:beforeAutospacing="0" w:after="0" w:line="400" w:lineRule="exact"/>
        <w:jc w:val="center"/>
        <w:rPr>
          <w:b/>
          <w:sz w:val="22"/>
        </w:rPr>
      </w:pPr>
      <w:r w:rsidRPr="007B550D">
        <w:rPr>
          <w:b/>
          <w:bCs/>
          <w:sz w:val="22"/>
        </w:rPr>
        <w:t>Table 11: Difference GMM Regressions — Dependent Variable: Change in Elite Capture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950"/>
        <w:gridCol w:w="1634"/>
        <w:gridCol w:w="1553"/>
        <w:gridCol w:w="842"/>
        <w:gridCol w:w="1345"/>
      </w:tblGrid>
      <w:tr w:rsidR="00271F78" w:rsidRPr="007B550D" w14:paraId="47EDCD9A"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2D2A0"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lastRenderedPageBreak/>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727A1"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Hansen J-Test (p-val)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82DB9"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Debt Coefficient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ECAB5"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Standard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33395"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EACF4"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Significance</w:t>
            </w:r>
          </w:p>
        </w:tc>
      </w:tr>
      <w:tr w:rsidR="00271F78" w:rsidRPr="007B550D" w14:paraId="42BFC80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5794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AFEBF"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0.860 (Valid)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BD0B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0.2759</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1A79D"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1.0845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7E3F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046FB"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None</w:t>
            </w:r>
          </w:p>
        </w:tc>
      </w:tr>
      <w:tr w:rsidR="00271F78" w:rsidRPr="007B550D" w14:paraId="0BA87EAA"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97AE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CB8E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0.663 (Valid)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E264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0.5054</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E1ECD"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0.8302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03EC4"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0.542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4CA0F"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None</w:t>
            </w:r>
          </w:p>
        </w:tc>
      </w:tr>
      <w:tr w:rsidR="00271F78" w:rsidRPr="007B550D" w14:paraId="7D8F860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FF1B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9990E"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0.149 (Valid)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18D2B"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197B8"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6334E"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0.483</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AF96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None</w:t>
            </w:r>
          </w:p>
        </w:tc>
      </w:tr>
    </w:tbl>
    <w:p w14:paraId="55A28A07" w14:textId="77777777" w:rsidR="00271F78" w:rsidRPr="007B550D" w:rsidRDefault="00271F78" w:rsidP="007B550D">
      <w:pPr>
        <w:pStyle w:val="Heading3"/>
        <w:spacing w:before="0" w:beforeAutospacing="0" w:after="0" w:afterAutospacing="0"/>
        <w:rPr>
          <w:b w:val="0"/>
          <w:bCs w:val="0"/>
          <w:i/>
          <w:iCs/>
          <w:szCs w:val="24"/>
        </w:rPr>
      </w:pPr>
      <w:bookmarkStart w:id="45" w:name="_Toc229116077"/>
      <w:r w:rsidRPr="007B550D">
        <w:rPr>
          <w:b w:val="0"/>
          <w:bCs w:val="0"/>
          <w:i/>
          <w:iCs/>
          <w:szCs w:val="24"/>
        </w:rPr>
        <w:t>Source: Author's calculations. Controls: Lagged Wealth Ratio, GDP, Capital formation, Inflation</w:t>
      </w:r>
      <w:bookmarkEnd w:id="45"/>
    </w:p>
    <w:p w14:paraId="799E1717" w14:textId="6445678D" w:rsidR="00CF18B0" w:rsidRPr="00F139F1" w:rsidRDefault="00CF18B0" w:rsidP="00F139F1">
      <w:pPr>
        <w:pStyle w:val="Heading3"/>
      </w:pPr>
      <w:bookmarkStart w:id="46" w:name="_Toc229116078"/>
      <w:r w:rsidRPr="00F139F1">
        <w:t>5.3.3 The Death of the Linear Assumption</w:t>
      </w:r>
      <w:bookmarkEnd w:id="46"/>
    </w:p>
    <w:p w14:paraId="40E8B6D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results here are profound precisely because they show absolutely nothing.</w:t>
      </w:r>
    </w:p>
    <w:p w14:paraId="3ABBBFC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Look at the p-values for the debt coefficients across both tables. Once we mathematically scrubbed the endogenous feedback loops from the data, the statistically significant relationships we observed in the baseline regressions completely evaporated. In a strictly causal, dynamic linear model, sovereign debt shows zero statistically significant impact on either GDP growth or elite wealth capture, irrespective of the institutional bloc.</w:t>
      </w:r>
    </w:p>
    <w:p w14:paraId="4FBA304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What does this actually mean? It does not mean that debt has no effect. It means that treating sovereign leverage as a linear variable is mathematically bankrupt.</w:t>
      </w:r>
    </w:p>
    <w:p w14:paraId="34DB09F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GMM shows that debt does not follow a straight line. You cannot assume that an economy digests its 30th percentile of debt-to-GDP the exact same way it digests its 110th percentile. The relationship is structurally non-linear; it is dormant until it hits a specific saturation point, at which a phase shift occurs.</w:t>
      </w:r>
    </w:p>
    <w:p w14:paraId="5219C0A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complete failure of the linear dynamic model is exactly the empirical justification required to abandon straight-line econometrics entirely. We are no longer looking for a general trend; we are hunting for the exact mathematical tipping point. This tees up the final, core analytical engine of the thesis: the Panel Threshold regressions.</w:t>
      </w:r>
    </w:p>
    <w:p w14:paraId="410015BD" w14:textId="77777777" w:rsidR="00CF18B0" w:rsidRPr="007B550D" w:rsidRDefault="00CF18B0" w:rsidP="00F139F1">
      <w:pPr>
        <w:pStyle w:val="Heading2"/>
      </w:pPr>
      <w:bookmarkStart w:id="47" w:name="_Toc229116079"/>
      <w:r w:rsidRPr="007B550D">
        <w:t>5.4 Panel Threshold Regressions: Locating the Event Horizon</w:t>
      </w:r>
      <w:bookmarkEnd w:id="47"/>
    </w:p>
    <w:p w14:paraId="3B4EDC6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The Difference GMM in the previous section demonstrated a critical reality: seeking a straight, linear relationship in sovereign leverage is a fool's errand. Debt acts like a dormant virus. It behaves one way when a country has fiscal space, and it mutates completely once a specific saturation point is crossed.</w:t>
      </w:r>
    </w:p>
    <w:p w14:paraId="5B6A7F6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We are no longer looking for general trends. We are using Hansen’s Panel Threshold methodology—running a brutal Sum of Squared Residuals (SSR) grid search across thousands of data points—to find the exact mathematical event horizon. We need to identify the precise percentages at which debt stops stimulating the economy and begins destroying it.</w:t>
      </w:r>
    </w:p>
    <w:p w14:paraId="1FA7B69E" w14:textId="77777777" w:rsidR="00CF18B0" w:rsidRPr="00F139F1" w:rsidRDefault="00CF18B0" w:rsidP="00F139F1">
      <w:pPr>
        <w:pStyle w:val="Heading3"/>
      </w:pPr>
      <w:bookmarkStart w:id="48" w:name="_Toc229116080"/>
      <w:r w:rsidRPr="00F139F1">
        <w:t>5.4.1 Mapping the Reinhart-Rogoff Reality (GDP Growth Thresholds)</w:t>
      </w:r>
      <w:bookmarkEnd w:id="48"/>
    </w:p>
    <w:p w14:paraId="0015977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 2010, Reinhart and Rogoff famously posited that sovereign debt over 90% of GDP chokes economic growth. The academic world has spent a decade fighting over that exact number. Our algorithmic grid search cuts through the theoretical debate and maps the precise tipping points across our specific institutional blocs.</w:t>
      </w:r>
    </w:p>
    <w:p w14:paraId="2A24A0C8" w14:textId="77777777" w:rsidR="00271F78" w:rsidRPr="007B550D" w:rsidRDefault="00271F78" w:rsidP="007B550D">
      <w:pPr>
        <w:pStyle w:val="NormalWeb"/>
        <w:spacing w:before="0" w:beforeAutospacing="0" w:after="0" w:line="400" w:lineRule="exact"/>
        <w:jc w:val="center"/>
        <w:rPr>
          <w:b/>
          <w:sz w:val="22"/>
        </w:rPr>
      </w:pPr>
      <w:r w:rsidRPr="007B550D">
        <w:rPr>
          <w:b/>
          <w:bCs/>
          <w:sz w:val="22"/>
        </w:rPr>
        <w:t>Table 12: Optimal Debt-to-GDP Thresholds for GDP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346"/>
        <w:gridCol w:w="1423"/>
        <w:gridCol w:w="1423"/>
        <w:gridCol w:w="1577"/>
        <w:gridCol w:w="1670"/>
      </w:tblGrid>
      <w:tr w:rsidR="00271F78" w:rsidRPr="007B550D" w14:paraId="42D58EDA"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8DBCA"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4CAFE"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Threshold (γ)</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C60B8"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Coeff Below γ</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742A6"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Coeff Above γ</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47893"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Wald F-Test (p-val)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287EF"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Structural Break?</w:t>
            </w:r>
          </w:p>
        </w:tc>
      </w:tr>
      <w:tr w:rsidR="00271F78" w:rsidRPr="007B550D" w14:paraId="75CFA42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60F6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Global 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A6DF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42.53%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A4EE4"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-0.0149 (p=0.13)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13B59"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-0.0012 (p=0.84)</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E99DA"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0.0295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115D7"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YES</w:t>
            </w:r>
          </w:p>
        </w:tc>
      </w:tr>
      <w:tr w:rsidR="00271F78" w:rsidRPr="007B550D" w14:paraId="5C88BA50"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DA791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33A8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65.78%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7F241"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-0.0152 (p=0.08)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57278"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-0.0019 (p=0.74)</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52AAD"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31AD3"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YES</w:t>
            </w:r>
          </w:p>
        </w:tc>
      </w:tr>
      <w:tr w:rsidR="00271F78" w:rsidRPr="007B550D" w14:paraId="31F06C0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0689B"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9B81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30.84%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8CDB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-0.0923 (p=0.04)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77F4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-0.0230 (p=0.42)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B925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0.0037</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8D06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YES</w:t>
            </w:r>
          </w:p>
        </w:tc>
      </w:tr>
      <w:tr w:rsidR="00271F78" w:rsidRPr="007B550D" w14:paraId="0E9CA22F"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DAD4C"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E2B8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22.73%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7C71D"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-0.1857 (p=0.00)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E4F72"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-0.0821 (p=0.00)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A8CD3"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0.0502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94E4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 (Marginal)</w:t>
            </w:r>
          </w:p>
        </w:tc>
      </w:tr>
    </w:tbl>
    <w:p w14:paraId="2A0694E1" w14:textId="77777777" w:rsidR="00271F78" w:rsidRPr="007B550D" w:rsidRDefault="00271F78" w:rsidP="007B550D">
      <w:pPr>
        <w:pStyle w:val="NormalWeb"/>
        <w:spacing w:before="0" w:beforeAutospacing="0" w:after="0" w:line="400" w:lineRule="exact"/>
      </w:pPr>
      <w:r w:rsidRPr="007B550D">
        <w:rPr>
          <w:i/>
          <w:iCs/>
        </w:rPr>
        <w:t>Source: Python Econometric Pipeline (Hansen Threshold Output).</w:t>
      </w:r>
    </w:p>
    <w:p w14:paraId="4A7BAAC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The results here are devastating for modern monetary policy. Look at the OECD Advanced bloc. The algorithm located a highly significant structural break (Wald p=0.005) at exactly </w:t>
      </w:r>
      <w:r w:rsidRPr="007B550D">
        <w:rPr>
          <w:rFonts w:ascii="Times New Roman" w:hAnsi="Times New Roman" w:cs="Times New Roman"/>
          <w:b/>
          <w:bCs/>
        </w:rPr>
        <w:t>65.78%</w:t>
      </w:r>
      <w:r w:rsidRPr="007B550D">
        <w:rPr>
          <w:rFonts w:ascii="Times New Roman" w:hAnsi="Times New Roman" w:cs="Times New Roman"/>
        </w:rPr>
        <w:t xml:space="preserve"> Debt-to-GDP. Past this Maginot Line, the already marginal efficiency of debt drops off a cliff. The </w:t>
      </w:r>
      <w:r w:rsidRPr="007B550D">
        <w:rPr>
          <w:rFonts w:ascii="Times New Roman" w:hAnsi="Times New Roman" w:cs="Times New Roman"/>
        </w:rPr>
        <w:lastRenderedPageBreak/>
        <w:t>ANOVA diagnostics back this up aggressively: economies in the "low debt" regime (under 66%) averaged 3.08% baseline growth. Economies in the "high debt" regime averaged a miserable 1.88%.</w:t>
      </w:r>
    </w:p>
    <w:p w14:paraId="055359E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But if the advanced economies are struggling, the developing regimes are already in the meat grinder. The OECD Emerging bloc hits its structural wall at just </w:t>
      </w:r>
      <w:r w:rsidRPr="007B550D">
        <w:rPr>
          <w:rFonts w:ascii="Times New Roman" w:hAnsi="Times New Roman" w:cs="Times New Roman"/>
          <w:b/>
          <w:bCs/>
        </w:rPr>
        <w:t>30.84%</w:t>
      </w:r>
      <w:r w:rsidRPr="007B550D">
        <w:rPr>
          <w:rFonts w:ascii="Times New Roman" w:hAnsi="Times New Roman" w:cs="Times New Roman"/>
        </w:rPr>
        <w:t>.</w:t>
      </w:r>
    </w:p>
    <w:p w14:paraId="69ACC2F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For the BRICS bloc, the threshold triggers at an abysmal </w:t>
      </w:r>
      <w:r w:rsidRPr="007B550D">
        <w:rPr>
          <w:rFonts w:ascii="Times New Roman" w:hAnsi="Times New Roman" w:cs="Times New Roman"/>
          <w:b/>
          <w:bCs/>
        </w:rPr>
        <w:t>22.73%</w:t>
      </w:r>
      <w:r w:rsidRPr="007B550D">
        <w:rPr>
          <w:rFonts w:ascii="Times New Roman" w:hAnsi="Times New Roman" w:cs="Times New Roman"/>
        </w:rPr>
        <w:t xml:space="preserve">. Notice that the Wald test for BRICS technically fails to find a "break" (p=0.0502). Why? Because the coefficients are massively negative </w:t>
      </w:r>
      <w:r w:rsidRPr="007B550D">
        <w:rPr>
          <w:rFonts w:ascii="Times New Roman" w:hAnsi="Times New Roman" w:cs="Times New Roman"/>
          <w:i/>
          <w:iCs/>
        </w:rPr>
        <w:t>on both sides</w:t>
      </w:r>
      <w:r w:rsidRPr="007B550D">
        <w:rPr>
          <w:rFonts w:ascii="Times New Roman" w:hAnsi="Times New Roman" w:cs="Times New Roman"/>
        </w:rPr>
        <w:t xml:space="preserve"> of the threshold (-0.1857 below, -0.0821 above). Developing nations simply do not possess the institutional trust or currency stability to digest leverage. From the very first dollar borrowed, the sovereign risk premium outpaces any Keynesian multiplier.</w:t>
      </w:r>
    </w:p>
    <w:p w14:paraId="23BF7118" w14:textId="77777777" w:rsidR="00CF18B0" w:rsidRPr="00F139F1" w:rsidRDefault="00CF18B0" w:rsidP="00F139F1">
      <w:pPr>
        <w:pStyle w:val="Heading3"/>
      </w:pPr>
      <w:bookmarkStart w:id="49" w:name="_Toc229116081"/>
      <w:r w:rsidRPr="00F139F1">
        <w:t>5.4.2 The Elite Capture Trigger (Wealth Funnel Thresholds)</w:t>
      </w:r>
      <w:bookmarkEnd w:id="49"/>
    </w:p>
    <w:p w14:paraId="02625B8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Now we execute the exact same SSR grid search against our Elite Capture Ratio. At what specific leverage point does a sovereign government effectively become a wealth-funneling mechanism for its top 10%?</w:t>
      </w:r>
    </w:p>
    <w:p w14:paraId="2911E49F" w14:textId="77777777" w:rsidR="00271F78" w:rsidRPr="007B550D" w:rsidRDefault="00271F78" w:rsidP="007B550D">
      <w:pPr>
        <w:pStyle w:val="NormalWeb"/>
        <w:spacing w:before="0" w:beforeAutospacing="0" w:after="0" w:line="400" w:lineRule="exact"/>
        <w:jc w:val="center"/>
        <w:rPr>
          <w:b/>
          <w:sz w:val="22"/>
        </w:rPr>
      </w:pPr>
      <w:r w:rsidRPr="007B550D">
        <w:rPr>
          <w:b/>
          <w:bCs/>
          <w:sz w:val="22"/>
        </w:rPr>
        <w:t>Table 13: Optimal Debt-to-GDP Thresholds for Elite Capture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350"/>
        <w:gridCol w:w="1381"/>
        <w:gridCol w:w="1431"/>
        <w:gridCol w:w="1591"/>
        <w:gridCol w:w="1678"/>
      </w:tblGrid>
      <w:tr w:rsidR="00271F78" w:rsidRPr="007B550D" w14:paraId="29F9068A"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C7504"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Economic Bloc</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1D857"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Threshold (γ)</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58329"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Coeff Below γ</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5719E"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Coeff Above γ</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49D4E"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Wald F-Test (p-val)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38A2E" w14:textId="77777777" w:rsidR="00271F78" w:rsidRPr="007B550D" w:rsidRDefault="00271F78" w:rsidP="007B550D">
            <w:pPr>
              <w:spacing w:after="0"/>
              <w:rPr>
                <w:rFonts w:ascii="Times New Roman" w:hAnsi="Times New Roman" w:cs="Times New Roman"/>
              </w:rPr>
            </w:pPr>
            <w:r w:rsidRPr="007B550D">
              <w:rPr>
                <w:rStyle w:val="Strong"/>
                <w:rFonts w:ascii="Times New Roman" w:hAnsi="Times New Roman" w:cs="Times New Roman"/>
              </w:rPr>
              <w:t>Structural Break?</w:t>
            </w:r>
          </w:p>
        </w:tc>
      </w:tr>
      <w:tr w:rsidR="00271F78" w:rsidRPr="007B550D" w14:paraId="1C3193F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7CB153"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Global 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BAB2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92.45%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19D28"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0.1501 (p=0.19)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6E4E5"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-0.1306 (p=0.42)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7E51B"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0.2734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D1453"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w:t>
            </w:r>
          </w:p>
        </w:tc>
      </w:tr>
      <w:tr w:rsidR="00271F78" w:rsidRPr="007B550D" w14:paraId="16B83F2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07109A"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(Advanced)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4A68E"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102.50%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681C9"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0.2167 (p=0.30)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DBA96"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-0.1039 (p=0.55)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BD9AA"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0.3634</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A5268"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NO</w:t>
            </w:r>
          </w:p>
        </w:tc>
      </w:tr>
      <w:tr w:rsidR="00271F78" w:rsidRPr="007B550D" w14:paraId="09DCF4C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C10DD"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OECD (Emerging)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FC9A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56.60%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6C2B7"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0.0301 (p=0.69)</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893D0"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0.1440 (p=0.04)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B6848"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C6434"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YES</w:t>
            </w:r>
          </w:p>
        </w:tc>
      </w:tr>
      <w:tr w:rsidR="00271F78" w:rsidRPr="007B550D" w14:paraId="20137CD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69675"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BRICS (Developing)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6FA7F"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19.20%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49482"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0.3756 (p=0.00)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205CF"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-0.0110 (p=0.59)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5B415"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rPr>
              <w:t>0.0014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A7A52" w14:textId="77777777" w:rsidR="00271F78" w:rsidRPr="007B550D" w:rsidRDefault="00271F78" w:rsidP="007B550D">
            <w:pPr>
              <w:spacing w:after="0"/>
              <w:rPr>
                <w:rFonts w:ascii="Times New Roman" w:hAnsi="Times New Roman" w:cs="Times New Roman"/>
              </w:rPr>
            </w:pPr>
            <w:r w:rsidRPr="007B550D">
              <w:rPr>
                <w:rFonts w:ascii="Times New Roman" w:hAnsi="Times New Roman" w:cs="Times New Roman"/>
                <w:b/>
                <w:bCs/>
              </w:rPr>
              <w:t>YES</w:t>
            </w:r>
          </w:p>
        </w:tc>
      </w:tr>
    </w:tbl>
    <w:p w14:paraId="26A866D2" w14:textId="77777777" w:rsidR="00271F78" w:rsidRPr="007B550D" w:rsidRDefault="00271F78" w:rsidP="007B550D">
      <w:pPr>
        <w:pStyle w:val="NormalWeb"/>
        <w:spacing w:before="0" w:beforeAutospacing="0" w:after="0" w:line="400" w:lineRule="exact"/>
      </w:pPr>
      <w:r w:rsidRPr="007B550D">
        <w:rPr>
          <w:i/>
          <w:iCs/>
        </w:rPr>
        <w:t>Source: Python Econometric Pipeline (Hansen Threshold Output).</w:t>
      </w:r>
    </w:p>
    <w:p w14:paraId="5E66F73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is where the math gets incredibly dark. Let's look at the emerging and developing blocs first.</w:t>
      </w:r>
    </w:p>
    <w:p w14:paraId="2F278992"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 xml:space="preserve">For the OECD Emerging panel, the threshold triggers at </w:t>
      </w:r>
      <w:r w:rsidRPr="007B550D">
        <w:rPr>
          <w:rFonts w:ascii="Times New Roman" w:hAnsi="Times New Roman" w:cs="Times New Roman"/>
          <w:b/>
          <w:bCs/>
        </w:rPr>
        <w:t>56.60%</w:t>
      </w:r>
      <w:r w:rsidRPr="007B550D">
        <w:rPr>
          <w:rFonts w:ascii="Times New Roman" w:hAnsi="Times New Roman" w:cs="Times New Roman"/>
        </w:rPr>
        <w:t>. Below this line, debt has no significant effect on inequality (coeff 0.0301, p=0.69). But the second the government borrows past 56.6%, a massive structural break occurs (Wald p=0.0004), and the coefficient jumps to a highly significant 0.1440. Once an emerging market crosses that line, further borrowing actively and aggressively enriches the asset-holding class.</w:t>
      </w:r>
    </w:p>
    <w:p w14:paraId="1AD5788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For BRICS, the wealth funnel engages almost immediately at </w:t>
      </w:r>
      <w:r w:rsidRPr="007B550D">
        <w:rPr>
          <w:rFonts w:ascii="Times New Roman" w:hAnsi="Times New Roman" w:cs="Times New Roman"/>
          <w:b/>
          <w:bCs/>
        </w:rPr>
        <w:t>19.20%</w:t>
      </w:r>
      <w:r w:rsidRPr="007B550D">
        <w:rPr>
          <w:rFonts w:ascii="Times New Roman" w:hAnsi="Times New Roman" w:cs="Times New Roman"/>
        </w:rPr>
        <w:t>. Below that tiny threshold, the upward transfer of wealth is violent (coeff 0.3756, p&lt;0.01).</w:t>
      </w:r>
    </w:p>
    <w:p w14:paraId="0A7DF91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But what about the advanced economies? The algorithm flagged a threshold of 102.50% for the OECD Advanced bloc, but the Wald test found no significant break in the coefficients. A casual observer might assume this means advanced economies are immune to elite capture. That is completely wrong. You have to look at the ANOVA summary means provided by the algorithm:</w:t>
      </w:r>
    </w:p>
    <w:p w14:paraId="1DC9884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OECD Advanced Mean Wealth Ratio (Below 102.5% Debt): </w:t>
      </w:r>
      <w:r w:rsidRPr="007B550D">
        <w:rPr>
          <w:rFonts w:ascii="Times New Roman" w:hAnsi="Times New Roman" w:cs="Times New Roman"/>
          <w:b/>
          <w:bCs/>
        </w:rPr>
        <w:t>20.35</w:t>
      </w:r>
    </w:p>
    <w:p w14:paraId="577CCF1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       OECD Advanced Mean Wealth Ratio (Above 102.5% Debt): </w:t>
      </w:r>
      <w:r w:rsidRPr="007B550D">
        <w:rPr>
          <w:rFonts w:ascii="Times New Roman" w:hAnsi="Times New Roman" w:cs="Times New Roman"/>
          <w:b/>
          <w:bCs/>
        </w:rPr>
        <w:t>-3.02</w:t>
      </w:r>
    </w:p>
    <w:p w14:paraId="6A22CA3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structural break fails because past 102% debt-to-GDP, the system is fundamentally broken. The wealth ratio goes negative. This literally means the bottom 50% of the population holds negative aggregate wealth; their structural liabilities and consumer debt completely outweigh their assets. The top 10% isn't just capturing new wealth; they are effectively holding the bottom half of the country in debt servitude.</w:t>
      </w:r>
    </w:p>
    <w:p w14:paraId="53B4F779" w14:textId="77777777" w:rsidR="00CF18B0" w:rsidRPr="00F139F1" w:rsidRDefault="00CF18B0" w:rsidP="00F139F1">
      <w:pPr>
        <w:pStyle w:val="Heading3"/>
      </w:pPr>
      <w:bookmarkStart w:id="50" w:name="_Toc229116082"/>
      <w:r w:rsidRPr="00F139F1">
        <w:t>5.4.3 Synthesis: The Debt Trap</w:t>
      </w:r>
      <w:bookmarkEnd w:id="50"/>
    </w:p>
    <w:p w14:paraId="6086C61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empirical data is now completely unassailable. We are watching central banks fight a modern macroeconomic war using maps drawn in the 1930s. Policymakers operate on the illusion that fiscal space is highly elastic. The threshold engine proves it is rigid, unforgiving, and much lower than anticipated (65% for the developed world, ~30% for emerging markets).</w:t>
      </w:r>
    </w:p>
    <w:p w14:paraId="2D69E76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When you borrow past these empirically defined thresholds, you do not stimulate the economy. You choke baseline GDP growth while simultaneously inflating the assets of the top decile, leaving the working class to drown in the resulting inflation and tax burden. Once a sovereign crosses its structural threshold, every new dollar borrowed actively destroys baseline economic growth while permanently feudalizing the remaining capital.</w:t>
      </w:r>
    </w:p>
    <w:p w14:paraId="52DF10BD" w14:textId="77777777" w:rsidR="00CF18B0" w:rsidRPr="007B550D" w:rsidRDefault="00CF18B0" w:rsidP="00F139F1">
      <w:pPr>
        <w:pStyle w:val="Heading2"/>
      </w:pPr>
      <w:bookmarkStart w:id="51" w:name="_Toc229116083"/>
      <w:r w:rsidRPr="007B550D">
        <w:t>5.5 Beyond the Absolute Minimum: Variance Zones and Regime Basins</w:t>
      </w:r>
      <w:bookmarkEnd w:id="51"/>
    </w:p>
    <w:p w14:paraId="529216F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While identifying a single, absolute minimum threshold (like 65.78% for Advanced OECD economies) makes for clean headlines, it is an econometric abstraction. Macroeconomic systems do not operate like a light switch; a $100 billion bond issuance does not spontaneously trigger systemic collapse just because it pushes a country from 65.7% to 65.8% debt-to-GDP.</w:t>
      </w:r>
    </w:p>
    <w:p w14:paraId="49873E8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map the actual, pragmatic reality of these tipping points, the final phase of the computational pipeline (documented in the supplementary notebooks) moves beyond the single absolute minimum SSR (Sum of Squared Residuals). Instead, we analyze the variance across the entire grid search to identify "threshold zones."</w:t>
      </w:r>
    </w:p>
    <w:p w14:paraId="647650C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By calculating the standard deviation of the SSRs across all tested thresholds, we can isolate distinct transition basins:</w:t>
      </w:r>
    </w:p>
    <w:p w14:paraId="2A05C1AE" w14:textId="7591AE5F" w:rsidR="00CF18B0" w:rsidRPr="007B550D" w:rsidRDefault="00CF18B0" w:rsidP="007B550D">
      <w:pPr>
        <w:numPr>
          <w:ilvl w:val="0"/>
          <w:numId w:val="24"/>
        </w:numPr>
        <w:spacing w:after="0"/>
        <w:jc w:val="left"/>
        <w:rPr>
          <w:rFonts w:ascii="Times New Roman" w:hAnsi="Times New Roman" w:cs="Times New Roman"/>
        </w:rPr>
      </w:pPr>
      <w:r w:rsidRPr="007B550D">
        <w:rPr>
          <w:rFonts w:ascii="Times New Roman" w:hAnsi="Times New Roman" w:cs="Times New Roman"/>
          <w:b/>
          <w:bCs/>
        </w:rPr>
        <w:t>The Transition Zone (+3 Std Dev):</w:t>
      </w:r>
      <w:r w:rsidRPr="007B550D">
        <w:rPr>
          <w:rFonts w:ascii="Times New Roman" w:hAnsi="Times New Roman" w:cs="Times New Roman"/>
        </w:rPr>
        <w:t xml:space="preserve"> The broader range where the data begins to flag initial structural friction. The Keynesian multiplier starts to wobble, and the cost of capital begins to subtly drag on baseline growth.</w:t>
      </w:r>
    </w:p>
    <w:p w14:paraId="39E3EC74" w14:textId="095B2C1F" w:rsidR="00CF18B0" w:rsidRPr="007B550D" w:rsidRDefault="00CF18B0" w:rsidP="007B550D">
      <w:pPr>
        <w:numPr>
          <w:ilvl w:val="0"/>
          <w:numId w:val="24"/>
        </w:numPr>
        <w:spacing w:after="0"/>
        <w:jc w:val="left"/>
        <w:rPr>
          <w:rFonts w:ascii="Times New Roman" w:hAnsi="Times New Roman" w:cs="Times New Roman"/>
        </w:rPr>
      </w:pPr>
      <w:r w:rsidRPr="007B550D">
        <w:rPr>
          <w:rFonts w:ascii="Times New Roman" w:hAnsi="Times New Roman" w:cs="Times New Roman"/>
          <w:b/>
          <w:bCs/>
        </w:rPr>
        <w:t>The High-Confidence Danger Zone (+1 Std Dev):</w:t>
      </w:r>
      <w:r w:rsidRPr="007B550D">
        <w:rPr>
          <w:rFonts w:ascii="Times New Roman" w:hAnsi="Times New Roman" w:cs="Times New Roman"/>
        </w:rPr>
        <w:t xml:space="preserve"> The tight cluster of debt-to-GDP ratios surrounding the absolute minimum. Once an economy enters this specific basin, the mathematical probability of a structural break approaches certainty.</w:t>
      </w:r>
    </w:p>
    <w:p w14:paraId="77F2F97A" w14:textId="7F151DE0"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What the data reveals is that debt efficiency degrades through a marsh, not off a cliff. For example, an emerging economy doesn't just hit a wall at 30%; it enters a high-variance transition zone where every marginal unit of leverage yields progressively less growth while simultaneously accelerating the elite wealth capture loop. The deeper a sovereign sinks into its respective +1 Std Dev basin, the harder it becomes to grow out of the debt trap organically.</w:t>
      </w:r>
    </w:p>
    <w:p w14:paraId="6604900C" w14:textId="0F5EEE6C" w:rsidR="00F35CC1" w:rsidRDefault="00CF18B0" w:rsidP="00A41504">
      <w:pPr>
        <w:spacing w:after="0"/>
        <w:rPr>
          <w:rFonts w:ascii="Times New Roman" w:hAnsi="Times New Roman" w:cs="Times New Roman"/>
        </w:rPr>
      </w:pPr>
      <w:r w:rsidRPr="007B550D">
        <w:rPr>
          <w:rFonts w:ascii="Times New Roman" w:hAnsi="Times New Roman" w:cs="Times New Roman"/>
        </w:rPr>
        <w:t>This nuanced understanding—that leverage has "safe zones," "transition zones," and "terminal basins"—requires a fundamental shift in how we approach global fiscal policy.</w:t>
      </w:r>
    </w:p>
    <w:p w14:paraId="3D0E63DF" w14:textId="45F8F612" w:rsidR="00A41504" w:rsidRPr="007B550D" w:rsidRDefault="00A41504" w:rsidP="00A41504">
      <w:pPr>
        <w:spacing w:after="0"/>
        <w:rPr>
          <w:rFonts w:ascii="Times New Roman" w:hAnsi="Times New Roman" w:cs="Times New Roman"/>
        </w:rPr>
      </w:pPr>
      <w:r>
        <w:rPr>
          <w:rFonts w:ascii="Times New Roman" w:hAnsi="Times New Roman" w:cs="Times New Roman"/>
        </w:rPr>
        <w:t xml:space="preserve">See the relevant graphs at the end of the Appendix. </w:t>
      </w:r>
    </w:p>
    <w:p w14:paraId="2EF7B840" w14:textId="3CE7EF3C" w:rsidR="00271F78" w:rsidRPr="007B550D" w:rsidRDefault="00271F78" w:rsidP="007B550D">
      <w:pPr>
        <w:pStyle w:val="Heading2"/>
        <w:spacing w:before="0" w:beforeAutospacing="0" w:after="0" w:afterAutospacing="0"/>
      </w:pPr>
    </w:p>
    <w:p w14:paraId="4EE250BB" w14:textId="211F11D1" w:rsidR="00271F78" w:rsidRPr="007B550D" w:rsidRDefault="00271F78" w:rsidP="007B550D">
      <w:pPr>
        <w:pStyle w:val="Heading2"/>
        <w:spacing w:before="0" w:beforeAutospacing="0" w:after="0" w:afterAutospacing="0"/>
      </w:pPr>
    </w:p>
    <w:p w14:paraId="4E395127" w14:textId="22CE3462" w:rsidR="00271F78" w:rsidRPr="007B550D" w:rsidRDefault="00271F78" w:rsidP="007B550D">
      <w:pPr>
        <w:pStyle w:val="Heading2"/>
        <w:spacing w:before="0" w:beforeAutospacing="0" w:after="0" w:afterAutospacing="0"/>
      </w:pPr>
    </w:p>
    <w:p w14:paraId="603FB659" w14:textId="0D96A14A" w:rsidR="00271F78" w:rsidRPr="007B550D" w:rsidRDefault="00271F78" w:rsidP="007B550D">
      <w:pPr>
        <w:pStyle w:val="Heading2"/>
        <w:spacing w:before="0" w:beforeAutospacing="0" w:after="0" w:afterAutospacing="0"/>
      </w:pPr>
    </w:p>
    <w:p w14:paraId="0C10E5FF" w14:textId="03A1EEBC" w:rsidR="00271F78" w:rsidRPr="007B550D" w:rsidRDefault="00271F78" w:rsidP="007B550D">
      <w:pPr>
        <w:pStyle w:val="Heading2"/>
        <w:spacing w:before="0" w:beforeAutospacing="0" w:after="0" w:afterAutospacing="0"/>
      </w:pPr>
    </w:p>
    <w:p w14:paraId="5A9DC251" w14:textId="476632E5" w:rsidR="00271F78" w:rsidRPr="007B550D" w:rsidRDefault="00271F78" w:rsidP="007B550D">
      <w:pPr>
        <w:pStyle w:val="Heading2"/>
        <w:spacing w:before="0" w:beforeAutospacing="0" w:after="0" w:afterAutospacing="0"/>
      </w:pPr>
    </w:p>
    <w:p w14:paraId="6D72D5C2" w14:textId="1C46E9D6" w:rsidR="00CF18B0" w:rsidRPr="007B550D" w:rsidRDefault="00CF18B0" w:rsidP="00F35CC1">
      <w:pPr>
        <w:pStyle w:val="Heading1"/>
      </w:pPr>
      <w:bookmarkStart w:id="52" w:name="_Toc229116087"/>
      <w:r w:rsidRPr="007B550D">
        <w:lastRenderedPageBreak/>
        <w:t>Chapter 6: Conclusion and Policy Frameworks</w:t>
      </w:r>
      <w:bookmarkEnd w:id="52"/>
    </w:p>
    <w:p w14:paraId="697F6F8E" w14:textId="239A6A66" w:rsidR="00CF18B0" w:rsidRPr="007B550D" w:rsidRDefault="00CF18B0" w:rsidP="00F139F1">
      <w:pPr>
        <w:pStyle w:val="Heading2"/>
      </w:pPr>
      <w:bookmarkStart w:id="53" w:name="_Toc229116088"/>
      <w:r w:rsidRPr="007B550D">
        <w:t>6.1 The BRICS Reality Check: Institutional Prerequisites</w:t>
      </w:r>
      <w:bookmarkEnd w:id="53"/>
    </w:p>
    <w:p w14:paraId="58E792FF" w14:textId="3441DEE6"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Before exploring complex financial engineering, we must acknowledge the empirical reality established in Chapter 5: the debt threshold for the BRICS and developing blocs is not an elastic frontier. The data shows that the marginal utility of leverage begins to deteriorate aggressively around the 22% mark, quickly dragging these economies into a structural danger zone.</w:t>
      </w:r>
    </w:p>
    <w:p w14:paraId="46FF1681" w14:textId="563D6119"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Therefore, the primary policy recommendation for emerging economies is to reconsider the direct, wholesale adoption of Western debt-stimulus strategies. Running a high-leverage macroeconomic engine requires a highly mature institutional framework capable of handling the variance zones. Until these nations execute foundational, structural reforms—solidifying private property rights, establishing transparent legal enforcement, and building resilient internal tax bases—excessive sovereign debt will remain a highly volatile and regressive instrument. The foundational concrete must cure before attempting to build a high-leverage skyscraper.</w:t>
      </w:r>
    </w:p>
    <w:p w14:paraId="430F32D9" w14:textId="77777777" w:rsidR="00CF18B0" w:rsidRPr="007B550D" w:rsidRDefault="00CF18B0" w:rsidP="00F139F1">
      <w:pPr>
        <w:pStyle w:val="Heading2"/>
      </w:pPr>
      <w:bookmarkStart w:id="54" w:name="_Toc229116089"/>
      <w:r w:rsidRPr="007B550D">
        <w:t>6.2 The Fiscal Fourth Branch: Independent Debt Authorities</w:t>
      </w:r>
      <w:bookmarkEnd w:id="54"/>
    </w:p>
    <w:p w14:paraId="391E7C75"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fundamental tension in modern fiscal policy is a structural mismatch: we rely on political cycles, inherently short-term, to manage long-term, generational debt. Politicians are structurally disincentivized from enacting austerity, especially when their economy enters a low-growth transition zone. Sovereign debt management needs to evolve into a permanent, independent institutional science.</w:t>
      </w:r>
    </w:p>
    <w:p w14:paraId="6199753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Governments should consider establishing an independent fiscal authority—perhaps as an autonomous arm of the Central Bank or a specialized Ministry of Finance—dedicated exclusively to managing the national ledger for these threshold zones. This entity would operate on three primary mandates:</w:t>
      </w:r>
    </w:p>
    <w:p w14:paraId="57336BBE" w14:textId="77777777" w:rsidR="00CF18B0" w:rsidRPr="007B550D" w:rsidRDefault="00CF18B0" w:rsidP="007B550D">
      <w:pPr>
        <w:numPr>
          <w:ilvl w:val="0"/>
          <w:numId w:val="25"/>
        </w:numPr>
        <w:spacing w:after="0"/>
        <w:jc w:val="left"/>
        <w:rPr>
          <w:rFonts w:ascii="Times New Roman" w:hAnsi="Times New Roman" w:cs="Times New Roman"/>
        </w:rPr>
      </w:pPr>
      <w:r w:rsidRPr="007B550D">
        <w:rPr>
          <w:rFonts w:ascii="Times New Roman" w:hAnsi="Times New Roman" w:cs="Times New Roman"/>
          <w:b/>
          <w:bCs/>
        </w:rPr>
        <w:t>Counter-Cyclical Accumulation:</w:t>
      </w:r>
      <w:r w:rsidRPr="007B550D">
        <w:rPr>
          <w:rFonts w:ascii="Times New Roman" w:hAnsi="Times New Roman" w:cs="Times New Roman"/>
        </w:rPr>
        <w:t xml:space="preserve"> During periods of economic expansion, this branch automatically sequesters a mandated percentage of surplus state income, buffering it from the standard political budgeting process.</w:t>
      </w:r>
    </w:p>
    <w:p w14:paraId="6AB935E8" w14:textId="77777777" w:rsidR="00CF18B0" w:rsidRPr="007B550D" w:rsidRDefault="00CF18B0" w:rsidP="007B550D">
      <w:pPr>
        <w:numPr>
          <w:ilvl w:val="0"/>
          <w:numId w:val="25"/>
        </w:numPr>
        <w:spacing w:after="0"/>
        <w:jc w:val="left"/>
        <w:rPr>
          <w:rFonts w:ascii="Times New Roman" w:hAnsi="Times New Roman" w:cs="Times New Roman"/>
        </w:rPr>
      </w:pPr>
      <w:r w:rsidRPr="007B550D">
        <w:rPr>
          <w:rFonts w:ascii="Times New Roman" w:hAnsi="Times New Roman" w:cs="Times New Roman"/>
          <w:b/>
          <w:bCs/>
        </w:rPr>
        <w:t>Targeted Deleveraging:</w:t>
      </w:r>
      <w:r w:rsidRPr="007B550D">
        <w:rPr>
          <w:rFonts w:ascii="Times New Roman" w:hAnsi="Times New Roman" w:cs="Times New Roman"/>
        </w:rPr>
        <w:t xml:space="preserve"> The authority utilizes this accumulated capital to strategically retire high-yield government bonds ahead of schedule to keep the economy out of the +1 Std Dev danger zones. (This requires careful execution. Returning capital to bondholders </w:t>
      </w:r>
      <w:r w:rsidRPr="007B550D">
        <w:rPr>
          <w:rFonts w:ascii="Times New Roman" w:hAnsi="Times New Roman" w:cs="Times New Roman"/>
        </w:rPr>
        <w:lastRenderedPageBreak/>
        <w:t>injects liquidity into the market, which can drive asset inflation. This makes the Central Bank the logical host for this entity, as they already possess the monetary tools to sterilize that excess liquidity.</w:t>
      </w:r>
    </w:p>
    <w:p w14:paraId="5E55F5F9" w14:textId="77777777" w:rsidR="00CF18B0" w:rsidRPr="007B550D" w:rsidRDefault="00CF18B0" w:rsidP="007B550D">
      <w:pPr>
        <w:numPr>
          <w:ilvl w:val="0"/>
          <w:numId w:val="25"/>
        </w:numPr>
        <w:spacing w:after="0"/>
        <w:jc w:val="left"/>
        <w:rPr>
          <w:rFonts w:ascii="Times New Roman" w:hAnsi="Times New Roman" w:cs="Times New Roman"/>
        </w:rPr>
      </w:pPr>
      <w:r w:rsidRPr="007B550D">
        <w:rPr>
          <w:rFonts w:ascii="Times New Roman" w:hAnsi="Times New Roman" w:cs="Times New Roman"/>
          <w:b/>
          <w:bCs/>
        </w:rPr>
        <w:t>Dynamic Debt Corridors:</w:t>
      </w:r>
      <w:r w:rsidRPr="007B550D">
        <w:rPr>
          <w:rFonts w:ascii="Times New Roman" w:hAnsi="Times New Roman" w:cs="Times New Roman"/>
        </w:rPr>
        <w:t xml:space="preserve"> Rather than enforcing a single, unbreachable ceiling, this entity would have the statutory authority to establish dynamic debt corridors based on current macroeconomic health. By letting parliaments form their budgets strictly within these mathematically defined, zone-based boundaries, it provides the necessary political cover for lawmakers to enact tighter budgets without facing direct electoral reprisal.</w:t>
      </w:r>
    </w:p>
    <w:p w14:paraId="22CA327E" w14:textId="77777777" w:rsidR="00CF18B0" w:rsidRPr="007B550D" w:rsidRDefault="00CF18B0" w:rsidP="00F139F1">
      <w:pPr>
        <w:pStyle w:val="Heading2"/>
      </w:pPr>
      <w:bookmarkStart w:id="55" w:name="_Toc229116090"/>
      <w:r w:rsidRPr="007B550D">
        <w:t>6.3 The Cantillon Correction: In-Kind Wealth Recapture</w:t>
      </w:r>
      <w:bookmarkEnd w:id="55"/>
    </w:p>
    <w:p w14:paraId="41FFC7D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data confirms that as economies drift deeper into their high-leverage threshold zones, debt injections disproportionately enrich the top 10%. In economics, this is a clear manifestation of the Cantillon effect: entities closest to the capital spigot (institutional funds, major asset holders) deploy new liquidity before inflation impacts the broader market, while the working class absorbs diluted purchasing power.</w:t>
      </w:r>
    </w:p>
    <w:p w14:paraId="0CA35D0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traditional political remedy is a wealth tax on unrealized gains. From an accounting perspective, this is a bureaucratic maze; valuing illiquid private equity and fluctuating debt portfolios in real-time is nearly impossible to enforce efficiently.</w:t>
      </w:r>
    </w:p>
    <w:p w14:paraId="7235878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However, publicly traded equity and corporate loan instruments are priced transparently in the market. To bypass the accounting barrier, policymakers could explore an in-kind taxation or public equity trust model. By capturing a small, floating percentage of voting/non-voting shares and corporate debt instruments directly from the wealthiest entities, the public sector gains an appreciating asset base. Taking equity rather than cash acts as an automated structural hedge against the very asset inflation driven by unequal, zone-breaching debt stimulus.</w:t>
      </w:r>
    </w:p>
    <w:p w14:paraId="0A9DFF2C" w14:textId="77777777" w:rsidR="00CF18B0" w:rsidRPr="007B550D" w:rsidRDefault="00CF18B0" w:rsidP="00F139F1">
      <w:pPr>
        <w:pStyle w:val="Heading2"/>
      </w:pPr>
      <w:bookmarkStart w:id="56" w:name="_Toc229116091"/>
      <w:r w:rsidRPr="007B550D">
        <w:t>6.4 The Devaluation Dilemma</w:t>
      </w:r>
      <w:bookmarkEnd w:id="56"/>
    </w:p>
    <w:p w14:paraId="6A52F17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For Advanced OECD economies already heavily entrenched in their structural danger zones, the policy window is narrowing rapidly. To manage the crushing weight of historical leverage while maintaining a competitive industrial base, governments may be forced to consider engineered, controlled currency devaluation.</w:t>
      </w:r>
    </w:p>
    <w:p w14:paraId="0B05F15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A weaker currency effectively discounts the cost of servicing astronomical sovereign debt while, in theory, boosting export competitiveness. However, this is a high-risk macroeconomic maneuver that must be executed with extreme caution to avoid severe inflationary cascades. Furthermore, challenging the current reserve currency status quo invites significant geopolitical friction—the United States will naturally defend its exorbitant privilege—making coordinated global devaluation a highly complex and volatile proposition.</w:t>
      </w:r>
    </w:p>
    <w:p w14:paraId="7E097125" w14:textId="77777777" w:rsidR="00CF18B0" w:rsidRPr="007B550D" w:rsidRDefault="00CF18B0" w:rsidP="00F139F1">
      <w:pPr>
        <w:pStyle w:val="Heading2"/>
      </w:pPr>
      <w:bookmarkStart w:id="57" w:name="_Toc229116092"/>
      <w:r w:rsidRPr="007B550D">
        <w:t>6.5 Architecting a Multipolar Financial Structure</w:t>
      </w:r>
      <w:bookmarkEnd w:id="57"/>
    </w:p>
    <w:p w14:paraId="4B469C04"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 global economy requires alternative centers of capital allocation to reduce systemic reliance on the debt cycles of aging Western economies. China, alongside a coalition of other high-growth, lower-debt nations, has a strategic window to fulfill this role.</w:t>
      </w:r>
    </w:p>
    <w:p w14:paraId="6EDC1DC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is not merely a geopolitical pivot; it is a structural necessity to relieve pressure on the global financial system. To succeed, these emerging centers must enact internal institutional reforms to guarantee capital mobility, pricing transparency, and robust investor trust. Establishing a viable, high-capacity alternative to Western fiat debt naturally incentivizes fiscal discipline in the developed world by introducing genuine competition for global liquidity, forcing highly leveraged nations to steer clear of their terminal threshold zones.</w:t>
      </w:r>
    </w:p>
    <w:p w14:paraId="0D6FD482" w14:textId="77777777" w:rsidR="00CF18B0" w:rsidRPr="007B550D" w:rsidRDefault="00CF18B0" w:rsidP="00F139F1">
      <w:pPr>
        <w:pStyle w:val="Heading1"/>
      </w:pPr>
      <w:bookmarkStart w:id="58" w:name="_Toc229116093"/>
      <w:r w:rsidRPr="007B550D">
        <w:t>Chapter 7: Unanswered Questions and Systemic Blind Spots</w:t>
      </w:r>
      <w:bookmarkEnd w:id="58"/>
    </w:p>
    <w:p w14:paraId="163837F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Every rigorous financial analysis requires a "risks and unknowns" slide. While this thesis successfully mapped the mathematical thresholds where sovereign leverage breaks down, the internal mechanics of that breakdown remain somewhat opaque. We have defined the perimeter of the black box, but we still need to look inside.</w:t>
      </w:r>
    </w:p>
    <w:p w14:paraId="05C72C03"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Establishing "Debt Studies" as a self-standing, interdisciplinary field means acknowledging what our current econometrics cannot yet measure. The following questions represent the immediate frontier for future research, outlining the systemic blind spots we must clear to survive the closing fiscal window.</w:t>
      </w:r>
    </w:p>
    <w:p w14:paraId="44F0348C" w14:textId="77777777" w:rsidR="00CF18B0" w:rsidRPr="007B550D" w:rsidRDefault="00CF18B0" w:rsidP="00F139F1">
      <w:pPr>
        <w:pStyle w:val="Heading2"/>
      </w:pPr>
      <w:bookmarkStart w:id="59" w:name="_Toc229116094"/>
      <w:r w:rsidRPr="007B550D">
        <w:t>7.1 The Holy Grail: Real-Time Multiplier Telemetry</w:t>
      </w:r>
      <w:bookmarkEnd w:id="59"/>
    </w:p>
    <w:p w14:paraId="4E1CC74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Currently, macroeconomic research is an exercise in looking through the rearview mirror. We analyze the Keynesian multiplier effect using aggregated, smoothed, and delayed data, with delays </w:t>
      </w:r>
      <w:r w:rsidRPr="007B550D">
        <w:rPr>
          <w:rFonts w:ascii="Times New Roman" w:hAnsi="Times New Roman" w:cs="Times New Roman"/>
        </w:rPr>
        <w:lastRenderedPageBreak/>
        <w:t>of months or even years. By the time a central bank realizes the multiplier has dropped below 1.0, the structural damage is already priced into the market.</w:t>
      </w:r>
    </w:p>
    <w:p w14:paraId="4117037B"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The Question:</w:t>
      </w:r>
      <w:r w:rsidRPr="007B550D">
        <w:rPr>
          <w:rFonts w:ascii="Times New Roman" w:hAnsi="Times New Roman" w:cs="Times New Roman"/>
        </w:rPr>
        <w:t xml:space="preserve"> Are there viable methodologies to actively and continuously measure the debt multiplier effect in real-time?</w:t>
      </w:r>
    </w:p>
    <w:p w14:paraId="2AED611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To navigate the high-variance zones (the +1 and +3 standard deviation basins identified in Chapter 5), policymakers need high-frequency telemetry. Future research must determine if we can proxy the real-time efficiency of debt using alternative, high-frequency datasets—such as institutional bank flows, immediate corporate tax receipts, or real-time supply chain financing metrics—rather than waiting for quarterly GDP revisions.</w:t>
      </w:r>
    </w:p>
    <w:p w14:paraId="6FB2C6A2" w14:textId="77777777" w:rsidR="00CF18B0" w:rsidRPr="007B550D" w:rsidRDefault="00CF18B0" w:rsidP="00F139F1">
      <w:pPr>
        <w:pStyle w:val="Heading2"/>
      </w:pPr>
      <w:bookmarkStart w:id="60" w:name="_Toc229116095"/>
      <w:r w:rsidRPr="007B550D">
        <w:t>7.2 Mapping the Cantillon Aqueducts (The Beneficiary Graph)</w:t>
      </w:r>
      <w:bookmarkEnd w:id="60"/>
    </w:p>
    <w:p w14:paraId="387B2AC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We know that debt stimulus disproportionately enriches the top decile, but the exact flow of that capital remains anecdotal. Think of a sovereign stimulus package like a Roman aqueduct: the government is the source (the 0th-term beneficiary), but who exactly taps the water first, and what do they do with it?</w:t>
      </w:r>
    </w:p>
    <w:p w14:paraId="68255D7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The Question:</w:t>
      </w:r>
      <w:r w:rsidRPr="007B550D">
        <w:rPr>
          <w:rFonts w:ascii="Times New Roman" w:hAnsi="Times New Roman" w:cs="Times New Roman"/>
        </w:rPr>
        <w:t xml:space="preserve"> Can we construct a functional network graph tracing debt stimulus from 1st-term beneficiaries down to the terminal n-term recipients?</w:t>
      </w:r>
    </w:p>
    <w:p w14:paraId="7C7FDFD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is essentially a massive network topology problem. We need to map the tree of who gets the liquidity first across different institutional regimes. Do tier-1 corporate beneficiaries (primary contractors and institutional lenders) utilize this capital efficiently? Do they expand production and raise wages, or do they simply execute stock buybacks and hoard the liquidity, accelerating the elite capture ratio? Charting this exact flow is absolutely critical for designing the targeted "in-kind" taxation policies proposed in Chapter 6.</w:t>
      </w:r>
    </w:p>
    <w:p w14:paraId="50BB4918" w14:textId="77777777" w:rsidR="00CF18B0" w:rsidRPr="007B550D" w:rsidRDefault="00CF18B0" w:rsidP="00F139F1">
      <w:pPr>
        <w:pStyle w:val="Heading2"/>
      </w:pPr>
      <w:bookmarkStart w:id="61" w:name="_Toc229116096"/>
      <w:r w:rsidRPr="007B550D">
        <w:t>7.3 Zombie Capital and the "Too Big To Fail" Trap</w:t>
      </w:r>
      <w:bookmarkEnd w:id="61"/>
    </w:p>
    <w:p w14:paraId="3BEFFFA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During the 2008 and 2020 crises, governments aggressively deployed debt to bail out massive, structurally failing institutions under the banner of preventing systemic collapse. While this prevented immediate pain, it flooded the market with "zombie companies"—entities that consume continuous capital just to service their existing debt, producing zero net economic value.</w:t>
      </w:r>
    </w:p>
    <w:p w14:paraId="012F6CA8"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The Question:</w:t>
      </w:r>
      <w:r w:rsidRPr="007B550D">
        <w:rPr>
          <w:rFonts w:ascii="Times New Roman" w:hAnsi="Times New Roman" w:cs="Times New Roman"/>
        </w:rPr>
        <w:t xml:space="preserve"> Have we destroyed our future growth capacity to temporarily avoid the pain of creative destruction?</w:t>
      </w:r>
    </w:p>
    <w:p w14:paraId="13682B59"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In the context of our threshold zones, throwing sovereign debt at zombie companies essentially guarantees a rapid progression into the terminal +1 standard deviation basin. Future research must brutally quantify this trade-off. We need empirical models to determine if enduring a severe, immediate recession (allowing failing entities to collapse and clear the board) yields a better long-term trajectory than sustaining an unbearable, low-growth future built on infinite corporate bailouts.</w:t>
      </w:r>
    </w:p>
    <w:p w14:paraId="1E539F4C" w14:textId="77777777" w:rsidR="00CF18B0" w:rsidRPr="007B550D" w:rsidRDefault="00CF18B0" w:rsidP="00F139F1">
      <w:pPr>
        <w:pStyle w:val="Heading2"/>
      </w:pPr>
      <w:bookmarkStart w:id="62" w:name="_Toc229116097"/>
      <w:r w:rsidRPr="007B550D">
        <w:t>7.4 Synthetic Leverage and "Distilled Debt."</w:t>
      </w:r>
      <w:bookmarkEnd w:id="62"/>
    </w:p>
    <w:p w14:paraId="0912DAC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 xml:space="preserve">There is an entirely separate layer of complexity regarding how debt multiplies itself. When a government issues debt to fund an institution whose primary purpose is to lend </w:t>
      </w:r>
      <w:r w:rsidRPr="007B550D">
        <w:rPr>
          <w:rFonts w:ascii="Times New Roman" w:hAnsi="Times New Roman" w:cs="Times New Roman"/>
          <w:i/>
          <w:iCs/>
        </w:rPr>
        <w:t>more</w:t>
      </w:r>
      <w:r w:rsidRPr="007B550D">
        <w:rPr>
          <w:rFonts w:ascii="Times New Roman" w:hAnsi="Times New Roman" w:cs="Times New Roman"/>
        </w:rPr>
        <w:t xml:space="preserve"> debt (for example, Fannie Mae in the US housing market), we are no longer just tracking basic sovereign liabilities. We are looking at synthetic leverage.</w:t>
      </w:r>
    </w:p>
    <w:p w14:paraId="33609E70"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The Question:</w:t>
      </w:r>
      <w:r w:rsidRPr="007B550D">
        <w:rPr>
          <w:rFonts w:ascii="Times New Roman" w:hAnsi="Times New Roman" w:cs="Times New Roman"/>
        </w:rPr>
        <w:t xml:space="preserve"> How do we measure the internal multiplier effect of "distilled debt"?</w:t>
      </w:r>
    </w:p>
    <w:p w14:paraId="1CAAF41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Just as the fractional reserve banking system multiplies base money, government-sponsored lending multiplies base debt. Future models must find a way to isolate pure, organic sovereign spending (like building a bridge) from this distilled debt, which acts as a secondary, highly volatile derivative layer on the national ledger.</w:t>
      </w:r>
    </w:p>
    <w:p w14:paraId="6563A7F4" w14:textId="77777777" w:rsidR="00CF18B0" w:rsidRPr="007B550D" w:rsidRDefault="00CF18B0" w:rsidP="00F139F1">
      <w:pPr>
        <w:pStyle w:val="Heading2"/>
      </w:pPr>
      <w:bookmarkStart w:id="63" w:name="_Toc229116098"/>
      <w:r w:rsidRPr="007B550D">
        <w:t>7.5 Chronological Autopsies of the Variance Zones</w:t>
      </w:r>
      <w:bookmarkEnd w:id="63"/>
    </w:p>
    <w:p w14:paraId="3B2F32A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 Chapter 5, we identified the +1 and +3 standard deviation variance zones where debt transitions from a stimulant to an anchor. However, our panel data analyzed these thresholds across broad eras.</w:t>
      </w:r>
    </w:p>
    <w:p w14:paraId="1CB77F06"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b/>
          <w:bCs/>
        </w:rPr>
        <w:t>The Question:</w:t>
      </w:r>
      <w:r w:rsidRPr="007B550D">
        <w:rPr>
          <w:rFonts w:ascii="Times New Roman" w:hAnsi="Times New Roman" w:cs="Times New Roman"/>
        </w:rPr>
        <w:t xml:space="preserve"> Exactly when and why did specific nations cross their respective event horizons?</w:t>
      </w:r>
    </w:p>
    <w:p w14:paraId="4690C5CC"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We need to conduct chronological autopsies on these threshold crossings. Did a country like Japan or France slowly drift into their danger zones due to decades of structural deficit spending, or were they violently pushed across the line by emergency counter-cyclical borrowing during a specific crisis (like 2008)? Investigating the specific historical moments when these economies breached their +3 standard deviation zones will reveal whether the Keynesian cure actually became the disease.</w:t>
      </w:r>
    </w:p>
    <w:p w14:paraId="3B00FAED" w14:textId="77777777" w:rsidR="00CF18B0" w:rsidRPr="007B550D" w:rsidRDefault="00CF18B0" w:rsidP="00F139F1">
      <w:pPr>
        <w:pStyle w:val="Heading1"/>
      </w:pPr>
      <w:bookmarkStart w:id="64" w:name="_Toc229116099"/>
      <w:r w:rsidRPr="007B550D">
        <w:t>Chapter 8: Methodological Transparency and AI Integration</w:t>
      </w:r>
      <w:bookmarkEnd w:id="64"/>
    </w:p>
    <w:p w14:paraId="2FA72B71" w14:textId="77777777" w:rsidR="00CF18B0" w:rsidRPr="007B550D" w:rsidRDefault="00CF18B0" w:rsidP="00F139F1">
      <w:pPr>
        <w:pStyle w:val="Heading2"/>
      </w:pPr>
      <w:bookmarkStart w:id="65" w:name="_Toc229116100"/>
      <w:r w:rsidRPr="007B550D">
        <w:t>8.1 The Reality of "Vibecoding" the Econometrics</w:t>
      </w:r>
      <w:bookmarkEnd w:id="65"/>
    </w:p>
    <w:p w14:paraId="3B3A639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Let us address the operational reality of this thesis. When I initially framed the data architecture, my primary analytical tool was advanced Excel. I am highly proficient in it, but Excel's Solver rapidly buckled under the computational weight of dynamic panel data and thousand-iteration grid search algorithms. The traditional academic pivot at this stage would be to learn R or Stata. However, from a purely pragmatic standpoint, spending hundreds of hours learning a highly niche academic syntax just to write one thesis is a terrible return on the time invested. It is the equivalent of learning ancient Latin just to translate a single historical ledger.</w:t>
      </w:r>
    </w:p>
    <w:p w14:paraId="4A0C8ED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Instead, I opted for Python, leveraging my baseline understanding of the language and aggressive AI augmentation. Specifically, the entire econometric pipeline—from the Difference GMM to the Hansen Threshold iterations—was essentially "vibecoded" using Large Language Models (primarily Gemini). By vibecoding, I mean that I structured the macroeconomic logic, defined the parameters, and set strict mathematical boundaries, while the AI generated, debugged, and optimized the actual Python code.</w:t>
      </w:r>
    </w:p>
    <w:p w14:paraId="5ED1DF1F" w14:textId="77777777" w:rsidR="00CF18B0" w:rsidRPr="007B550D" w:rsidRDefault="00CF18B0" w:rsidP="00F139F1">
      <w:pPr>
        <w:pStyle w:val="Heading2"/>
      </w:pPr>
      <w:bookmarkStart w:id="66" w:name="_Toc229116101"/>
      <w:r w:rsidRPr="007B550D">
        <w:t>8.2 The Academic Taboo and the Augmentation Paradigm</w:t>
      </w:r>
      <w:bookmarkEnd w:id="66"/>
    </w:p>
    <w:p w14:paraId="3469877F"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There is a pervasive, almost superstitious fear of artificial intelligence in current academic circles. Universities are terrified of generative tools, assuming that AI is merely an engine for academic plagiarism.</w:t>
      </w:r>
    </w:p>
    <w:p w14:paraId="4F7FE7CE"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This is a fundamentally flawed framing. Lazy students have always found ways to cut corners, long before neural networks existed. The pragmatic approach is not to ban the tool, but to explore ways to "cheat properly"—which, in the professional world, is simply called leveraging technology to maximize output. If the financial sector trusts this technology to drive corporate productivity and analyze global markets, pretending it has no place in rigorous academic research is pure hypocrisy.</w:t>
      </w:r>
    </w:p>
    <w:p w14:paraId="78ECAD6A"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As I explored in a recent professional analysis of AI and labor transformation, the immediate threat posed by AI is not the wholesale replacement of human labor. The true disruption lies in heavy augmentation. AI acts as a digital exoskeleton. It allows a single analyst to qualitatively and quantitatively resolve exponentially more complex tasks within a standard week than was previously physically possible. This thesis is a direct product of that augmentation.</w:t>
      </w:r>
    </w:p>
    <w:p w14:paraId="2AC5A4B5" w14:textId="77777777" w:rsidR="00CF18B0" w:rsidRPr="007B550D" w:rsidRDefault="00CF18B0" w:rsidP="00F139F1">
      <w:pPr>
        <w:pStyle w:val="Heading2"/>
      </w:pPr>
      <w:bookmarkStart w:id="67" w:name="_Toc229116102"/>
      <w:r w:rsidRPr="007B550D">
        <w:t>8.3 Open Architecture and Peer Review</w:t>
      </w:r>
      <w:bookmarkEnd w:id="67"/>
    </w:p>
    <w:p w14:paraId="7B4C8E7D"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lastRenderedPageBreak/>
        <w:t>Because this methodology relies heavily on vibecoded architecture, I am actively open to rigorous critique. The Jupyter notebooks have been attached specifically for this reason. I welcome any code review, methodological teardown, or structural critique, provided the feedback actually carries intellectual weight (ideally, a critique longer than three sentences averaging ten words each). The goal is structural accuracy. If the AI-assisted pipeline has a blind spot, I want it mapped and corrected.</w:t>
      </w:r>
    </w:p>
    <w:p w14:paraId="43035057" w14:textId="77777777" w:rsidR="00CF18B0" w:rsidRPr="007B550D" w:rsidRDefault="00CF18B0" w:rsidP="00F139F1">
      <w:pPr>
        <w:pStyle w:val="Heading2"/>
      </w:pPr>
      <w:bookmarkStart w:id="68" w:name="_Toc229116103"/>
      <w:r w:rsidRPr="007B550D">
        <w:t>8.4 A Pragmatic Acknowledgment</w:t>
      </w:r>
      <w:bookmarkEnd w:id="68"/>
    </w:p>
    <w:p w14:paraId="712DE7E7"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Finally, a note on simple human reality. Producing a thesis of this scale while working a demanding, full-time job in asset management imposes a brutal logistical constraint on your time. Add in the absolute baseline human need to maintain a social life, and the math simply does not work. You run out of hours.</w:t>
      </w:r>
    </w:p>
    <w:p w14:paraId="09268201" w14:textId="77777777" w:rsidR="00CF18B0" w:rsidRPr="007B550D" w:rsidRDefault="00CF18B0" w:rsidP="007B550D">
      <w:pPr>
        <w:spacing w:after="0"/>
        <w:rPr>
          <w:rFonts w:ascii="Times New Roman" w:hAnsi="Times New Roman" w:cs="Times New Roman"/>
        </w:rPr>
      </w:pPr>
      <w:r w:rsidRPr="007B550D">
        <w:rPr>
          <w:rFonts w:ascii="Times New Roman" w:hAnsi="Times New Roman" w:cs="Times New Roman"/>
        </w:rPr>
        <w:t>I am profoundly grateful to the AI models that acted as my computational co-pilots throughout this research. They did not do the thinking for me, but they executed the heavy lifting, saving me hundreds of hours of syntax debugging and structural formatting. They essentially saved my sanity. The successful completion of this paper is a direct testament to the power of human-AI collaboration.</w:t>
      </w:r>
    </w:p>
    <w:p w14:paraId="1C269A70" w14:textId="77777777" w:rsidR="00D37A47" w:rsidRPr="007B550D" w:rsidRDefault="00D37A47" w:rsidP="00F139F1">
      <w:pPr>
        <w:pStyle w:val="Heading1"/>
        <w:rPr>
          <w:sz w:val="24"/>
        </w:rPr>
      </w:pPr>
      <w:bookmarkStart w:id="69" w:name="_Toc229116104"/>
      <w:r w:rsidRPr="007B550D">
        <w:t>References</w:t>
      </w:r>
      <w:bookmarkEnd w:id="69"/>
    </w:p>
    <w:p w14:paraId="0FFF8997"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Acemoglu, D., and P. Restrepo. Artificial Intelligence, Automation, and Work [M]., in </w:t>
      </w:r>
      <w:r w:rsidRPr="007B550D">
        <w:rPr>
          <w:rFonts w:ascii="Times New Roman" w:eastAsia="Times New Roman" w:hAnsi="Times New Roman" w:cs="Times New Roman"/>
          <w:i/>
          <w:iCs/>
          <w:kern w:val="0"/>
          <w14:ligatures w14:val="none"/>
        </w:rPr>
        <w:t>The Economics of Artificial Intelligence: An Agenda</w:t>
      </w:r>
      <w:r w:rsidRPr="007B550D">
        <w:rPr>
          <w:rFonts w:ascii="Times New Roman" w:eastAsia="Times New Roman" w:hAnsi="Times New Roman" w:cs="Times New Roman"/>
          <w:kern w:val="0"/>
          <w14:ligatures w14:val="none"/>
        </w:rPr>
        <w:t xml:space="preserve"> (National Bureau of Economic Research, 2018: 197-236).</w:t>
      </w:r>
    </w:p>
    <w:p w14:paraId="594E2398"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Acemoglu, D., and J. A. Robinson: Why Nations Fail: The Origins of Power, Prosperity, and Poverty [M]. Crown Business, New York. 2012.</w:t>
      </w:r>
    </w:p>
    <w:p w14:paraId="25B871D6"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Arellano, M., and S. Bond. Some tests of specification for panel data: Monte Carlo evidence and an application to employment equations [J], </w:t>
      </w:r>
      <w:r w:rsidRPr="007B550D">
        <w:rPr>
          <w:rFonts w:ascii="Times New Roman" w:eastAsia="Times New Roman" w:hAnsi="Times New Roman" w:cs="Times New Roman"/>
          <w:i/>
          <w:iCs/>
          <w:kern w:val="0"/>
          <w14:ligatures w14:val="none"/>
        </w:rPr>
        <w:t>The Review of Economic Studies, 58(2)</w:t>
      </w:r>
      <w:r w:rsidRPr="007B550D">
        <w:rPr>
          <w:rFonts w:ascii="Times New Roman" w:eastAsia="Times New Roman" w:hAnsi="Times New Roman" w:cs="Times New Roman"/>
          <w:kern w:val="0"/>
          <w14:ligatures w14:val="none"/>
        </w:rPr>
        <w:t>, 1991, 277-297.</w:t>
      </w:r>
    </w:p>
    <w:p w14:paraId="2FF3DCA2"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Caballero, R. J., T. Hoshi, and A. K. Kashyap. Zombie Lending and Depressed Restructuring in Japan [J], </w:t>
      </w:r>
      <w:r w:rsidRPr="007B550D">
        <w:rPr>
          <w:rFonts w:ascii="Times New Roman" w:eastAsia="Times New Roman" w:hAnsi="Times New Roman" w:cs="Times New Roman"/>
          <w:i/>
          <w:iCs/>
          <w:kern w:val="0"/>
          <w14:ligatures w14:val="none"/>
        </w:rPr>
        <w:t>American Economic Review, 98(5)</w:t>
      </w:r>
      <w:r w:rsidRPr="007B550D">
        <w:rPr>
          <w:rFonts w:ascii="Times New Roman" w:eastAsia="Times New Roman" w:hAnsi="Times New Roman" w:cs="Times New Roman"/>
          <w:kern w:val="0"/>
          <w14:ligatures w14:val="none"/>
        </w:rPr>
        <w:t>, 2008, 1943-1977.</w:t>
      </w:r>
    </w:p>
    <w:p w14:paraId="39640E0A"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Cantillon, R.: Essai sur la Nature du Commerce en Général [M]. 1755.</w:t>
      </w:r>
    </w:p>
    <w:p w14:paraId="4E7B71A5"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lastRenderedPageBreak/>
        <w:t>Congressional Budget Office. The Budget and Economic Outlook: 2024 to 2034 [R]. Washington, D.C.: CBO. 2024.</w:t>
      </w:r>
    </w:p>
    <w:p w14:paraId="70C3A2E0"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Dickey, D. A., and W. A. Fuller. Distribution of the Estimators for Autoregressive Time Series with a Unit Root [J], </w:t>
      </w:r>
      <w:r w:rsidRPr="007B550D">
        <w:rPr>
          <w:rFonts w:ascii="Times New Roman" w:eastAsia="Times New Roman" w:hAnsi="Times New Roman" w:cs="Times New Roman"/>
          <w:i/>
          <w:iCs/>
          <w:kern w:val="0"/>
          <w14:ligatures w14:val="none"/>
        </w:rPr>
        <w:t>Journal of the American Statistical Association, 74(366a)</w:t>
      </w:r>
      <w:r w:rsidRPr="007B550D">
        <w:rPr>
          <w:rFonts w:ascii="Times New Roman" w:eastAsia="Times New Roman" w:hAnsi="Times New Roman" w:cs="Times New Roman"/>
          <w:kern w:val="0"/>
          <w14:ligatures w14:val="none"/>
        </w:rPr>
        <w:t>, 1979, 427-431.</w:t>
      </w:r>
    </w:p>
    <w:p w14:paraId="1C4C66B6"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Domanski, M., A. Michell, and M. Scatena. Wealth inequality and monetary policy [J], </w:t>
      </w:r>
      <w:r w:rsidRPr="007B550D">
        <w:rPr>
          <w:rFonts w:ascii="Times New Roman" w:eastAsia="Times New Roman" w:hAnsi="Times New Roman" w:cs="Times New Roman"/>
          <w:i/>
          <w:iCs/>
          <w:kern w:val="0"/>
          <w14:ligatures w14:val="none"/>
        </w:rPr>
        <w:t>BIS Quarterly Review</w:t>
      </w:r>
      <w:r w:rsidRPr="007B550D">
        <w:rPr>
          <w:rFonts w:ascii="Times New Roman" w:eastAsia="Times New Roman" w:hAnsi="Times New Roman" w:cs="Times New Roman"/>
          <w:kern w:val="0"/>
          <w14:ligatures w14:val="none"/>
        </w:rPr>
        <w:t>, March 2016.</w:t>
      </w:r>
    </w:p>
    <w:p w14:paraId="3A0D06D8"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Eichengreen, B.: Exorbitant Privilege: The Rise and Fall of the Dollar and the Future of the International Monetary System [M]. Oxford University Press, Oxford. 2011.</w:t>
      </w:r>
    </w:p>
    <w:p w14:paraId="20CC6530"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Friedman, M. The Role of Monetary Policy [J], </w:t>
      </w:r>
      <w:r w:rsidRPr="007B550D">
        <w:rPr>
          <w:rFonts w:ascii="Times New Roman" w:eastAsia="Times New Roman" w:hAnsi="Times New Roman" w:cs="Times New Roman"/>
          <w:i/>
          <w:iCs/>
          <w:kern w:val="0"/>
          <w14:ligatures w14:val="none"/>
        </w:rPr>
        <w:t>The American Economic Review, 58(1)</w:t>
      </w:r>
      <w:r w:rsidRPr="007B550D">
        <w:rPr>
          <w:rFonts w:ascii="Times New Roman" w:eastAsia="Times New Roman" w:hAnsi="Times New Roman" w:cs="Times New Roman"/>
          <w:kern w:val="0"/>
          <w14:ligatures w14:val="none"/>
        </w:rPr>
        <w:t>, 1968, 1-17.</w:t>
      </w:r>
    </w:p>
    <w:p w14:paraId="5C52984F"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Hansen, B. E. Threshold effects in non-dynamic panels: Estimation, testing, and inference [J], </w:t>
      </w:r>
      <w:r w:rsidRPr="007B550D">
        <w:rPr>
          <w:rFonts w:ascii="Times New Roman" w:eastAsia="Times New Roman" w:hAnsi="Times New Roman" w:cs="Times New Roman"/>
          <w:i/>
          <w:iCs/>
          <w:kern w:val="0"/>
          <w14:ligatures w14:val="none"/>
        </w:rPr>
        <w:t>Journal of Econometrics, 93(2)</w:t>
      </w:r>
      <w:r w:rsidRPr="007B550D">
        <w:rPr>
          <w:rFonts w:ascii="Times New Roman" w:eastAsia="Times New Roman" w:hAnsi="Times New Roman" w:cs="Times New Roman"/>
          <w:kern w:val="0"/>
          <w14:ligatures w14:val="none"/>
        </w:rPr>
        <w:t>, 1999, 345-368.</w:t>
      </w:r>
    </w:p>
    <w:p w14:paraId="67A9FF8A"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Hausman, J. A. Specification Tests in Econometrics [J], </w:t>
      </w:r>
      <w:r w:rsidRPr="007B550D">
        <w:rPr>
          <w:rFonts w:ascii="Times New Roman" w:eastAsia="Times New Roman" w:hAnsi="Times New Roman" w:cs="Times New Roman"/>
          <w:i/>
          <w:iCs/>
          <w:kern w:val="0"/>
          <w14:ligatures w14:val="none"/>
        </w:rPr>
        <w:t>Econometrica, 45(6)</w:t>
      </w:r>
      <w:r w:rsidRPr="007B550D">
        <w:rPr>
          <w:rFonts w:ascii="Times New Roman" w:eastAsia="Times New Roman" w:hAnsi="Times New Roman" w:cs="Times New Roman"/>
          <w:kern w:val="0"/>
          <w14:ligatures w14:val="none"/>
        </w:rPr>
        <w:t>, 1978, 1251-1271.</w:t>
      </w:r>
    </w:p>
    <w:p w14:paraId="7FBD4019"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Ilzetzki, E., E. G. Mendoza, and C. A. Végh. How big (small?) are fiscal multipliers? [J], </w:t>
      </w:r>
      <w:r w:rsidRPr="007B550D">
        <w:rPr>
          <w:rFonts w:ascii="Times New Roman" w:eastAsia="Times New Roman" w:hAnsi="Times New Roman" w:cs="Times New Roman"/>
          <w:i/>
          <w:iCs/>
          <w:kern w:val="0"/>
          <w14:ligatures w14:val="none"/>
        </w:rPr>
        <w:t>Journal of Monetary Economics, 60(2)</w:t>
      </w:r>
      <w:r w:rsidRPr="007B550D">
        <w:rPr>
          <w:rFonts w:ascii="Times New Roman" w:eastAsia="Times New Roman" w:hAnsi="Times New Roman" w:cs="Times New Roman"/>
          <w:kern w:val="0"/>
          <w14:ligatures w14:val="none"/>
        </w:rPr>
        <w:t>, 2013, 239-254.</w:t>
      </w:r>
    </w:p>
    <w:p w14:paraId="1A50FFA9"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Institute of International Finance (IIF). Global Debt Monitor: High and Rising [R]. Washington, D.C.: IIF. 2024.</w:t>
      </w:r>
    </w:p>
    <w:p w14:paraId="306CC48C"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Keynes, J. M.: The General Theory of Employment, Interest, and Money [M]. Palgrave Macmillan, London. 1936.</w:t>
      </w:r>
    </w:p>
    <w:p w14:paraId="57BCF3A4"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Krugman, P. Financing vs. Forgiving a Debt Overhang [J], </w:t>
      </w:r>
      <w:r w:rsidRPr="007B550D">
        <w:rPr>
          <w:rFonts w:ascii="Times New Roman" w:eastAsia="Times New Roman" w:hAnsi="Times New Roman" w:cs="Times New Roman"/>
          <w:i/>
          <w:iCs/>
          <w:kern w:val="0"/>
          <w14:ligatures w14:val="none"/>
        </w:rPr>
        <w:t>Journal of Development Economics, 29(3)</w:t>
      </w:r>
      <w:r w:rsidRPr="007B550D">
        <w:rPr>
          <w:rFonts w:ascii="Times New Roman" w:eastAsia="Times New Roman" w:hAnsi="Times New Roman" w:cs="Times New Roman"/>
          <w:kern w:val="0"/>
          <w14:ligatures w14:val="none"/>
        </w:rPr>
        <w:t>, 1988, 253-268.</w:t>
      </w:r>
    </w:p>
    <w:p w14:paraId="06DBD10B"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Ostry, J. D., A. R. Ghosh, J. I. Kim, and M. S. Espinoza. Fiscal Space [R]. IMF Staff Position Note. 2010.</w:t>
      </w:r>
    </w:p>
    <w:p w14:paraId="39EF4D24"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Phillips, P. C., and P. Perron. Testing for a unit root in time series regression [J], </w:t>
      </w:r>
      <w:r w:rsidRPr="007B550D">
        <w:rPr>
          <w:rFonts w:ascii="Times New Roman" w:eastAsia="Times New Roman" w:hAnsi="Times New Roman" w:cs="Times New Roman"/>
          <w:i/>
          <w:iCs/>
          <w:kern w:val="0"/>
          <w14:ligatures w14:val="none"/>
        </w:rPr>
        <w:t>Biometrika, 83(2)</w:t>
      </w:r>
      <w:r w:rsidRPr="007B550D">
        <w:rPr>
          <w:rFonts w:ascii="Times New Roman" w:eastAsia="Times New Roman" w:hAnsi="Times New Roman" w:cs="Times New Roman"/>
          <w:kern w:val="0"/>
          <w14:ligatures w14:val="none"/>
        </w:rPr>
        <w:t>, 1988, 335-346.</w:t>
      </w:r>
    </w:p>
    <w:p w14:paraId="2C6F361F"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Piketty, T.: Capital in the Twenty-First Century [M]. Harvard University Press, Cambridge, MA. 2014.</w:t>
      </w:r>
    </w:p>
    <w:p w14:paraId="417C0726"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 xml:space="preserve">Reinhart, C. M., and K. S. Rogoff. Growth in a Time of Debt [J], </w:t>
      </w:r>
      <w:r w:rsidRPr="007B550D">
        <w:rPr>
          <w:rFonts w:ascii="Times New Roman" w:eastAsia="Times New Roman" w:hAnsi="Times New Roman" w:cs="Times New Roman"/>
          <w:i/>
          <w:iCs/>
          <w:kern w:val="0"/>
          <w14:ligatures w14:val="none"/>
        </w:rPr>
        <w:t>American Economic Review, 100(2)</w:t>
      </w:r>
      <w:r w:rsidRPr="007B550D">
        <w:rPr>
          <w:rFonts w:ascii="Times New Roman" w:eastAsia="Times New Roman" w:hAnsi="Times New Roman" w:cs="Times New Roman"/>
          <w:kern w:val="0"/>
          <w14:ligatures w14:val="none"/>
        </w:rPr>
        <w:t>, 2010, 573-578.</w:t>
      </w:r>
    </w:p>
    <w:p w14:paraId="4E2B0602"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lastRenderedPageBreak/>
        <w:t xml:space="preserve">Saez, E., and G. Zucman. Wealth Inequality in the United States since 1913: Evidence from Capitalized Income Tax Data [J], </w:t>
      </w:r>
      <w:r w:rsidRPr="007B550D">
        <w:rPr>
          <w:rFonts w:ascii="Times New Roman" w:eastAsia="Times New Roman" w:hAnsi="Times New Roman" w:cs="Times New Roman"/>
          <w:i/>
          <w:iCs/>
          <w:kern w:val="0"/>
          <w14:ligatures w14:val="none"/>
        </w:rPr>
        <w:t>The Quarterly Journal of Economics, 131(2)</w:t>
      </w:r>
      <w:r w:rsidRPr="007B550D">
        <w:rPr>
          <w:rFonts w:ascii="Times New Roman" w:eastAsia="Times New Roman" w:hAnsi="Times New Roman" w:cs="Times New Roman"/>
          <w:kern w:val="0"/>
          <w14:ligatures w14:val="none"/>
        </w:rPr>
        <w:t>, 2016, 519-578.</w:t>
      </w:r>
    </w:p>
    <w:p w14:paraId="63926652"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Schumpeter, J. A.: Capitalism, Socialism, and Democracy [M]. Harper &amp; Brothers, New York. 1942.</w:t>
      </w:r>
    </w:p>
    <w:p w14:paraId="026C51B4"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U.S. Department of the Treasury. Treasury International Capital (TIC) System Data [EB/OL]. [2024-05-01]. Washington, D.C.</w:t>
      </w:r>
    </w:p>
    <w:p w14:paraId="108707D0"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World Bank. World Development Indicators [EB/OL]. [2024-05-01]. Washington, D.C.</w:t>
      </w:r>
    </w:p>
    <w:p w14:paraId="27436A7E"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World Economic Forum. The Global Risks Report 2024 [R]. Geneva: WEF. 2024.</w:t>
      </w:r>
    </w:p>
    <w:p w14:paraId="60592988" w14:textId="77777777" w:rsidR="00D37A47" w:rsidRPr="007B550D" w:rsidRDefault="00D37A47" w:rsidP="007B550D">
      <w:pPr>
        <w:numPr>
          <w:ilvl w:val="0"/>
          <w:numId w:val="27"/>
        </w:numPr>
        <w:spacing w:beforeAutospacing="1" w:after="0" w:afterAutospacing="1"/>
        <w:jc w:val="left"/>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World Inequality Database (WID). Wealth Inequality Data [EB/OL]. [2024-05-01]. Paris: World Inequality Lab.</w:t>
      </w:r>
    </w:p>
    <w:p w14:paraId="3580F78D" w14:textId="3AD15D69" w:rsidR="00D37A47" w:rsidRPr="007B550D" w:rsidRDefault="00D37A47" w:rsidP="00F139F1">
      <w:pPr>
        <w:pStyle w:val="Heading1"/>
        <w:rPr>
          <w:sz w:val="24"/>
        </w:rPr>
      </w:pPr>
      <w:bookmarkStart w:id="70" w:name="_Toc229116105"/>
      <w:r w:rsidRPr="007B550D">
        <w:t>Acknowledgements</w:t>
      </w:r>
      <w:bookmarkEnd w:id="70"/>
    </w:p>
    <w:p w14:paraId="188D9116" w14:textId="77777777" w:rsidR="00F139F1" w:rsidRDefault="00D37A47" w:rsidP="007B550D">
      <w:pPr>
        <w:pStyle w:val="Heading3"/>
        <w:spacing w:before="0" w:beforeAutospacing="0" w:after="0"/>
      </w:pPr>
      <w:bookmarkStart w:id="71" w:name="_Toc229116106"/>
      <w:r w:rsidRPr="007B550D">
        <w:t>The completion of this thesis was not a solitary endeavor, and I owe a profound debt of gratitude to my Thesis Tutor for their unwavering guidance, incisive feedback, and open-minded mentorship, which provided the innovative yet rigorous environment necessary to execute this complex computational research for Zhejiang University of Finance &amp; Economics. I also want to extend my deepest appreciation to my university friends and peers; navigating the dual challenges of demanding professional roles and academic responsibilities, while spending late nights debugging code and discussing threshold regressions, would have been impossible without your camaraderie and intellectual support. Finally, my deepest thanks belong to my family for your endless patience, understanding, and relentless encouragement through the long hours sacrificed to this pursuit; this milestone is as much yours as it is mine.</w:t>
      </w:r>
      <w:bookmarkEnd w:id="71"/>
    </w:p>
    <w:p w14:paraId="1E17E057" w14:textId="6F9A9686" w:rsidR="00D37A47" w:rsidRPr="007B550D" w:rsidRDefault="00D37A47" w:rsidP="007B550D">
      <w:pPr>
        <w:pStyle w:val="Heading3"/>
        <w:spacing w:before="0" w:beforeAutospacing="0" w:after="0"/>
      </w:pPr>
      <w:bookmarkStart w:id="72" w:name="_Toc229116107"/>
      <w:r w:rsidRPr="00F139F1">
        <w:rPr>
          <w:rStyle w:val="Heading1Char"/>
        </w:rPr>
        <w:t>Appendix</w:t>
      </w:r>
      <w:r w:rsidRPr="00F139F1">
        <w:rPr>
          <w:rStyle w:val="Heading1Char"/>
        </w:rPr>
        <w:br/>
      </w:r>
      <w:r w:rsidRPr="007B550D">
        <w:br/>
        <w:t>1. Global Panel: Elite Capture Exposure (Wealth Ratio)</w:t>
      </w:r>
      <w:bookmarkEnd w:id="72"/>
    </w:p>
    <w:p w14:paraId="15063044"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2009–2022 (Post-Crisis)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92.2% | +1σ Basin: 94.8% | +3σ Basin: 69.1%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628"/>
        <w:gridCol w:w="1348"/>
        <w:gridCol w:w="1923"/>
        <w:gridCol w:w="978"/>
        <w:gridCol w:w="1000"/>
        <w:gridCol w:w="1015"/>
      </w:tblGrid>
      <w:tr w:rsidR="00D37A47" w:rsidRPr="007B550D" w14:paraId="539F92E0"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65F3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lastRenderedPageBreak/>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EC75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368E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CDE4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357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616D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6F77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668C4B4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D279B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Australia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408E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50.22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6017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449D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2.44</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19BB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08B5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D33E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744C186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1BFE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Austria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B250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96FC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27.84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785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255A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DD75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B0A6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5872DF6"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0ACE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Belgium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5645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762A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6.67</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1777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0F82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CEDF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2425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441BCE7A"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B1EF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Brazil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FD97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83.94</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5E3F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33.98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6AC9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798A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85EA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38BE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4761F86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CEDD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C606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104.21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B952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5E06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F4E3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9BDE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5FEE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0ACDDBE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28E1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China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29F1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E03C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9.98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4D69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8659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F62A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844A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68520C5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94F8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Colombia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DEE5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DBE8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2EDA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2EFE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9AC5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6178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38ED1B6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FF4B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France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CEB0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111.36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1226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11.73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12EA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0.96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835E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7D7D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F806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1DBBEE0"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1E6A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Greece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BA95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178.44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CE38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-26.74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2436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FD20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A398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EC79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76367B1A"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1995–2008 (Pre-Crisis)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92.2% | +1σ Basin: 94.8% | +3σ Basin: 69.1%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632"/>
        <w:gridCol w:w="1352"/>
        <w:gridCol w:w="1929"/>
        <w:gridCol w:w="980"/>
        <w:gridCol w:w="1003"/>
        <w:gridCol w:w="1018"/>
      </w:tblGrid>
      <w:tr w:rsidR="00D37A47" w:rsidRPr="007B550D" w14:paraId="4AD3DD54"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D8B9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0A5A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EC47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2EA4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3A89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6DB0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C99C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5F026D0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EB35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Austria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3B41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69.53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02D1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52.68</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DE22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9F17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179B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805C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70FD284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D4ED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Belgium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5F81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AE1A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0452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2.37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8949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97F5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7B4B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463EC44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EE41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0238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70.36</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023E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EF6D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2.96</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F80D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EE54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E32C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216BED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D86C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France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9559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69.82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56A1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3748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960A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D3D0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A4FD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143F787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3BA4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Greece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E523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5F88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D25D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29E0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526F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5BDC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7AC9ECA2"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CD43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Iceland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5B57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110.36</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F899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97.01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F681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9E1B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5511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4EC4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2F87F891" w14:textId="77777777" w:rsidR="00D37A47" w:rsidRPr="007B550D" w:rsidRDefault="00027026" w:rsidP="007B550D">
      <w:pPr>
        <w:spacing w:after="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B5AFD2">
          <v:rect id="_x0000_i1028" alt="" style="width:468pt;height:.05pt;mso-width-percent:0;mso-height-percent:0;mso-width-percent:0;mso-height-percent:0" o:hralign="center" o:hrstd="t" o:hr="t" fillcolor="#a0a0a0" stroked="f"/>
        </w:pict>
      </w:r>
    </w:p>
    <w:p w14:paraId="0E5793F1" w14:textId="77777777" w:rsidR="00D37A47" w:rsidRPr="007B550D" w:rsidRDefault="00D37A47" w:rsidP="007B550D">
      <w:pPr>
        <w:spacing w:after="0" w:afterAutospacing="1"/>
        <w:outlineLvl w:val="2"/>
        <w:rPr>
          <w:rFonts w:ascii="Times New Roman" w:eastAsia="Times New Roman" w:hAnsi="Times New Roman" w:cs="Times New Roman"/>
          <w:b/>
          <w:bCs/>
          <w:kern w:val="0"/>
          <w:szCs w:val="27"/>
          <w14:ligatures w14:val="none"/>
        </w:rPr>
      </w:pPr>
      <w:r w:rsidRPr="007B550D">
        <w:rPr>
          <w:rFonts w:ascii="Times New Roman" w:eastAsia="Times New Roman" w:hAnsi="Times New Roman" w:cs="Times New Roman"/>
          <w:b/>
          <w:bCs/>
          <w:kern w:val="0"/>
          <w:szCs w:val="27"/>
          <w14:ligatures w14:val="none"/>
        </w:rPr>
        <w:t>2. OECD Advanced: Elite Capture Exposure (Wealth Ratio)</w:t>
      </w:r>
    </w:p>
    <w:p w14:paraId="50D3400B"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2009–2022 (Post-Crisis)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102.5% | +1σ Basin: 98.9% | +3σ Basin: 67.3%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632"/>
        <w:gridCol w:w="1352"/>
        <w:gridCol w:w="1929"/>
        <w:gridCol w:w="980"/>
        <w:gridCol w:w="1003"/>
        <w:gridCol w:w="1018"/>
      </w:tblGrid>
      <w:tr w:rsidR="00D37A47" w:rsidRPr="007B550D" w14:paraId="7C69F531"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4CC86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lastRenderedPageBreak/>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FF7A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D516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9E1E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BEE7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8817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B35C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067F05F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04EF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Austria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21E7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69E2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27.84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F2F5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7F44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2E8D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B378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4F4BA1E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3FA1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Belgium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D404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6F4E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6.67</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DFBF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8EA0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8106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AEA4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2B815F7"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F068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9C98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104.21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FB4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BD37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B918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AF56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673D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1B91573C"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F8A6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France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DA44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111.36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4123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11.73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C447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0.96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C4E3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0A56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59CE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083CA08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CC624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Greece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4051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178.44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3B9B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-26.74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7849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6145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6D04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2087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43EE547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7B50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Japan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7F6A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232.06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D3D5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15.34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8EB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0.53</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C022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CCC3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45A7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018596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AB0D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USA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F2BF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105.15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70A0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8CA8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1.84</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F171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5395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5F86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512B4652"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1995–2008 (Pre-Crisis)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102.5% | +1σ Basin: 98.9% | +3σ Basin: 67.3%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632"/>
        <w:gridCol w:w="1352"/>
        <w:gridCol w:w="1929"/>
        <w:gridCol w:w="980"/>
        <w:gridCol w:w="1003"/>
        <w:gridCol w:w="1018"/>
      </w:tblGrid>
      <w:tr w:rsidR="00D37A47" w:rsidRPr="007B550D" w14:paraId="68436889"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5999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1517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E99B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B113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1274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BB72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DA15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3F03D14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E391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Belgium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21C9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F03C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1A57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2.37</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69A5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B744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80FD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3000016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FFFB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Greece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1B31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F9E1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0CF6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2076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2B17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FF5A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33088CE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392C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Iceland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3CB5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110.36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DA98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97.01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D1B0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2887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B6FB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A8C6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27D5440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34D9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Japan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39BF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163.66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399A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AF26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2A1D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68DD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D474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3B9F2EA3" w14:textId="77777777" w:rsidR="00D37A47" w:rsidRPr="007B550D" w:rsidRDefault="00027026" w:rsidP="007B550D">
      <w:pPr>
        <w:spacing w:after="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BAED73">
          <v:rect id="_x0000_i1027" alt="" style="width:468pt;height:.05pt;mso-width-percent:0;mso-height-percent:0;mso-width-percent:0;mso-height-percent:0" o:hralign="center" o:hrstd="t" o:hr="t" fillcolor="#a0a0a0" stroked="f"/>
        </w:pict>
      </w:r>
    </w:p>
    <w:p w14:paraId="64CCED3E" w14:textId="77777777" w:rsidR="00D37A47" w:rsidRPr="007B550D" w:rsidRDefault="00D37A47" w:rsidP="007B550D">
      <w:pPr>
        <w:spacing w:after="0" w:afterAutospacing="1"/>
        <w:outlineLvl w:val="2"/>
        <w:rPr>
          <w:rFonts w:ascii="Times New Roman" w:eastAsia="Times New Roman" w:hAnsi="Times New Roman" w:cs="Times New Roman"/>
          <w:b/>
          <w:bCs/>
          <w:kern w:val="0"/>
          <w:szCs w:val="27"/>
          <w14:ligatures w14:val="none"/>
        </w:rPr>
      </w:pPr>
      <w:r w:rsidRPr="007B550D">
        <w:rPr>
          <w:rFonts w:ascii="Times New Roman" w:eastAsia="Times New Roman" w:hAnsi="Times New Roman" w:cs="Times New Roman"/>
          <w:b/>
          <w:bCs/>
          <w:kern w:val="0"/>
          <w:szCs w:val="27"/>
          <w14:ligatures w14:val="none"/>
        </w:rPr>
        <w:t>3. OECD Emerging: Elite Capture Exposure (Wealth Ratio)</w:t>
      </w:r>
    </w:p>
    <w:p w14:paraId="24B64F0C"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2009–2022 (Post-Crisis)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56.6% | +1σ Basin: 60.9% | +3σ Basin: 63.9%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628"/>
        <w:gridCol w:w="1348"/>
        <w:gridCol w:w="1923"/>
        <w:gridCol w:w="978"/>
        <w:gridCol w:w="1000"/>
        <w:gridCol w:w="1015"/>
      </w:tblGrid>
      <w:tr w:rsidR="00D37A47" w:rsidRPr="007B550D" w14:paraId="53283B06"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34BF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5021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E064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3694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96A1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86DF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E921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05B44E89"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D42E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Colombia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B623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3C5D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9146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1A5A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C4AC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DE26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69AD2AE9"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5969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Costa 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E066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778A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20.37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C681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2613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88EF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1699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6F7737BC"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4110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Hungary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EE27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73.86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382D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14.80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E689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01CF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3DF9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6402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4BA209FA"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1995–2008 (Pre-Crisis)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632"/>
        <w:gridCol w:w="1352"/>
        <w:gridCol w:w="1929"/>
        <w:gridCol w:w="980"/>
        <w:gridCol w:w="1003"/>
        <w:gridCol w:w="1018"/>
      </w:tblGrid>
      <w:tr w:rsidR="00D37A47" w:rsidRPr="007B550D" w14:paraId="57EF9C80"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59E3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lastRenderedPageBreak/>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2F75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6FB1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BE70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A64B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769C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2875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1B1A268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3D0A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Hungary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8CE6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2BAD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725F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78C3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A982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D0F2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5545C697" w14:textId="77777777" w:rsidR="00D37A47" w:rsidRPr="007B550D" w:rsidRDefault="00027026" w:rsidP="007B550D">
      <w:pPr>
        <w:spacing w:after="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18E75A">
          <v:rect id="_x0000_i1026" alt="" style="width:468pt;height:.05pt;mso-width-percent:0;mso-height-percent:0;mso-width-percent:0;mso-height-percent:0" o:hralign="center" o:hrstd="t" o:hr="t" fillcolor="#a0a0a0" stroked="f"/>
        </w:pict>
      </w:r>
    </w:p>
    <w:p w14:paraId="70E060C0" w14:textId="77777777" w:rsidR="00D37A47" w:rsidRPr="007B550D" w:rsidRDefault="00D37A47" w:rsidP="007B550D">
      <w:pPr>
        <w:spacing w:after="0" w:afterAutospacing="1"/>
        <w:outlineLvl w:val="2"/>
        <w:rPr>
          <w:rFonts w:ascii="Times New Roman" w:eastAsia="Times New Roman" w:hAnsi="Times New Roman" w:cs="Times New Roman"/>
          <w:b/>
          <w:bCs/>
          <w:kern w:val="0"/>
          <w:szCs w:val="27"/>
          <w14:ligatures w14:val="none"/>
        </w:rPr>
      </w:pPr>
      <w:r w:rsidRPr="007B550D">
        <w:rPr>
          <w:rFonts w:ascii="Times New Roman" w:eastAsia="Times New Roman" w:hAnsi="Times New Roman" w:cs="Times New Roman"/>
          <w:b/>
          <w:bCs/>
          <w:kern w:val="0"/>
          <w:szCs w:val="27"/>
          <w14:ligatures w14:val="none"/>
        </w:rPr>
        <w:t>4. BRICS Developing: Elite Capture Exposure (Wealth Ratio)</w:t>
      </w:r>
    </w:p>
    <w:p w14:paraId="6AEC940B"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2009–2022 (Post-Crisis)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19.4% | +1σ Basin: 19.7% | +3σ Basin: 47.0%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632"/>
        <w:gridCol w:w="1352"/>
        <w:gridCol w:w="1929"/>
        <w:gridCol w:w="980"/>
        <w:gridCol w:w="1003"/>
        <w:gridCol w:w="1018"/>
      </w:tblGrid>
      <w:tr w:rsidR="00D37A47" w:rsidRPr="007B550D" w14:paraId="44A5F372"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8523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721A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318C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A4F9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CA18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DCF7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D327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2E7D719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92BB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Brazil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DDF8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83.94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4D05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33.98</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8E64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721B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6115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54ED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B3BBC4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B29D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China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FCB6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A38A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9.98</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B640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893A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5D30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D672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5E018D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3D47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Egypt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A30F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88.53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66BB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15.13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F5DD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EEAF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845D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B3F1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321C02FD"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6C96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841B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82.17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DDB2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9.87</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D408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27C2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2961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52F7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4518A1D8"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B744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UAE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9D0B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8EA6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17.41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536C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2.51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437F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3718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7BC8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bl>
    <w:p w14:paraId="5D05BFA5"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1995–2008 (Pre-Crisis)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632"/>
        <w:gridCol w:w="1352"/>
        <w:gridCol w:w="1929"/>
        <w:gridCol w:w="980"/>
        <w:gridCol w:w="1003"/>
        <w:gridCol w:w="1018"/>
      </w:tblGrid>
      <w:tr w:rsidR="00D37A47" w:rsidRPr="007B550D" w14:paraId="7B2A3313"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6178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14FD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FBA2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Elite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4361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CE43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C824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EA55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246FBA33"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667C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Brazil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7074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61.42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F9A3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C253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D9FA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1B0B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626E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284DF22F"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6EC4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China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2362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26.72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46D6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3.64</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4FBB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8FD9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52B1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436F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713BA53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0B4F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Egypt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C256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66.76</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4A66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15.49</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1B00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5.14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A4C1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EE0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BA7A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3FF1D5F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DBF8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9F08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74.37</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CDA9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97B4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6.37</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B897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5944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6B09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bl>
    <w:p w14:paraId="3BAB4737" w14:textId="77777777" w:rsidR="00D37A47" w:rsidRPr="007B550D" w:rsidRDefault="00027026" w:rsidP="007B550D">
      <w:pPr>
        <w:spacing w:after="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A297A1">
          <v:rect id="_x0000_i1025" alt="" style="width:468pt;height:.05pt;mso-width-percent:0;mso-height-percent:0;mso-width-percent:0;mso-height-percent:0" o:hralign="center" o:hrstd="t" o:hr="t" fillcolor="#a0a0a0" stroked="f"/>
        </w:pict>
      </w:r>
    </w:p>
    <w:p w14:paraId="34D7EFEF" w14:textId="77777777" w:rsidR="00D37A47" w:rsidRPr="007B550D" w:rsidRDefault="00D37A47" w:rsidP="007B550D">
      <w:pPr>
        <w:spacing w:after="0" w:afterAutospacing="1"/>
        <w:outlineLvl w:val="2"/>
        <w:rPr>
          <w:rFonts w:ascii="Times New Roman" w:eastAsia="Times New Roman" w:hAnsi="Times New Roman" w:cs="Times New Roman"/>
          <w:b/>
          <w:bCs/>
          <w:kern w:val="0"/>
          <w:szCs w:val="27"/>
          <w14:ligatures w14:val="none"/>
        </w:rPr>
      </w:pPr>
      <w:r w:rsidRPr="007B550D">
        <w:rPr>
          <w:rFonts w:ascii="Times New Roman" w:eastAsia="Times New Roman" w:hAnsi="Times New Roman" w:cs="Times New Roman"/>
          <w:b/>
          <w:bCs/>
          <w:kern w:val="0"/>
          <w:szCs w:val="27"/>
          <w14:ligatures w14:val="none"/>
        </w:rPr>
        <w:t>5. BRICS Developing: GDP Growth Exposure (Growth Multiplier)</w:t>
      </w:r>
    </w:p>
    <w:p w14:paraId="5B1C6D54"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2009–2022 (Post-Crisis)</w:t>
      </w:r>
      <w:r w:rsidRPr="007B550D">
        <w:rPr>
          <w:rFonts w:ascii="Times New Roman" w:eastAsia="Times New Roman" w:hAnsi="Times New Roman" w:cs="Times New Roman"/>
          <w:kern w:val="0"/>
          <w14:ligatures w14:val="none"/>
        </w:rPr>
        <w:t xml:space="preserve"> </w:t>
      </w:r>
      <w:r w:rsidRPr="007B550D">
        <w:rPr>
          <w:rFonts w:ascii="Times New Roman" w:eastAsia="Times New Roman" w:hAnsi="Times New Roman" w:cs="Times New Roman"/>
          <w:i/>
          <w:iCs/>
          <w:kern w:val="0"/>
          <w14:ligatures w14:val="none"/>
        </w:rPr>
        <w:t>Threshold: 23.0% | +1σ Basin: 71.3% | +3σ Basin: 79.8%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901"/>
        <w:gridCol w:w="2328"/>
        <w:gridCol w:w="1148"/>
        <w:gridCol w:w="1174"/>
        <w:gridCol w:w="1189"/>
      </w:tblGrid>
      <w:tr w:rsidR="00D37A47" w:rsidRPr="007B550D" w14:paraId="4855887C"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B109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lastRenderedPageBreak/>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98D3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A33C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1C5E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293A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81C6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20B8A4D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1CF5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Brazil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B413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83.94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152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1.34</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5218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51AC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0339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7CDEA478"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7A1C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China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6C79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45D8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3C95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F361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BE2F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2F1EB1A5"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89D2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Egypt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0FFD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88.53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3907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9989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ED82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6419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51670BD1"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91C97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B328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82.17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F0DE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5707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7A63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0A64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r>
      <w:tr w:rsidR="00D37A47" w:rsidRPr="007B550D" w14:paraId="3C2A7BEB"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D229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UAE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520F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EBEC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8EB34"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3CB62"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E4FD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bl>
    <w:p w14:paraId="44E0CDC6" w14:textId="77777777" w:rsidR="00D37A47" w:rsidRPr="007B550D" w:rsidRDefault="00D37A47" w:rsidP="007B550D">
      <w:pPr>
        <w:spacing w:after="0" w:afterAutospacing="1"/>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Era: 1995–2008 (Pre-Crisis)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901"/>
        <w:gridCol w:w="2328"/>
        <w:gridCol w:w="1148"/>
        <w:gridCol w:w="1174"/>
        <w:gridCol w:w="1189"/>
      </w:tblGrid>
      <w:tr w:rsidR="00D37A47" w:rsidRPr="007B550D" w14:paraId="2EC5DEEB" w14:textId="77777777" w:rsidTr="006538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2F1E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Country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6337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Current Debt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1E15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Avg GDP Growth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F3A9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Abs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6DD10"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+1σ</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B897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b/>
                <w:bCs/>
                <w:kern w:val="0"/>
                <w14:ligatures w14:val="none"/>
              </w:rPr>
              <w:t>&gt; Max +3σ</w:t>
            </w:r>
          </w:p>
        </w:tc>
      </w:tr>
      <w:tr w:rsidR="00D37A47" w:rsidRPr="007B550D" w14:paraId="225D1D54"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5AFD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Brazil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8B0F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61.42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9BAF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3.71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74BC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3299F"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09D3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40FA0B7E"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3AF62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China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14F4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26.72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BBB06"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10.02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2B9A9"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9522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06547"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256E820A"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7AB2D"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Egypt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EC558"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66.76</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5C5A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5.14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CFEFA"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E65BB"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19785"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r w:rsidR="00D37A47" w:rsidRPr="007B550D" w14:paraId="734C57AC" w14:textId="77777777" w:rsidTr="006538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F805E"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C5B9C"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74.37</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331C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6.37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8C14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ADC63"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5B2E1" w14:textId="77777777" w:rsidR="00D37A47" w:rsidRPr="007B550D" w:rsidRDefault="00D37A47" w:rsidP="007B550D">
            <w:pPr>
              <w:spacing w:after="0"/>
              <w:rPr>
                <w:rFonts w:ascii="Times New Roman" w:eastAsia="Times New Roman" w:hAnsi="Times New Roman" w:cs="Times New Roman"/>
                <w:kern w:val="0"/>
                <w14:ligatures w14:val="none"/>
              </w:rPr>
            </w:pPr>
            <w:r w:rsidRPr="007B550D">
              <w:rPr>
                <w:rFonts w:ascii="Times New Roman" w:eastAsia="Times New Roman" w:hAnsi="Times New Roman" w:cs="Times New Roman"/>
                <w:kern w:val="0"/>
                <w14:ligatures w14:val="none"/>
              </w:rPr>
              <w:t>NO</w:t>
            </w:r>
          </w:p>
        </w:tc>
      </w:tr>
    </w:tbl>
    <w:p w14:paraId="3A8ECD45" w14:textId="1B2EF4A8" w:rsidR="00A41504" w:rsidRDefault="00A41504" w:rsidP="007B550D">
      <w:pPr>
        <w:spacing w:after="0"/>
        <w:rPr>
          <w:rFonts w:ascii="Times New Roman" w:hAnsi="Times New Roman" w:cs="Times New Roman"/>
        </w:rPr>
      </w:pPr>
      <w:r w:rsidRPr="007D16E0">
        <w:rPr>
          <w:rFonts w:ascii="Times New Roman" w:eastAsia="Times New Roman" w:hAnsi="Times New Roman" w:cs="Times New Roman"/>
          <w:noProof/>
          <w:kern w:val="0"/>
          <w14:ligatures w14:val="none"/>
        </w:rPr>
        <w:drawing>
          <wp:anchor distT="0" distB="0" distL="114300" distR="114300" simplePos="0" relativeHeight="251668480" behindDoc="0" locked="0" layoutInCell="1" allowOverlap="1" wp14:anchorId="58017F8B" wp14:editId="7CDBA5A4">
            <wp:simplePos x="0" y="0"/>
            <wp:positionH relativeFrom="column">
              <wp:posOffset>11430</wp:posOffset>
            </wp:positionH>
            <wp:positionV relativeFrom="page">
              <wp:posOffset>5571490</wp:posOffset>
            </wp:positionV>
            <wp:extent cx="5943600" cy="2875915"/>
            <wp:effectExtent l="0" t="0" r="0" b="0"/>
            <wp:wrapTopAndBottom/>
            <wp:docPr id="6458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3238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14:sizeRelH relativeFrom="page">
              <wp14:pctWidth>0</wp14:pctWidth>
            </wp14:sizeRelH>
            <wp14:sizeRelV relativeFrom="page">
              <wp14:pctHeight>0</wp14:pctHeight>
            </wp14:sizeRelV>
          </wp:anchor>
        </w:drawing>
      </w:r>
    </w:p>
    <w:p w14:paraId="3D22E73D" w14:textId="454548B4" w:rsidR="00A41504" w:rsidRDefault="00A41504" w:rsidP="007B550D">
      <w:pPr>
        <w:spacing w:after="0"/>
        <w:rPr>
          <w:rFonts w:ascii="Times New Roman" w:hAnsi="Times New Roman" w:cs="Times New Roman"/>
        </w:rPr>
      </w:pPr>
    </w:p>
    <w:p w14:paraId="54CD09DE" w14:textId="4D63F2FC" w:rsidR="00A41504" w:rsidRDefault="00A41504" w:rsidP="007B550D">
      <w:pPr>
        <w:spacing w:after="0"/>
        <w:rPr>
          <w:rFonts w:ascii="Times New Roman" w:hAnsi="Times New Roman" w:cs="Times New Roman"/>
        </w:rPr>
      </w:pPr>
    </w:p>
    <w:p w14:paraId="0100AC8D" w14:textId="165BB39E" w:rsidR="00A41504" w:rsidRDefault="00A41504" w:rsidP="007B550D">
      <w:pPr>
        <w:spacing w:after="0"/>
        <w:rPr>
          <w:rFonts w:ascii="Times New Roman" w:hAnsi="Times New Roman" w:cs="Times New Roman"/>
        </w:rPr>
      </w:pPr>
      <w:r w:rsidRPr="007D16E0">
        <w:rPr>
          <w:rFonts w:ascii="Times New Roman" w:eastAsia="Times New Roman" w:hAnsi="Times New Roman" w:cs="Times New Roman"/>
          <w:noProof/>
          <w:kern w:val="0"/>
          <w14:ligatures w14:val="none"/>
        </w:rPr>
        <w:lastRenderedPageBreak/>
        <w:drawing>
          <wp:anchor distT="0" distB="0" distL="114300" distR="114300" simplePos="0" relativeHeight="251669504" behindDoc="0" locked="0" layoutInCell="1" allowOverlap="1" wp14:anchorId="21FDDF42" wp14:editId="2AFE67AA">
            <wp:simplePos x="0" y="0"/>
            <wp:positionH relativeFrom="column">
              <wp:posOffset>11430</wp:posOffset>
            </wp:positionH>
            <wp:positionV relativeFrom="page">
              <wp:posOffset>617220</wp:posOffset>
            </wp:positionV>
            <wp:extent cx="5943600" cy="2929890"/>
            <wp:effectExtent l="0" t="0" r="0" b="3810"/>
            <wp:wrapNone/>
            <wp:docPr id="14757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079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14:sizeRelH relativeFrom="page">
              <wp14:pctWidth>0</wp14:pctWidth>
            </wp14:sizeRelH>
            <wp14:sizeRelV relativeFrom="page">
              <wp14:pctHeight>0</wp14:pctHeight>
            </wp14:sizeRelV>
          </wp:anchor>
        </w:drawing>
      </w:r>
    </w:p>
    <w:p w14:paraId="1530D9F3" w14:textId="2F1E4F79" w:rsidR="00A41504" w:rsidRDefault="00A41504" w:rsidP="007B550D">
      <w:pPr>
        <w:spacing w:after="0"/>
        <w:rPr>
          <w:rFonts w:ascii="Times New Roman" w:hAnsi="Times New Roman" w:cs="Times New Roman"/>
        </w:rPr>
      </w:pPr>
    </w:p>
    <w:p w14:paraId="622AA8D9" w14:textId="742A771F" w:rsidR="00A41504" w:rsidRDefault="00A41504" w:rsidP="007B550D">
      <w:pPr>
        <w:spacing w:after="0"/>
        <w:rPr>
          <w:rFonts w:ascii="Times New Roman" w:hAnsi="Times New Roman" w:cs="Times New Roman"/>
        </w:rPr>
      </w:pPr>
    </w:p>
    <w:p w14:paraId="2092F0D4" w14:textId="0E6C6FAB" w:rsidR="00A41504" w:rsidRDefault="00A41504" w:rsidP="007B550D">
      <w:pPr>
        <w:spacing w:after="0"/>
        <w:rPr>
          <w:rFonts w:ascii="Times New Roman" w:hAnsi="Times New Roman" w:cs="Times New Roman"/>
        </w:rPr>
      </w:pPr>
    </w:p>
    <w:p w14:paraId="3637D252" w14:textId="00035740" w:rsidR="00A41504" w:rsidRDefault="00A41504" w:rsidP="007B550D">
      <w:pPr>
        <w:spacing w:after="0"/>
        <w:rPr>
          <w:rFonts w:ascii="Times New Roman" w:hAnsi="Times New Roman" w:cs="Times New Roman"/>
        </w:rPr>
      </w:pPr>
    </w:p>
    <w:p w14:paraId="2359968B" w14:textId="1AB6788D" w:rsidR="00A41504" w:rsidRDefault="00A41504" w:rsidP="007B550D">
      <w:pPr>
        <w:spacing w:after="0"/>
        <w:rPr>
          <w:rFonts w:ascii="Times New Roman" w:hAnsi="Times New Roman" w:cs="Times New Roman"/>
        </w:rPr>
      </w:pPr>
    </w:p>
    <w:p w14:paraId="420895E7" w14:textId="0DA48C87" w:rsidR="00A41504" w:rsidRDefault="00A41504" w:rsidP="007B550D">
      <w:pPr>
        <w:spacing w:after="0"/>
        <w:rPr>
          <w:rFonts w:ascii="Times New Roman" w:hAnsi="Times New Roman" w:cs="Times New Roman"/>
        </w:rPr>
      </w:pPr>
    </w:p>
    <w:p w14:paraId="5F26AF49" w14:textId="25F903A6" w:rsidR="00A41504" w:rsidRDefault="00A41504" w:rsidP="007B550D">
      <w:pPr>
        <w:spacing w:after="0"/>
        <w:rPr>
          <w:rFonts w:ascii="Times New Roman" w:hAnsi="Times New Roman" w:cs="Times New Roman"/>
        </w:rPr>
      </w:pPr>
    </w:p>
    <w:p w14:paraId="55666961" w14:textId="5D345087" w:rsidR="00A41504" w:rsidRDefault="00A41504" w:rsidP="007B550D">
      <w:pPr>
        <w:spacing w:after="0"/>
        <w:rPr>
          <w:rFonts w:ascii="Times New Roman" w:hAnsi="Times New Roman" w:cs="Times New Roman"/>
        </w:rPr>
      </w:pPr>
    </w:p>
    <w:p w14:paraId="5AD79AB3" w14:textId="274C9335" w:rsidR="00A41504" w:rsidRDefault="00A41504" w:rsidP="007B550D">
      <w:pPr>
        <w:spacing w:after="0"/>
        <w:rPr>
          <w:rFonts w:ascii="Times New Roman" w:hAnsi="Times New Roman" w:cs="Times New Roman"/>
        </w:rPr>
      </w:pPr>
    </w:p>
    <w:p w14:paraId="441EE50B" w14:textId="3FB82488" w:rsidR="00A41504" w:rsidRDefault="00A41504" w:rsidP="007B550D">
      <w:pPr>
        <w:spacing w:after="0"/>
        <w:rPr>
          <w:rFonts w:ascii="Times New Roman" w:hAnsi="Times New Roman" w:cs="Times New Roman"/>
        </w:rPr>
      </w:pPr>
      <w:r w:rsidRPr="007D16E0">
        <w:rPr>
          <w:rFonts w:ascii="Times New Roman" w:eastAsia="Times New Roman" w:hAnsi="Times New Roman" w:cs="Times New Roman"/>
          <w:noProof/>
          <w:kern w:val="0"/>
          <w14:ligatures w14:val="none"/>
        </w:rPr>
        <w:drawing>
          <wp:anchor distT="0" distB="0" distL="114300" distR="114300" simplePos="0" relativeHeight="251670528" behindDoc="0" locked="0" layoutInCell="1" allowOverlap="1" wp14:anchorId="783FAD31" wp14:editId="145C10D5">
            <wp:simplePos x="0" y="0"/>
            <wp:positionH relativeFrom="column">
              <wp:posOffset>11430</wp:posOffset>
            </wp:positionH>
            <wp:positionV relativeFrom="page">
              <wp:posOffset>3543300</wp:posOffset>
            </wp:positionV>
            <wp:extent cx="5943600" cy="2825750"/>
            <wp:effectExtent l="0" t="0" r="0" b="6350"/>
            <wp:wrapNone/>
            <wp:docPr id="164780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0510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14:sizeRelH relativeFrom="page">
              <wp14:pctWidth>0</wp14:pctWidth>
            </wp14:sizeRelH>
            <wp14:sizeRelV relativeFrom="page">
              <wp14:pctHeight>0</wp14:pctHeight>
            </wp14:sizeRelV>
          </wp:anchor>
        </w:drawing>
      </w:r>
    </w:p>
    <w:p w14:paraId="3A9E2A6F" w14:textId="15FE2BB8" w:rsidR="00A41504" w:rsidRDefault="00A41504" w:rsidP="007B550D">
      <w:pPr>
        <w:spacing w:after="0"/>
        <w:rPr>
          <w:rFonts w:ascii="Times New Roman" w:hAnsi="Times New Roman" w:cs="Times New Roman"/>
        </w:rPr>
      </w:pPr>
    </w:p>
    <w:p w14:paraId="77031BAF" w14:textId="14A5F31B" w:rsidR="00A41504" w:rsidRDefault="00A41504" w:rsidP="007B550D">
      <w:pPr>
        <w:spacing w:after="0"/>
        <w:rPr>
          <w:rFonts w:ascii="Times New Roman" w:hAnsi="Times New Roman" w:cs="Times New Roman"/>
        </w:rPr>
      </w:pPr>
    </w:p>
    <w:p w14:paraId="2C174DDA" w14:textId="7CC56385" w:rsidR="00A41504" w:rsidRDefault="00A41504" w:rsidP="007B550D">
      <w:pPr>
        <w:spacing w:after="0"/>
        <w:rPr>
          <w:rFonts w:ascii="Times New Roman" w:hAnsi="Times New Roman" w:cs="Times New Roman"/>
        </w:rPr>
      </w:pPr>
    </w:p>
    <w:p w14:paraId="7F99E689" w14:textId="271FC46B" w:rsidR="00A41504" w:rsidRDefault="00A41504" w:rsidP="007B550D">
      <w:pPr>
        <w:spacing w:after="0"/>
        <w:rPr>
          <w:rFonts w:ascii="Times New Roman" w:hAnsi="Times New Roman" w:cs="Times New Roman"/>
        </w:rPr>
      </w:pPr>
    </w:p>
    <w:p w14:paraId="58A367EA" w14:textId="7B949085" w:rsidR="00A41504" w:rsidRDefault="00A41504" w:rsidP="007B550D">
      <w:pPr>
        <w:spacing w:after="0"/>
        <w:rPr>
          <w:rFonts w:ascii="Times New Roman" w:hAnsi="Times New Roman" w:cs="Times New Roman"/>
        </w:rPr>
      </w:pPr>
    </w:p>
    <w:p w14:paraId="2C7199F6" w14:textId="35A70410" w:rsidR="00A41504" w:rsidRDefault="00A41504" w:rsidP="007B550D">
      <w:pPr>
        <w:spacing w:after="0"/>
        <w:rPr>
          <w:rFonts w:ascii="Times New Roman" w:hAnsi="Times New Roman" w:cs="Times New Roman"/>
        </w:rPr>
      </w:pPr>
    </w:p>
    <w:p w14:paraId="479F7CFC" w14:textId="63839467" w:rsidR="00A41504" w:rsidRDefault="00A41504" w:rsidP="007B550D">
      <w:pPr>
        <w:spacing w:after="0"/>
        <w:rPr>
          <w:rFonts w:ascii="Times New Roman" w:hAnsi="Times New Roman" w:cs="Times New Roman"/>
        </w:rPr>
      </w:pPr>
    </w:p>
    <w:p w14:paraId="00BBD3AE" w14:textId="2DE84F3D" w:rsidR="00A41504" w:rsidRDefault="00A41504" w:rsidP="007B550D">
      <w:pPr>
        <w:spacing w:after="0"/>
        <w:rPr>
          <w:rFonts w:ascii="Times New Roman" w:hAnsi="Times New Roman" w:cs="Times New Roman"/>
        </w:rPr>
      </w:pPr>
    </w:p>
    <w:p w14:paraId="6F77D00B" w14:textId="776573FA" w:rsidR="00A41504" w:rsidRDefault="00A41504" w:rsidP="007B550D">
      <w:pPr>
        <w:spacing w:after="0"/>
        <w:rPr>
          <w:rFonts w:ascii="Times New Roman" w:hAnsi="Times New Roman" w:cs="Times New Roman"/>
        </w:rPr>
      </w:pPr>
    </w:p>
    <w:p w14:paraId="43B04B17" w14:textId="47A1BBBA" w:rsidR="00A41504" w:rsidRDefault="00A41504" w:rsidP="007B550D">
      <w:pPr>
        <w:spacing w:after="0"/>
        <w:rPr>
          <w:rFonts w:ascii="Times New Roman" w:hAnsi="Times New Roman" w:cs="Times New Roman"/>
        </w:rPr>
      </w:pPr>
    </w:p>
    <w:p w14:paraId="1D14AEB6" w14:textId="24976B2A" w:rsidR="00A41504" w:rsidRDefault="00A41504" w:rsidP="007B550D">
      <w:pPr>
        <w:spacing w:after="0"/>
        <w:rPr>
          <w:rFonts w:ascii="Times New Roman" w:hAnsi="Times New Roman" w:cs="Times New Roman"/>
        </w:rPr>
      </w:pPr>
      <w:r w:rsidRPr="007D16E0">
        <w:rPr>
          <w:rFonts w:ascii="Times New Roman" w:eastAsia="Times New Roman" w:hAnsi="Times New Roman" w:cs="Times New Roman"/>
          <w:noProof/>
          <w:kern w:val="0"/>
          <w14:ligatures w14:val="none"/>
        </w:rPr>
        <w:drawing>
          <wp:anchor distT="0" distB="0" distL="114300" distR="114300" simplePos="0" relativeHeight="251671552" behindDoc="0" locked="0" layoutInCell="1" allowOverlap="1" wp14:anchorId="6FA1F3BF" wp14:editId="7C9C5454">
            <wp:simplePos x="0" y="0"/>
            <wp:positionH relativeFrom="column">
              <wp:posOffset>102870</wp:posOffset>
            </wp:positionH>
            <wp:positionV relativeFrom="page">
              <wp:posOffset>6369050</wp:posOffset>
            </wp:positionV>
            <wp:extent cx="5943600" cy="2955925"/>
            <wp:effectExtent l="0" t="0" r="0" b="3175"/>
            <wp:wrapNone/>
            <wp:docPr id="20368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2843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14:sizeRelH relativeFrom="page">
              <wp14:pctWidth>0</wp14:pctWidth>
            </wp14:sizeRelH>
            <wp14:sizeRelV relativeFrom="page">
              <wp14:pctHeight>0</wp14:pctHeight>
            </wp14:sizeRelV>
          </wp:anchor>
        </w:drawing>
      </w:r>
    </w:p>
    <w:p w14:paraId="52A253C7" w14:textId="40C36F73" w:rsidR="00A41504" w:rsidRDefault="00A41504" w:rsidP="007B550D">
      <w:pPr>
        <w:spacing w:after="0"/>
        <w:rPr>
          <w:rFonts w:ascii="Times New Roman" w:hAnsi="Times New Roman" w:cs="Times New Roman"/>
        </w:rPr>
      </w:pPr>
    </w:p>
    <w:p w14:paraId="203FCB78" w14:textId="72EBDA02" w:rsidR="00B45E0D" w:rsidRDefault="00B45E0D" w:rsidP="007B550D">
      <w:pPr>
        <w:spacing w:after="0"/>
        <w:rPr>
          <w:rFonts w:ascii="Times New Roman" w:hAnsi="Times New Roman" w:cs="Times New Roman"/>
        </w:rPr>
      </w:pPr>
    </w:p>
    <w:p w14:paraId="352B6FC9" w14:textId="0C72D7CC" w:rsidR="00A41504" w:rsidRDefault="00A41504" w:rsidP="007B550D">
      <w:pPr>
        <w:spacing w:after="0"/>
        <w:rPr>
          <w:rFonts w:ascii="Times New Roman" w:hAnsi="Times New Roman" w:cs="Times New Roman"/>
        </w:rPr>
      </w:pPr>
    </w:p>
    <w:p w14:paraId="26861A28" w14:textId="04359630" w:rsidR="00A41504" w:rsidRDefault="00A41504" w:rsidP="007B550D">
      <w:pPr>
        <w:spacing w:after="0"/>
        <w:rPr>
          <w:rFonts w:ascii="Times New Roman" w:hAnsi="Times New Roman" w:cs="Times New Roman"/>
        </w:rPr>
      </w:pPr>
    </w:p>
    <w:p w14:paraId="6132AAB2" w14:textId="169411C3" w:rsidR="00A41504" w:rsidRPr="007B550D" w:rsidRDefault="00A41504" w:rsidP="007B550D">
      <w:pPr>
        <w:spacing w:after="0"/>
        <w:rPr>
          <w:rFonts w:ascii="Times New Roman" w:hAnsi="Times New Roman" w:cs="Times New Roman"/>
        </w:rPr>
      </w:pPr>
    </w:p>
    <w:sectPr w:rsidR="00A41504" w:rsidRPr="007B550D">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7888" w14:textId="77777777" w:rsidR="00027026" w:rsidRDefault="00027026">
      <w:pPr>
        <w:spacing w:after="0" w:line="240" w:lineRule="auto"/>
      </w:pPr>
      <w:r>
        <w:separator/>
      </w:r>
    </w:p>
  </w:endnote>
  <w:endnote w:type="continuationSeparator" w:id="0">
    <w:p w14:paraId="2673B492" w14:textId="77777777" w:rsidR="00027026" w:rsidRDefault="00027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7DB4" w14:textId="77777777" w:rsidR="007D16E0" w:rsidRDefault="007D16E0">
    <w:pPr>
      <w:pStyle w:val="Footer"/>
      <w:jc w:val="center"/>
    </w:pPr>
  </w:p>
  <w:p w14:paraId="09E83B2F" w14:textId="77777777" w:rsidR="007D16E0" w:rsidRDefault="007D16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57A2" w14:textId="77777777" w:rsidR="00027026" w:rsidRDefault="00027026">
      <w:pPr>
        <w:spacing w:after="0" w:line="240" w:lineRule="auto"/>
      </w:pPr>
      <w:r>
        <w:separator/>
      </w:r>
    </w:p>
  </w:footnote>
  <w:footnote w:type="continuationSeparator" w:id="0">
    <w:p w14:paraId="2701691E" w14:textId="77777777" w:rsidR="00027026" w:rsidRDefault="00027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E2A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35FE1"/>
    <w:multiLevelType w:val="multilevel"/>
    <w:tmpl w:val="FE7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E483F"/>
    <w:multiLevelType w:val="multilevel"/>
    <w:tmpl w:val="A8A6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12200"/>
    <w:multiLevelType w:val="multilevel"/>
    <w:tmpl w:val="196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20820"/>
    <w:multiLevelType w:val="multilevel"/>
    <w:tmpl w:val="A3F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1183"/>
    <w:multiLevelType w:val="multilevel"/>
    <w:tmpl w:val="191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A1931"/>
    <w:multiLevelType w:val="multilevel"/>
    <w:tmpl w:val="637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2792E"/>
    <w:multiLevelType w:val="multilevel"/>
    <w:tmpl w:val="4548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C5BA0"/>
    <w:multiLevelType w:val="multilevel"/>
    <w:tmpl w:val="CA2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2221A"/>
    <w:multiLevelType w:val="multilevel"/>
    <w:tmpl w:val="D04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429F7"/>
    <w:multiLevelType w:val="multilevel"/>
    <w:tmpl w:val="30F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50B7E"/>
    <w:multiLevelType w:val="multilevel"/>
    <w:tmpl w:val="12B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F39A0"/>
    <w:multiLevelType w:val="multilevel"/>
    <w:tmpl w:val="C73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E4EA2"/>
    <w:multiLevelType w:val="multilevel"/>
    <w:tmpl w:val="EADC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445E0"/>
    <w:multiLevelType w:val="multilevel"/>
    <w:tmpl w:val="B98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17DD7"/>
    <w:multiLevelType w:val="multilevel"/>
    <w:tmpl w:val="E95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E70B9"/>
    <w:multiLevelType w:val="multilevel"/>
    <w:tmpl w:val="95D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E2E8B"/>
    <w:multiLevelType w:val="multilevel"/>
    <w:tmpl w:val="842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A4921"/>
    <w:multiLevelType w:val="multilevel"/>
    <w:tmpl w:val="8416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93DEE"/>
    <w:multiLevelType w:val="multilevel"/>
    <w:tmpl w:val="0C5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02B8E"/>
    <w:multiLevelType w:val="multilevel"/>
    <w:tmpl w:val="3A6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D6108"/>
    <w:multiLevelType w:val="multilevel"/>
    <w:tmpl w:val="9B5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75B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1855A0"/>
    <w:multiLevelType w:val="multilevel"/>
    <w:tmpl w:val="5CC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7596C"/>
    <w:multiLevelType w:val="multilevel"/>
    <w:tmpl w:val="B09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D13C5"/>
    <w:multiLevelType w:val="multilevel"/>
    <w:tmpl w:val="45C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B49B4"/>
    <w:multiLevelType w:val="multilevel"/>
    <w:tmpl w:val="836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170560">
    <w:abstractNumId w:val="6"/>
  </w:num>
  <w:num w:numId="2" w16cid:durableId="1225414120">
    <w:abstractNumId w:val="11"/>
  </w:num>
  <w:num w:numId="3" w16cid:durableId="322510667">
    <w:abstractNumId w:val="15"/>
  </w:num>
  <w:num w:numId="4" w16cid:durableId="989793502">
    <w:abstractNumId w:val="16"/>
  </w:num>
  <w:num w:numId="5" w16cid:durableId="2108965230">
    <w:abstractNumId w:val="23"/>
  </w:num>
  <w:num w:numId="6" w16cid:durableId="2089839940">
    <w:abstractNumId w:val="21"/>
  </w:num>
  <w:num w:numId="7" w16cid:durableId="1920826090">
    <w:abstractNumId w:val="9"/>
  </w:num>
  <w:num w:numId="8" w16cid:durableId="723286545">
    <w:abstractNumId w:val="14"/>
  </w:num>
  <w:num w:numId="9" w16cid:durableId="1599366596">
    <w:abstractNumId w:val="10"/>
  </w:num>
  <w:num w:numId="10" w16cid:durableId="559706782">
    <w:abstractNumId w:val="26"/>
  </w:num>
  <w:num w:numId="11" w16cid:durableId="1637948687">
    <w:abstractNumId w:val="18"/>
  </w:num>
  <w:num w:numId="12" w16cid:durableId="2055303269">
    <w:abstractNumId w:val="12"/>
  </w:num>
  <w:num w:numId="13" w16cid:durableId="393705304">
    <w:abstractNumId w:val="20"/>
  </w:num>
  <w:num w:numId="14" w16cid:durableId="576742619">
    <w:abstractNumId w:val="13"/>
  </w:num>
  <w:num w:numId="15" w16cid:durableId="1891266538">
    <w:abstractNumId w:val="7"/>
  </w:num>
  <w:num w:numId="16" w16cid:durableId="1157116716">
    <w:abstractNumId w:val="17"/>
  </w:num>
  <w:num w:numId="17" w16cid:durableId="1049301043">
    <w:abstractNumId w:val="25"/>
  </w:num>
  <w:num w:numId="18" w16cid:durableId="808784313">
    <w:abstractNumId w:val="1"/>
  </w:num>
  <w:num w:numId="19" w16cid:durableId="1370062024">
    <w:abstractNumId w:val="4"/>
  </w:num>
  <w:num w:numId="20" w16cid:durableId="1263494247">
    <w:abstractNumId w:val="5"/>
  </w:num>
  <w:num w:numId="21" w16cid:durableId="1810004506">
    <w:abstractNumId w:val="0"/>
  </w:num>
  <w:num w:numId="22" w16cid:durableId="1546136880">
    <w:abstractNumId w:val="3"/>
  </w:num>
  <w:num w:numId="23" w16cid:durableId="2135127532">
    <w:abstractNumId w:val="19"/>
  </w:num>
  <w:num w:numId="24" w16cid:durableId="1944411948">
    <w:abstractNumId w:val="8"/>
  </w:num>
  <w:num w:numId="25" w16cid:durableId="1475412272">
    <w:abstractNumId w:val="24"/>
  </w:num>
  <w:num w:numId="26" w16cid:durableId="827746864">
    <w:abstractNumId w:val="22"/>
  </w:num>
  <w:num w:numId="27" w16cid:durableId="1107775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94"/>
    <w:rsid w:val="00027026"/>
    <w:rsid w:val="00171646"/>
    <w:rsid w:val="001A282C"/>
    <w:rsid w:val="00271F78"/>
    <w:rsid w:val="00282847"/>
    <w:rsid w:val="002F46E1"/>
    <w:rsid w:val="00356308"/>
    <w:rsid w:val="004E1162"/>
    <w:rsid w:val="00583D94"/>
    <w:rsid w:val="00651700"/>
    <w:rsid w:val="006F3F74"/>
    <w:rsid w:val="007A08CA"/>
    <w:rsid w:val="007B550D"/>
    <w:rsid w:val="007D16E0"/>
    <w:rsid w:val="008D57A3"/>
    <w:rsid w:val="009C6E11"/>
    <w:rsid w:val="009D23BF"/>
    <w:rsid w:val="009F4BD1"/>
    <w:rsid w:val="00A244C6"/>
    <w:rsid w:val="00A41504"/>
    <w:rsid w:val="00A82AEE"/>
    <w:rsid w:val="00B23328"/>
    <w:rsid w:val="00B3114A"/>
    <w:rsid w:val="00B45E0D"/>
    <w:rsid w:val="00B5148D"/>
    <w:rsid w:val="00BA6890"/>
    <w:rsid w:val="00C234FC"/>
    <w:rsid w:val="00C83D59"/>
    <w:rsid w:val="00CF18B0"/>
    <w:rsid w:val="00D37A47"/>
    <w:rsid w:val="00D7445B"/>
    <w:rsid w:val="00E144CC"/>
    <w:rsid w:val="00E37D6B"/>
    <w:rsid w:val="00F139F1"/>
    <w:rsid w:val="00F35CC1"/>
    <w:rsid w:val="00F40DB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739C"/>
  <w15:chartTrackingRefBased/>
  <w15:docId w15:val="{662F49DF-9A37-2D4C-A3A7-0648AFF0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00" w:lineRule="exact"/>
      <w:jc w:val="both"/>
    </w:pPr>
  </w:style>
  <w:style w:type="paragraph" w:styleId="Heading1">
    <w:name w:val="heading 1"/>
    <w:basedOn w:val="Normal"/>
    <w:next w:val="Normal"/>
    <w:link w:val="Heading1Char"/>
    <w:uiPriority w:val="9"/>
    <w:qFormat/>
    <w:rsid w:val="007D16E0"/>
    <w:pPr>
      <w:keepNext/>
      <w:keepLines/>
      <w:spacing w:before="240" w:after="0"/>
      <w:jc w:val="left"/>
      <w:outlineLvl w:val="0"/>
    </w:pPr>
    <w:rPr>
      <w:rFonts w:ascii="Times New Roman" w:eastAsiaTheme="majorEastAsia" w:hAnsi="Times New Roman" w:cs="Times New Roman"/>
      <w:b/>
      <w:sz w:val="28"/>
      <w:szCs w:val="32"/>
    </w:rPr>
  </w:style>
  <w:style w:type="paragraph" w:styleId="Heading2">
    <w:name w:val="heading 2"/>
    <w:basedOn w:val="Normal"/>
    <w:link w:val="Heading2Char"/>
    <w:uiPriority w:val="9"/>
    <w:qFormat/>
    <w:rsid w:val="00583D94"/>
    <w:pPr>
      <w:spacing w:before="100" w:beforeAutospacing="1" w:after="100" w:afterAutospacing="1"/>
      <w:jc w:val="left"/>
      <w:outlineLvl w:val="1"/>
    </w:pPr>
    <w:rPr>
      <w:rFonts w:ascii="Times New Roman" w:eastAsia="Times New Roman" w:hAnsi="Times New Roman" w:cs="Times New Roman"/>
      <w:b/>
      <w:bCs/>
      <w:kern w:val="0"/>
      <w:szCs w:val="36"/>
      <w14:ligatures w14:val="none"/>
    </w:rPr>
  </w:style>
  <w:style w:type="paragraph" w:styleId="Heading3">
    <w:name w:val="heading 3"/>
    <w:basedOn w:val="Normal"/>
    <w:link w:val="Heading3Char"/>
    <w:uiPriority w:val="9"/>
    <w:qFormat/>
    <w:rsid w:val="00583D94"/>
    <w:pPr>
      <w:spacing w:before="100" w:beforeAutospacing="1" w:after="100" w:afterAutospacing="1"/>
      <w:jc w:val="left"/>
      <w:outlineLvl w:val="2"/>
    </w:pPr>
    <w:rPr>
      <w:rFonts w:ascii="Times New Roman" w:eastAsia="Times New Roman" w:hAnsi="Times New Roman" w:cs="Times New Roman"/>
      <w:b/>
      <w:bCs/>
      <w:kern w:val="0"/>
      <w:szCs w:val="27"/>
      <w14:ligatures w14:val="none"/>
    </w:rPr>
  </w:style>
  <w:style w:type="paragraph" w:styleId="Heading4">
    <w:name w:val="heading 4"/>
    <w:basedOn w:val="Normal"/>
    <w:next w:val="Normal"/>
    <w:link w:val="Heading4Char"/>
    <w:uiPriority w:val="9"/>
    <w:semiHidden/>
    <w:unhideWhenUsed/>
    <w:qFormat/>
    <w:rsid w:val="0035630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D94"/>
    <w:rPr>
      <w:rFonts w:ascii="Times New Roman" w:eastAsia="Times New Roman" w:hAnsi="Times New Roman" w:cs="Times New Roman"/>
      <w:b/>
      <w:bCs/>
      <w:kern w:val="0"/>
      <w:szCs w:val="36"/>
      <w14:ligatures w14:val="none"/>
    </w:rPr>
  </w:style>
  <w:style w:type="character" w:customStyle="1" w:styleId="Heading3Char">
    <w:name w:val="Heading 3 Char"/>
    <w:basedOn w:val="DefaultParagraphFont"/>
    <w:link w:val="Heading3"/>
    <w:uiPriority w:val="9"/>
    <w:rsid w:val="00583D94"/>
    <w:rPr>
      <w:rFonts w:ascii="Times New Roman" w:eastAsia="Times New Roman" w:hAnsi="Times New Roman" w:cs="Times New Roman"/>
      <w:b/>
      <w:bCs/>
      <w:kern w:val="0"/>
      <w:szCs w:val="27"/>
      <w14:ligatures w14:val="none"/>
    </w:rPr>
  </w:style>
  <w:style w:type="paragraph" w:styleId="NormalWeb">
    <w:name w:val="Normal (Web)"/>
    <w:basedOn w:val="Normal"/>
    <w:link w:val="NormalWebChar"/>
    <w:uiPriority w:val="99"/>
    <w:unhideWhenUsed/>
    <w:rsid w:val="00583D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5630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56308"/>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356308"/>
    <w:rPr>
      <w:b/>
      <w:bCs/>
    </w:rPr>
  </w:style>
  <w:style w:type="paragraph" w:styleId="ListParagraph">
    <w:name w:val="List Paragraph"/>
    <w:basedOn w:val="Normal"/>
    <w:uiPriority w:val="34"/>
    <w:qFormat/>
    <w:rsid w:val="007D16E0"/>
    <w:pPr>
      <w:ind w:left="720"/>
      <w:contextualSpacing/>
    </w:pPr>
  </w:style>
  <w:style w:type="paragraph" w:styleId="BlockText">
    <w:name w:val="Block Text"/>
    <w:basedOn w:val="Normal"/>
    <w:rsid w:val="007D16E0"/>
    <w:pPr>
      <w:widowControl w:val="0"/>
      <w:spacing w:after="0" w:line="240" w:lineRule="auto"/>
      <w:ind w:left="413" w:rightChars="12" w:right="25" w:hangingChars="147" w:hanging="413"/>
    </w:pPr>
    <w:rPr>
      <w:rFonts w:ascii="Times New Roman" w:eastAsia="SimSun" w:hAnsi="Times New Roman" w:cs="Times New Roman"/>
      <w:b/>
      <w:sz w:val="28"/>
      <w:lang w:val="en-US"/>
      <w14:ligatures w14:val="none"/>
    </w:rPr>
  </w:style>
  <w:style w:type="paragraph" w:styleId="Footer">
    <w:name w:val="footer"/>
    <w:basedOn w:val="Normal"/>
    <w:link w:val="FooterChar"/>
    <w:uiPriority w:val="99"/>
    <w:unhideWhenUsed/>
    <w:rsid w:val="007D16E0"/>
    <w:pPr>
      <w:tabs>
        <w:tab w:val="center" w:pos="4680"/>
        <w:tab w:val="right" w:pos="9360"/>
      </w:tabs>
      <w:spacing w:after="0" w:line="240" w:lineRule="auto"/>
    </w:pPr>
    <w:rPr>
      <w:rFonts w:ascii="Times New Roman" w:hAnsi="Times New Roman"/>
      <w:kern w:val="0"/>
      <w:szCs w:val="22"/>
      <w:lang w:val="en-US" w:eastAsia="en-US"/>
      <w14:ligatures w14:val="none"/>
    </w:rPr>
  </w:style>
  <w:style w:type="character" w:customStyle="1" w:styleId="FooterChar">
    <w:name w:val="Footer Char"/>
    <w:basedOn w:val="DefaultParagraphFont"/>
    <w:link w:val="Footer"/>
    <w:uiPriority w:val="99"/>
    <w:rsid w:val="007D16E0"/>
    <w:rPr>
      <w:rFonts w:ascii="Times New Roman" w:hAnsi="Times New Roman"/>
      <w:kern w:val="0"/>
      <w:szCs w:val="22"/>
      <w:lang w:val="en-US" w:eastAsia="en-US"/>
      <w14:ligatures w14:val="none"/>
    </w:rPr>
  </w:style>
  <w:style w:type="paragraph" w:customStyle="1" w:styleId="1">
    <w:name w:val="样式 标题 1 + 小二"/>
    <w:basedOn w:val="Heading1"/>
    <w:rsid w:val="007D16E0"/>
    <w:pPr>
      <w:keepNext w:val="0"/>
      <w:keepLines w:val="0"/>
      <w:widowControl w:val="0"/>
      <w:spacing w:before="0" w:line="240" w:lineRule="auto"/>
      <w:jc w:val="center"/>
    </w:pPr>
    <w:rPr>
      <w:rFonts w:eastAsia="SimSun"/>
      <w:b w:val="0"/>
      <w:bCs/>
      <w:kern w:val="44"/>
      <w:sz w:val="52"/>
      <w:szCs w:val="52"/>
      <w:lang w:val="en-US"/>
      <w14:ligatures w14:val="none"/>
    </w:rPr>
  </w:style>
  <w:style w:type="character" w:customStyle="1" w:styleId="Heading1Char">
    <w:name w:val="Heading 1 Char"/>
    <w:basedOn w:val="DefaultParagraphFont"/>
    <w:link w:val="Heading1"/>
    <w:uiPriority w:val="9"/>
    <w:rsid w:val="007D16E0"/>
    <w:rPr>
      <w:rFonts w:ascii="Times New Roman" w:eastAsiaTheme="majorEastAsia" w:hAnsi="Times New Roman" w:cs="Times New Roman"/>
      <w:b/>
      <w:sz w:val="28"/>
      <w:szCs w:val="32"/>
    </w:rPr>
  </w:style>
  <w:style w:type="character" w:customStyle="1" w:styleId="citation-177">
    <w:name w:val="citation-177"/>
    <w:basedOn w:val="DefaultParagraphFont"/>
    <w:rsid w:val="00B5148D"/>
  </w:style>
  <w:style w:type="character" w:customStyle="1" w:styleId="citation-176">
    <w:name w:val="citation-176"/>
    <w:basedOn w:val="DefaultParagraphFont"/>
    <w:rsid w:val="00B5148D"/>
  </w:style>
  <w:style w:type="character" w:customStyle="1" w:styleId="citation-175">
    <w:name w:val="citation-175"/>
    <w:basedOn w:val="DefaultParagraphFont"/>
    <w:rsid w:val="00B5148D"/>
  </w:style>
  <w:style w:type="character" w:customStyle="1" w:styleId="citation-174">
    <w:name w:val="citation-174"/>
    <w:basedOn w:val="DefaultParagraphFont"/>
    <w:rsid w:val="00B5148D"/>
  </w:style>
  <w:style w:type="character" w:customStyle="1" w:styleId="citation-173">
    <w:name w:val="citation-173"/>
    <w:basedOn w:val="DefaultParagraphFont"/>
    <w:rsid w:val="00B5148D"/>
  </w:style>
  <w:style w:type="character" w:customStyle="1" w:styleId="citation-172">
    <w:name w:val="citation-172"/>
    <w:basedOn w:val="DefaultParagraphFont"/>
    <w:rsid w:val="00B5148D"/>
  </w:style>
  <w:style w:type="character" w:customStyle="1" w:styleId="citation-171">
    <w:name w:val="citation-171"/>
    <w:basedOn w:val="DefaultParagraphFont"/>
    <w:rsid w:val="00B5148D"/>
  </w:style>
  <w:style w:type="character" w:customStyle="1" w:styleId="citation-170">
    <w:name w:val="citation-170"/>
    <w:basedOn w:val="DefaultParagraphFont"/>
    <w:rsid w:val="00B5148D"/>
  </w:style>
  <w:style w:type="character" w:customStyle="1" w:styleId="citation-169">
    <w:name w:val="citation-169"/>
    <w:basedOn w:val="DefaultParagraphFont"/>
    <w:rsid w:val="00B5148D"/>
  </w:style>
  <w:style w:type="character" w:customStyle="1" w:styleId="citation-168">
    <w:name w:val="citation-168"/>
    <w:basedOn w:val="DefaultParagraphFont"/>
    <w:rsid w:val="00B5148D"/>
  </w:style>
  <w:style w:type="character" w:customStyle="1" w:styleId="citation-167">
    <w:name w:val="citation-167"/>
    <w:basedOn w:val="DefaultParagraphFont"/>
    <w:rsid w:val="00B5148D"/>
  </w:style>
  <w:style w:type="character" w:customStyle="1" w:styleId="citation-166">
    <w:name w:val="citation-166"/>
    <w:basedOn w:val="DefaultParagraphFont"/>
    <w:rsid w:val="00B5148D"/>
  </w:style>
  <w:style w:type="character" w:customStyle="1" w:styleId="citation-165">
    <w:name w:val="citation-165"/>
    <w:basedOn w:val="DefaultParagraphFont"/>
    <w:rsid w:val="00B5148D"/>
  </w:style>
  <w:style w:type="character" w:customStyle="1" w:styleId="citation-164">
    <w:name w:val="citation-164"/>
    <w:basedOn w:val="DefaultParagraphFont"/>
    <w:rsid w:val="00B5148D"/>
  </w:style>
  <w:style w:type="character" w:customStyle="1" w:styleId="citation-163">
    <w:name w:val="citation-163"/>
    <w:basedOn w:val="DefaultParagraphFont"/>
    <w:rsid w:val="00B5148D"/>
  </w:style>
  <w:style w:type="character" w:customStyle="1" w:styleId="citation-276">
    <w:name w:val="citation-276"/>
    <w:basedOn w:val="DefaultParagraphFont"/>
    <w:rsid w:val="00B5148D"/>
  </w:style>
  <w:style w:type="character" w:customStyle="1" w:styleId="citation-275">
    <w:name w:val="citation-275"/>
    <w:basedOn w:val="DefaultParagraphFont"/>
    <w:rsid w:val="00B5148D"/>
  </w:style>
  <w:style w:type="character" w:customStyle="1" w:styleId="citation-274">
    <w:name w:val="citation-274"/>
    <w:basedOn w:val="DefaultParagraphFont"/>
    <w:rsid w:val="00B5148D"/>
  </w:style>
  <w:style w:type="character" w:customStyle="1" w:styleId="citation-273">
    <w:name w:val="citation-273"/>
    <w:basedOn w:val="DefaultParagraphFont"/>
    <w:rsid w:val="00B5148D"/>
  </w:style>
  <w:style w:type="character" w:customStyle="1" w:styleId="citation-272">
    <w:name w:val="citation-272"/>
    <w:basedOn w:val="DefaultParagraphFont"/>
    <w:rsid w:val="00B5148D"/>
  </w:style>
  <w:style w:type="character" w:customStyle="1" w:styleId="citation-271">
    <w:name w:val="citation-271"/>
    <w:basedOn w:val="DefaultParagraphFont"/>
    <w:rsid w:val="00B5148D"/>
  </w:style>
  <w:style w:type="character" w:customStyle="1" w:styleId="citation-270">
    <w:name w:val="citation-270"/>
    <w:basedOn w:val="DefaultParagraphFont"/>
    <w:rsid w:val="00B5148D"/>
  </w:style>
  <w:style w:type="character" w:customStyle="1" w:styleId="citation-269">
    <w:name w:val="citation-269"/>
    <w:basedOn w:val="DefaultParagraphFont"/>
    <w:rsid w:val="00B5148D"/>
  </w:style>
  <w:style w:type="character" w:customStyle="1" w:styleId="citation-268">
    <w:name w:val="citation-268"/>
    <w:basedOn w:val="DefaultParagraphFont"/>
    <w:rsid w:val="00B5148D"/>
  </w:style>
  <w:style w:type="character" w:customStyle="1" w:styleId="citation-267">
    <w:name w:val="citation-267"/>
    <w:basedOn w:val="DefaultParagraphFont"/>
    <w:rsid w:val="00B5148D"/>
  </w:style>
  <w:style w:type="character" w:customStyle="1" w:styleId="citation-266">
    <w:name w:val="citation-266"/>
    <w:basedOn w:val="DefaultParagraphFont"/>
    <w:rsid w:val="00B5148D"/>
  </w:style>
  <w:style w:type="character" w:customStyle="1" w:styleId="citation-265">
    <w:name w:val="citation-265"/>
    <w:basedOn w:val="DefaultParagraphFont"/>
    <w:rsid w:val="00B5148D"/>
  </w:style>
  <w:style w:type="character" w:customStyle="1" w:styleId="citation-264">
    <w:name w:val="citation-264"/>
    <w:basedOn w:val="DefaultParagraphFont"/>
    <w:rsid w:val="00B5148D"/>
  </w:style>
  <w:style w:type="character" w:customStyle="1" w:styleId="citation-263">
    <w:name w:val="citation-263"/>
    <w:basedOn w:val="DefaultParagraphFont"/>
    <w:rsid w:val="00B5148D"/>
  </w:style>
  <w:style w:type="character" w:customStyle="1" w:styleId="citation-352">
    <w:name w:val="citation-352"/>
    <w:basedOn w:val="DefaultParagraphFont"/>
    <w:rsid w:val="00B5148D"/>
  </w:style>
  <w:style w:type="character" w:customStyle="1" w:styleId="citation-351">
    <w:name w:val="citation-351"/>
    <w:basedOn w:val="DefaultParagraphFont"/>
    <w:rsid w:val="00B5148D"/>
  </w:style>
  <w:style w:type="character" w:customStyle="1" w:styleId="citation-350">
    <w:name w:val="citation-350"/>
    <w:basedOn w:val="DefaultParagraphFont"/>
    <w:rsid w:val="00B5148D"/>
  </w:style>
  <w:style w:type="character" w:customStyle="1" w:styleId="citation-349">
    <w:name w:val="citation-349"/>
    <w:basedOn w:val="DefaultParagraphFont"/>
    <w:rsid w:val="00B5148D"/>
  </w:style>
  <w:style w:type="character" w:customStyle="1" w:styleId="citation-348">
    <w:name w:val="citation-348"/>
    <w:basedOn w:val="DefaultParagraphFont"/>
    <w:rsid w:val="00B5148D"/>
  </w:style>
  <w:style w:type="character" w:customStyle="1" w:styleId="citation-347">
    <w:name w:val="citation-347"/>
    <w:basedOn w:val="DefaultParagraphFont"/>
    <w:rsid w:val="00B5148D"/>
  </w:style>
  <w:style w:type="character" w:customStyle="1" w:styleId="citation-346">
    <w:name w:val="citation-346"/>
    <w:basedOn w:val="DefaultParagraphFont"/>
    <w:rsid w:val="00B5148D"/>
  </w:style>
  <w:style w:type="character" w:customStyle="1" w:styleId="citation-345">
    <w:name w:val="citation-345"/>
    <w:basedOn w:val="DefaultParagraphFont"/>
    <w:rsid w:val="00B5148D"/>
  </w:style>
  <w:style w:type="character" w:customStyle="1" w:styleId="citation-344">
    <w:name w:val="citation-344"/>
    <w:basedOn w:val="DefaultParagraphFont"/>
    <w:rsid w:val="00B5148D"/>
  </w:style>
  <w:style w:type="character" w:customStyle="1" w:styleId="citation-343">
    <w:name w:val="citation-343"/>
    <w:basedOn w:val="DefaultParagraphFont"/>
    <w:rsid w:val="00B5148D"/>
  </w:style>
  <w:style w:type="character" w:customStyle="1" w:styleId="citation-414">
    <w:name w:val="citation-414"/>
    <w:basedOn w:val="DefaultParagraphFont"/>
    <w:rsid w:val="00B5148D"/>
  </w:style>
  <w:style w:type="character" w:customStyle="1" w:styleId="citation-413">
    <w:name w:val="citation-413"/>
    <w:basedOn w:val="DefaultParagraphFont"/>
    <w:rsid w:val="00B5148D"/>
  </w:style>
  <w:style w:type="character" w:customStyle="1" w:styleId="citation-412">
    <w:name w:val="citation-412"/>
    <w:basedOn w:val="DefaultParagraphFont"/>
    <w:rsid w:val="00B5148D"/>
  </w:style>
  <w:style w:type="character" w:customStyle="1" w:styleId="citation-411">
    <w:name w:val="citation-411"/>
    <w:basedOn w:val="DefaultParagraphFont"/>
    <w:rsid w:val="00B5148D"/>
  </w:style>
  <w:style w:type="character" w:customStyle="1" w:styleId="citation-410">
    <w:name w:val="citation-410"/>
    <w:basedOn w:val="DefaultParagraphFont"/>
    <w:rsid w:val="00B5148D"/>
  </w:style>
  <w:style w:type="character" w:customStyle="1" w:styleId="citation-409">
    <w:name w:val="citation-409"/>
    <w:basedOn w:val="DefaultParagraphFont"/>
    <w:rsid w:val="00B5148D"/>
  </w:style>
  <w:style w:type="character" w:customStyle="1" w:styleId="citation-408">
    <w:name w:val="citation-408"/>
    <w:basedOn w:val="DefaultParagraphFont"/>
    <w:rsid w:val="00B5148D"/>
  </w:style>
  <w:style w:type="character" w:customStyle="1" w:styleId="citation-558">
    <w:name w:val="citation-558"/>
    <w:basedOn w:val="DefaultParagraphFont"/>
    <w:rsid w:val="00B5148D"/>
  </w:style>
  <w:style w:type="character" w:customStyle="1" w:styleId="citation-557">
    <w:name w:val="citation-557"/>
    <w:basedOn w:val="DefaultParagraphFont"/>
    <w:rsid w:val="00B5148D"/>
  </w:style>
  <w:style w:type="character" w:customStyle="1" w:styleId="citation-556">
    <w:name w:val="citation-556"/>
    <w:basedOn w:val="DefaultParagraphFont"/>
    <w:rsid w:val="00B5148D"/>
  </w:style>
  <w:style w:type="character" w:customStyle="1" w:styleId="citation-555">
    <w:name w:val="citation-555"/>
    <w:basedOn w:val="DefaultParagraphFont"/>
    <w:rsid w:val="00B5148D"/>
  </w:style>
  <w:style w:type="character" w:customStyle="1" w:styleId="citation-554">
    <w:name w:val="citation-554"/>
    <w:basedOn w:val="DefaultParagraphFont"/>
    <w:rsid w:val="00B5148D"/>
  </w:style>
  <w:style w:type="character" w:customStyle="1" w:styleId="citation-553">
    <w:name w:val="citation-553"/>
    <w:basedOn w:val="DefaultParagraphFont"/>
    <w:rsid w:val="00B5148D"/>
  </w:style>
  <w:style w:type="character" w:customStyle="1" w:styleId="citation-552">
    <w:name w:val="citation-552"/>
    <w:basedOn w:val="DefaultParagraphFont"/>
    <w:rsid w:val="00B5148D"/>
  </w:style>
  <w:style w:type="character" w:customStyle="1" w:styleId="citation-551">
    <w:name w:val="citation-551"/>
    <w:basedOn w:val="DefaultParagraphFont"/>
    <w:rsid w:val="00B5148D"/>
  </w:style>
  <w:style w:type="character" w:customStyle="1" w:styleId="citation-550">
    <w:name w:val="citation-550"/>
    <w:basedOn w:val="DefaultParagraphFont"/>
    <w:rsid w:val="00B5148D"/>
  </w:style>
  <w:style w:type="character" w:customStyle="1" w:styleId="citation-627">
    <w:name w:val="citation-627"/>
    <w:basedOn w:val="DefaultParagraphFont"/>
    <w:rsid w:val="00BA6890"/>
  </w:style>
  <w:style w:type="character" w:customStyle="1" w:styleId="citation-626">
    <w:name w:val="citation-626"/>
    <w:basedOn w:val="DefaultParagraphFont"/>
    <w:rsid w:val="00BA6890"/>
  </w:style>
  <w:style w:type="character" w:customStyle="1" w:styleId="citation-625">
    <w:name w:val="citation-625"/>
    <w:basedOn w:val="DefaultParagraphFont"/>
    <w:rsid w:val="00BA6890"/>
  </w:style>
  <w:style w:type="character" w:customStyle="1" w:styleId="citation-624">
    <w:name w:val="citation-624"/>
    <w:basedOn w:val="DefaultParagraphFont"/>
    <w:rsid w:val="00BA6890"/>
  </w:style>
  <w:style w:type="character" w:customStyle="1" w:styleId="citation-623">
    <w:name w:val="citation-623"/>
    <w:basedOn w:val="DefaultParagraphFont"/>
    <w:rsid w:val="00BA6890"/>
  </w:style>
  <w:style w:type="character" w:customStyle="1" w:styleId="citation-622">
    <w:name w:val="citation-622"/>
    <w:basedOn w:val="DefaultParagraphFont"/>
    <w:rsid w:val="00BA6890"/>
  </w:style>
  <w:style w:type="character" w:customStyle="1" w:styleId="citation-621">
    <w:name w:val="citation-621"/>
    <w:basedOn w:val="DefaultParagraphFont"/>
    <w:rsid w:val="00BA6890"/>
  </w:style>
  <w:style w:type="character" w:customStyle="1" w:styleId="citation-620">
    <w:name w:val="citation-620"/>
    <w:basedOn w:val="DefaultParagraphFont"/>
    <w:rsid w:val="00BA6890"/>
  </w:style>
  <w:style w:type="character" w:customStyle="1" w:styleId="citation-619">
    <w:name w:val="citation-619"/>
    <w:basedOn w:val="DefaultParagraphFont"/>
    <w:rsid w:val="00BA6890"/>
  </w:style>
  <w:style w:type="character" w:customStyle="1" w:styleId="citation-618">
    <w:name w:val="citation-618"/>
    <w:basedOn w:val="DefaultParagraphFont"/>
    <w:rsid w:val="00BA6890"/>
  </w:style>
  <w:style w:type="character" w:customStyle="1" w:styleId="citation-697">
    <w:name w:val="citation-697"/>
    <w:basedOn w:val="DefaultParagraphFont"/>
    <w:rsid w:val="00BA6890"/>
  </w:style>
  <w:style w:type="character" w:customStyle="1" w:styleId="citation-696">
    <w:name w:val="citation-696"/>
    <w:basedOn w:val="DefaultParagraphFont"/>
    <w:rsid w:val="00BA6890"/>
  </w:style>
  <w:style w:type="character" w:customStyle="1" w:styleId="citation-695">
    <w:name w:val="citation-695"/>
    <w:basedOn w:val="DefaultParagraphFont"/>
    <w:rsid w:val="00BA6890"/>
  </w:style>
  <w:style w:type="character" w:customStyle="1" w:styleId="citation-694">
    <w:name w:val="citation-694"/>
    <w:basedOn w:val="DefaultParagraphFont"/>
    <w:rsid w:val="00BA6890"/>
  </w:style>
  <w:style w:type="character" w:customStyle="1" w:styleId="citation-693">
    <w:name w:val="citation-693"/>
    <w:basedOn w:val="DefaultParagraphFont"/>
    <w:rsid w:val="00BA6890"/>
  </w:style>
  <w:style w:type="character" w:customStyle="1" w:styleId="citation-692">
    <w:name w:val="citation-692"/>
    <w:basedOn w:val="DefaultParagraphFont"/>
    <w:rsid w:val="00BA6890"/>
  </w:style>
  <w:style w:type="character" w:customStyle="1" w:styleId="citation-691">
    <w:name w:val="citation-691"/>
    <w:basedOn w:val="DefaultParagraphFont"/>
    <w:rsid w:val="00BA6890"/>
  </w:style>
  <w:style w:type="character" w:customStyle="1" w:styleId="citation-690">
    <w:name w:val="citation-690"/>
    <w:basedOn w:val="DefaultParagraphFont"/>
    <w:rsid w:val="00BA6890"/>
  </w:style>
  <w:style w:type="character" w:customStyle="1" w:styleId="citation-689">
    <w:name w:val="citation-689"/>
    <w:basedOn w:val="DefaultParagraphFont"/>
    <w:rsid w:val="00BA6890"/>
  </w:style>
  <w:style w:type="character" w:customStyle="1" w:styleId="citation-688">
    <w:name w:val="citation-688"/>
    <w:basedOn w:val="DefaultParagraphFont"/>
    <w:rsid w:val="00BA6890"/>
  </w:style>
  <w:style w:type="character" w:customStyle="1" w:styleId="citation-771">
    <w:name w:val="citation-771"/>
    <w:basedOn w:val="DefaultParagraphFont"/>
    <w:rsid w:val="00BA6890"/>
  </w:style>
  <w:style w:type="character" w:customStyle="1" w:styleId="citation-770">
    <w:name w:val="citation-770"/>
    <w:basedOn w:val="DefaultParagraphFont"/>
    <w:rsid w:val="00BA6890"/>
  </w:style>
  <w:style w:type="character" w:customStyle="1" w:styleId="citation-769">
    <w:name w:val="citation-769"/>
    <w:basedOn w:val="DefaultParagraphFont"/>
    <w:rsid w:val="00BA6890"/>
  </w:style>
  <w:style w:type="character" w:customStyle="1" w:styleId="citation-768">
    <w:name w:val="citation-768"/>
    <w:basedOn w:val="DefaultParagraphFont"/>
    <w:rsid w:val="00BA6890"/>
  </w:style>
  <w:style w:type="character" w:customStyle="1" w:styleId="citation-767">
    <w:name w:val="citation-767"/>
    <w:basedOn w:val="DefaultParagraphFont"/>
    <w:rsid w:val="00BA6890"/>
  </w:style>
  <w:style w:type="character" w:customStyle="1" w:styleId="citation-766">
    <w:name w:val="citation-766"/>
    <w:basedOn w:val="DefaultParagraphFont"/>
    <w:rsid w:val="00BA6890"/>
  </w:style>
  <w:style w:type="character" w:customStyle="1" w:styleId="citation-765">
    <w:name w:val="citation-765"/>
    <w:basedOn w:val="DefaultParagraphFont"/>
    <w:rsid w:val="00BA6890"/>
  </w:style>
  <w:style w:type="character" w:customStyle="1" w:styleId="citation-764">
    <w:name w:val="citation-764"/>
    <w:basedOn w:val="DefaultParagraphFont"/>
    <w:rsid w:val="00BA6890"/>
  </w:style>
  <w:style w:type="character" w:customStyle="1" w:styleId="citation-763">
    <w:name w:val="citation-763"/>
    <w:basedOn w:val="DefaultParagraphFont"/>
    <w:rsid w:val="00BA6890"/>
  </w:style>
  <w:style w:type="character" w:customStyle="1" w:styleId="citation-762">
    <w:name w:val="citation-762"/>
    <w:basedOn w:val="DefaultParagraphFont"/>
    <w:rsid w:val="00BA6890"/>
  </w:style>
  <w:style w:type="character" w:customStyle="1" w:styleId="citation-761">
    <w:name w:val="citation-761"/>
    <w:basedOn w:val="DefaultParagraphFont"/>
    <w:rsid w:val="00BA6890"/>
  </w:style>
  <w:style w:type="character" w:customStyle="1" w:styleId="citation-920">
    <w:name w:val="citation-920"/>
    <w:basedOn w:val="DefaultParagraphFont"/>
    <w:rsid w:val="00BA6890"/>
  </w:style>
  <w:style w:type="character" w:customStyle="1" w:styleId="citation-919">
    <w:name w:val="citation-919"/>
    <w:basedOn w:val="DefaultParagraphFont"/>
    <w:rsid w:val="00BA6890"/>
  </w:style>
  <w:style w:type="character" w:customStyle="1" w:styleId="citation-918">
    <w:name w:val="citation-918"/>
    <w:basedOn w:val="DefaultParagraphFont"/>
    <w:rsid w:val="00BA6890"/>
  </w:style>
  <w:style w:type="character" w:customStyle="1" w:styleId="citation-917">
    <w:name w:val="citation-917"/>
    <w:basedOn w:val="DefaultParagraphFont"/>
    <w:rsid w:val="00BA6890"/>
  </w:style>
  <w:style w:type="character" w:customStyle="1" w:styleId="citation-916">
    <w:name w:val="citation-916"/>
    <w:basedOn w:val="DefaultParagraphFont"/>
    <w:rsid w:val="00BA6890"/>
  </w:style>
  <w:style w:type="character" w:customStyle="1" w:styleId="citation-915">
    <w:name w:val="citation-915"/>
    <w:basedOn w:val="DefaultParagraphFont"/>
    <w:rsid w:val="00BA6890"/>
  </w:style>
  <w:style w:type="character" w:customStyle="1" w:styleId="citation-914">
    <w:name w:val="citation-914"/>
    <w:basedOn w:val="DefaultParagraphFont"/>
    <w:rsid w:val="00BA6890"/>
  </w:style>
  <w:style w:type="character" w:customStyle="1" w:styleId="citation-913">
    <w:name w:val="citation-913"/>
    <w:basedOn w:val="DefaultParagraphFont"/>
    <w:rsid w:val="00BA6890"/>
  </w:style>
  <w:style w:type="character" w:customStyle="1" w:styleId="citation-912">
    <w:name w:val="citation-912"/>
    <w:basedOn w:val="DefaultParagraphFont"/>
    <w:rsid w:val="00BA6890"/>
  </w:style>
  <w:style w:type="character" w:customStyle="1" w:styleId="citation-911">
    <w:name w:val="citation-911"/>
    <w:basedOn w:val="DefaultParagraphFont"/>
    <w:rsid w:val="00BA6890"/>
  </w:style>
  <w:style w:type="character" w:customStyle="1" w:styleId="citation-980">
    <w:name w:val="citation-980"/>
    <w:basedOn w:val="DefaultParagraphFont"/>
    <w:rsid w:val="00BA6890"/>
  </w:style>
  <w:style w:type="character" w:customStyle="1" w:styleId="citation-979">
    <w:name w:val="citation-979"/>
    <w:basedOn w:val="DefaultParagraphFont"/>
    <w:rsid w:val="00BA6890"/>
  </w:style>
  <w:style w:type="character" w:customStyle="1" w:styleId="citation-978">
    <w:name w:val="citation-978"/>
    <w:basedOn w:val="DefaultParagraphFont"/>
    <w:rsid w:val="00BA6890"/>
  </w:style>
  <w:style w:type="character" w:customStyle="1" w:styleId="citation-977">
    <w:name w:val="citation-977"/>
    <w:basedOn w:val="DefaultParagraphFont"/>
    <w:rsid w:val="00BA6890"/>
  </w:style>
  <w:style w:type="character" w:customStyle="1" w:styleId="citation-976">
    <w:name w:val="citation-976"/>
    <w:basedOn w:val="DefaultParagraphFont"/>
    <w:rsid w:val="00BA6890"/>
  </w:style>
  <w:style w:type="character" w:customStyle="1" w:styleId="citation-975">
    <w:name w:val="citation-975"/>
    <w:basedOn w:val="DefaultParagraphFont"/>
    <w:rsid w:val="00BA6890"/>
  </w:style>
  <w:style w:type="character" w:customStyle="1" w:styleId="citation-974">
    <w:name w:val="citation-974"/>
    <w:basedOn w:val="DefaultParagraphFont"/>
    <w:rsid w:val="00BA6890"/>
  </w:style>
  <w:style w:type="character" w:customStyle="1" w:styleId="citation-1047">
    <w:name w:val="citation-1047"/>
    <w:basedOn w:val="DefaultParagraphFont"/>
    <w:rsid w:val="009C6E11"/>
  </w:style>
  <w:style w:type="character" w:customStyle="1" w:styleId="citation-1046">
    <w:name w:val="citation-1046"/>
    <w:basedOn w:val="DefaultParagraphFont"/>
    <w:rsid w:val="009C6E11"/>
  </w:style>
  <w:style w:type="character" w:customStyle="1" w:styleId="citation-1045">
    <w:name w:val="citation-1045"/>
    <w:basedOn w:val="DefaultParagraphFont"/>
    <w:rsid w:val="009C6E11"/>
  </w:style>
  <w:style w:type="character" w:customStyle="1" w:styleId="citation-1044">
    <w:name w:val="citation-1044"/>
    <w:basedOn w:val="DefaultParagraphFont"/>
    <w:rsid w:val="009C6E11"/>
  </w:style>
  <w:style w:type="character" w:customStyle="1" w:styleId="citation-1043">
    <w:name w:val="citation-1043"/>
    <w:basedOn w:val="DefaultParagraphFont"/>
    <w:rsid w:val="009C6E11"/>
  </w:style>
  <w:style w:type="character" w:customStyle="1" w:styleId="citation-1042">
    <w:name w:val="citation-1042"/>
    <w:basedOn w:val="DefaultParagraphFont"/>
    <w:rsid w:val="009C6E11"/>
  </w:style>
  <w:style w:type="character" w:customStyle="1" w:styleId="citation-1041">
    <w:name w:val="citation-1041"/>
    <w:basedOn w:val="DefaultParagraphFont"/>
    <w:rsid w:val="009C6E11"/>
  </w:style>
  <w:style w:type="character" w:customStyle="1" w:styleId="citation-1040">
    <w:name w:val="citation-1040"/>
    <w:basedOn w:val="DefaultParagraphFont"/>
    <w:rsid w:val="009C6E11"/>
  </w:style>
  <w:style w:type="character" w:customStyle="1" w:styleId="citation-1039">
    <w:name w:val="citation-1039"/>
    <w:basedOn w:val="DefaultParagraphFont"/>
    <w:rsid w:val="009C6E11"/>
  </w:style>
  <w:style w:type="character" w:customStyle="1" w:styleId="citation-1038">
    <w:name w:val="citation-1038"/>
    <w:basedOn w:val="DefaultParagraphFont"/>
    <w:rsid w:val="009C6E11"/>
  </w:style>
  <w:style w:type="character" w:customStyle="1" w:styleId="citation-1079">
    <w:name w:val="citation-1079"/>
    <w:basedOn w:val="DefaultParagraphFont"/>
    <w:rsid w:val="009C6E11"/>
  </w:style>
  <w:style w:type="character" w:customStyle="1" w:styleId="citation-1078">
    <w:name w:val="citation-1078"/>
    <w:basedOn w:val="DefaultParagraphFont"/>
    <w:rsid w:val="009C6E11"/>
  </w:style>
  <w:style w:type="character" w:customStyle="1" w:styleId="citation-1077">
    <w:name w:val="citation-1077"/>
    <w:basedOn w:val="DefaultParagraphFont"/>
    <w:rsid w:val="009C6E11"/>
  </w:style>
  <w:style w:type="character" w:customStyle="1" w:styleId="citation-1076">
    <w:name w:val="citation-1076"/>
    <w:basedOn w:val="DefaultParagraphFont"/>
    <w:rsid w:val="009C6E11"/>
  </w:style>
  <w:style w:type="character" w:customStyle="1" w:styleId="citation-1075">
    <w:name w:val="citation-1075"/>
    <w:basedOn w:val="DefaultParagraphFont"/>
    <w:rsid w:val="009C6E11"/>
  </w:style>
  <w:style w:type="character" w:customStyle="1" w:styleId="citation-1160">
    <w:name w:val="citation-1160"/>
    <w:basedOn w:val="DefaultParagraphFont"/>
    <w:rsid w:val="009C6E11"/>
  </w:style>
  <w:style w:type="character" w:customStyle="1" w:styleId="citation-1159">
    <w:name w:val="citation-1159"/>
    <w:basedOn w:val="DefaultParagraphFont"/>
    <w:rsid w:val="009C6E11"/>
  </w:style>
  <w:style w:type="character" w:customStyle="1" w:styleId="citation-1158">
    <w:name w:val="citation-1158"/>
    <w:basedOn w:val="DefaultParagraphFont"/>
    <w:rsid w:val="009C6E11"/>
  </w:style>
  <w:style w:type="character" w:customStyle="1" w:styleId="citation-1157">
    <w:name w:val="citation-1157"/>
    <w:basedOn w:val="DefaultParagraphFont"/>
    <w:rsid w:val="009C6E11"/>
  </w:style>
  <w:style w:type="character" w:customStyle="1" w:styleId="citation-1156">
    <w:name w:val="citation-1156"/>
    <w:basedOn w:val="DefaultParagraphFont"/>
    <w:rsid w:val="009C6E11"/>
  </w:style>
  <w:style w:type="character" w:customStyle="1" w:styleId="citation-1155">
    <w:name w:val="citation-1155"/>
    <w:basedOn w:val="DefaultParagraphFont"/>
    <w:rsid w:val="009C6E11"/>
  </w:style>
  <w:style w:type="character" w:customStyle="1" w:styleId="citation-1154">
    <w:name w:val="citation-1154"/>
    <w:basedOn w:val="DefaultParagraphFont"/>
    <w:rsid w:val="009C6E11"/>
  </w:style>
  <w:style w:type="character" w:customStyle="1" w:styleId="citation-1153">
    <w:name w:val="citation-1153"/>
    <w:basedOn w:val="DefaultParagraphFont"/>
    <w:rsid w:val="009C6E11"/>
  </w:style>
  <w:style w:type="character" w:customStyle="1" w:styleId="citation-1152">
    <w:name w:val="citation-1152"/>
    <w:basedOn w:val="DefaultParagraphFont"/>
    <w:rsid w:val="009C6E11"/>
  </w:style>
  <w:style w:type="character" w:customStyle="1" w:styleId="citation-1151">
    <w:name w:val="citation-1151"/>
    <w:basedOn w:val="DefaultParagraphFont"/>
    <w:rsid w:val="009C6E11"/>
  </w:style>
  <w:style w:type="character" w:customStyle="1" w:styleId="citation-1150">
    <w:name w:val="citation-1150"/>
    <w:basedOn w:val="DefaultParagraphFont"/>
    <w:rsid w:val="009C6E11"/>
  </w:style>
  <w:style w:type="character" w:customStyle="1" w:styleId="citation-1149">
    <w:name w:val="citation-1149"/>
    <w:basedOn w:val="DefaultParagraphFont"/>
    <w:rsid w:val="009C6E11"/>
  </w:style>
  <w:style w:type="character" w:customStyle="1" w:styleId="citation-1148">
    <w:name w:val="citation-1148"/>
    <w:basedOn w:val="DefaultParagraphFont"/>
    <w:rsid w:val="009C6E11"/>
  </w:style>
  <w:style w:type="character" w:customStyle="1" w:styleId="citation-1147">
    <w:name w:val="citation-1147"/>
    <w:basedOn w:val="DefaultParagraphFont"/>
    <w:rsid w:val="009C6E11"/>
  </w:style>
  <w:style w:type="character" w:customStyle="1" w:styleId="citation-1218">
    <w:name w:val="citation-1218"/>
    <w:basedOn w:val="DefaultParagraphFont"/>
    <w:rsid w:val="009C6E11"/>
  </w:style>
  <w:style w:type="character" w:customStyle="1" w:styleId="citation-1217">
    <w:name w:val="citation-1217"/>
    <w:basedOn w:val="DefaultParagraphFont"/>
    <w:rsid w:val="009C6E11"/>
  </w:style>
  <w:style w:type="character" w:customStyle="1" w:styleId="citation-1216">
    <w:name w:val="citation-1216"/>
    <w:basedOn w:val="DefaultParagraphFont"/>
    <w:rsid w:val="009C6E11"/>
  </w:style>
  <w:style w:type="character" w:customStyle="1" w:styleId="citation-1215">
    <w:name w:val="citation-1215"/>
    <w:basedOn w:val="DefaultParagraphFont"/>
    <w:rsid w:val="009C6E11"/>
  </w:style>
  <w:style w:type="character" w:customStyle="1" w:styleId="citation-1214">
    <w:name w:val="citation-1214"/>
    <w:basedOn w:val="DefaultParagraphFont"/>
    <w:rsid w:val="009C6E11"/>
  </w:style>
  <w:style w:type="character" w:customStyle="1" w:styleId="citation-1213">
    <w:name w:val="citation-1213"/>
    <w:basedOn w:val="DefaultParagraphFont"/>
    <w:rsid w:val="009C6E11"/>
  </w:style>
  <w:style w:type="character" w:customStyle="1" w:styleId="citation-1296">
    <w:name w:val="citation-1296"/>
    <w:basedOn w:val="DefaultParagraphFont"/>
    <w:rsid w:val="009C6E11"/>
  </w:style>
  <w:style w:type="character" w:customStyle="1" w:styleId="citation-1295">
    <w:name w:val="citation-1295"/>
    <w:basedOn w:val="DefaultParagraphFont"/>
    <w:rsid w:val="009C6E11"/>
  </w:style>
  <w:style w:type="character" w:customStyle="1" w:styleId="citation-1294">
    <w:name w:val="citation-1294"/>
    <w:basedOn w:val="DefaultParagraphFont"/>
    <w:rsid w:val="009C6E11"/>
  </w:style>
  <w:style w:type="character" w:customStyle="1" w:styleId="citation-1293">
    <w:name w:val="citation-1293"/>
    <w:basedOn w:val="DefaultParagraphFont"/>
    <w:rsid w:val="009C6E11"/>
  </w:style>
  <w:style w:type="character" w:customStyle="1" w:styleId="citation-1292">
    <w:name w:val="citation-1292"/>
    <w:basedOn w:val="DefaultParagraphFont"/>
    <w:rsid w:val="009C6E11"/>
  </w:style>
  <w:style w:type="character" w:customStyle="1" w:styleId="citation-1291">
    <w:name w:val="citation-1291"/>
    <w:basedOn w:val="DefaultParagraphFont"/>
    <w:rsid w:val="009C6E11"/>
  </w:style>
  <w:style w:type="character" w:customStyle="1" w:styleId="citation-1290">
    <w:name w:val="citation-1290"/>
    <w:basedOn w:val="DefaultParagraphFont"/>
    <w:rsid w:val="009C6E11"/>
  </w:style>
  <w:style w:type="character" w:customStyle="1" w:styleId="citation-1289">
    <w:name w:val="citation-1289"/>
    <w:basedOn w:val="DefaultParagraphFont"/>
    <w:rsid w:val="009C6E11"/>
  </w:style>
  <w:style w:type="character" w:customStyle="1" w:styleId="citation-1288">
    <w:name w:val="citation-1288"/>
    <w:basedOn w:val="DefaultParagraphFont"/>
    <w:rsid w:val="009C6E11"/>
  </w:style>
  <w:style w:type="character" w:customStyle="1" w:styleId="citation-1287">
    <w:name w:val="citation-1287"/>
    <w:basedOn w:val="DefaultParagraphFont"/>
    <w:rsid w:val="009C6E11"/>
  </w:style>
  <w:style w:type="character" w:customStyle="1" w:styleId="citation-1286">
    <w:name w:val="citation-1286"/>
    <w:basedOn w:val="DefaultParagraphFont"/>
    <w:rsid w:val="009C6E11"/>
  </w:style>
  <w:style w:type="character" w:customStyle="1" w:styleId="citation-1285">
    <w:name w:val="citation-1285"/>
    <w:basedOn w:val="DefaultParagraphFont"/>
    <w:rsid w:val="009C6E11"/>
  </w:style>
  <w:style w:type="character" w:customStyle="1" w:styleId="citation-1284">
    <w:name w:val="citation-1284"/>
    <w:basedOn w:val="DefaultParagraphFont"/>
    <w:rsid w:val="009C6E11"/>
  </w:style>
  <w:style w:type="character" w:customStyle="1" w:styleId="citation-1365">
    <w:name w:val="citation-1365"/>
    <w:basedOn w:val="DefaultParagraphFont"/>
    <w:rsid w:val="001A282C"/>
  </w:style>
  <w:style w:type="character" w:customStyle="1" w:styleId="citation-1364">
    <w:name w:val="citation-1364"/>
    <w:basedOn w:val="DefaultParagraphFont"/>
    <w:rsid w:val="001A282C"/>
  </w:style>
  <w:style w:type="character" w:customStyle="1" w:styleId="citation-1363">
    <w:name w:val="citation-1363"/>
    <w:basedOn w:val="DefaultParagraphFont"/>
    <w:rsid w:val="001A282C"/>
  </w:style>
  <w:style w:type="character" w:customStyle="1" w:styleId="citation-1362">
    <w:name w:val="citation-1362"/>
    <w:basedOn w:val="DefaultParagraphFont"/>
    <w:rsid w:val="001A282C"/>
  </w:style>
  <w:style w:type="character" w:customStyle="1" w:styleId="citation-1361">
    <w:name w:val="citation-1361"/>
    <w:basedOn w:val="DefaultParagraphFont"/>
    <w:rsid w:val="001A282C"/>
  </w:style>
  <w:style w:type="character" w:customStyle="1" w:styleId="citation-1360">
    <w:name w:val="citation-1360"/>
    <w:basedOn w:val="DefaultParagraphFont"/>
    <w:rsid w:val="001A282C"/>
  </w:style>
  <w:style w:type="character" w:customStyle="1" w:styleId="citation-1359">
    <w:name w:val="citation-1359"/>
    <w:basedOn w:val="DefaultParagraphFont"/>
    <w:rsid w:val="001A282C"/>
  </w:style>
  <w:style w:type="character" w:customStyle="1" w:styleId="citation-1358">
    <w:name w:val="citation-1358"/>
    <w:basedOn w:val="DefaultParagraphFont"/>
    <w:rsid w:val="001A282C"/>
  </w:style>
  <w:style w:type="character" w:customStyle="1" w:styleId="citation-1357">
    <w:name w:val="citation-1357"/>
    <w:basedOn w:val="DefaultParagraphFont"/>
    <w:rsid w:val="001A282C"/>
  </w:style>
  <w:style w:type="character" w:customStyle="1" w:styleId="citation-1442">
    <w:name w:val="citation-1442"/>
    <w:basedOn w:val="DefaultParagraphFont"/>
    <w:rsid w:val="001A282C"/>
  </w:style>
  <w:style w:type="character" w:customStyle="1" w:styleId="citation-1441">
    <w:name w:val="citation-1441"/>
    <w:basedOn w:val="DefaultParagraphFont"/>
    <w:rsid w:val="001A282C"/>
  </w:style>
  <w:style w:type="character" w:customStyle="1" w:styleId="citation-1440">
    <w:name w:val="citation-1440"/>
    <w:basedOn w:val="DefaultParagraphFont"/>
    <w:rsid w:val="001A282C"/>
  </w:style>
  <w:style w:type="character" w:customStyle="1" w:styleId="citation-1439">
    <w:name w:val="citation-1439"/>
    <w:basedOn w:val="DefaultParagraphFont"/>
    <w:rsid w:val="001A282C"/>
  </w:style>
  <w:style w:type="character" w:customStyle="1" w:styleId="citation-1438">
    <w:name w:val="citation-1438"/>
    <w:basedOn w:val="DefaultParagraphFont"/>
    <w:rsid w:val="001A282C"/>
  </w:style>
  <w:style w:type="character" w:customStyle="1" w:styleId="citation-1437">
    <w:name w:val="citation-1437"/>
    <w:basedOn w:val="DefaultParagraphFont"/>
    <w:rsid w:val="001A282C"/>
  </w:style>
  <w:style w:type="character" w:customStyle="1" w:styleId="citation-1436">
    <w:name w:val="citation-1436"/>
    <w:basedOn w:val="DefaultParagraphFont"/>
    <w:rsid w:val="001A282C"/>
  </w:style>
  <w:style w:type="character" w:customStyle="1" w:styleId="citation-1435">
    <w:name w:val="citation-1435"/>
    <w:basedOn w:val="DefaultParagraphFont"/>
    <w:rsid w:val="001A282C"/>
  </w:style>
  <w:style w:type="character" w:customStyle="1" w:styleId="citation-1434">
    <w:name w:val="citation-1434"/>
    <w:basedOn w:val="DefaultParagraphFont"/>
    <w:rsid w:val="001A282C"/>
  </w:style>
  <w:style w:type="character" w:customStyle="1" w:styleId="citation-1433">
    <w:name w:val="citation-1433"/>
    <w:basedOn w:val="DefaultParagraphFont"/>
    <w:rsid w:val="001A282C"/>
  </w:style>
  <w:style w:type="character" w:customStyle="1" w:styleId="citation-1432">
    <w:name w:val="citation-1432"/>
    <w:basedOn w:val="DefaultParagraphFont"/>
    <w:rsid w:val="001A282C"/>
  </w:style>
  <w:style w:type="character" w:customStyle="1" w:styleId="citation-1431">
    <w:name w:val="citation-1431"/>
    <w:basedOn w:val="DefaultParagraphFont"/>
    <w:rsid w:val="001A282C"/>
  </w:style>
  <w:style w:type="character" w:customStyle="1" w:styleId="citation-1558">
    <w:name w:val="citation-1558"/>
    <w:basedOn w:val="DefaultParagraphFont"/>
    <w:rsid w:val="001A282C"/>
  </w:style>
  <w:style w:type="character" w:customStyle="1" w:styleId="citation-1557">
    <w:name w:val="citation-1557"/>
    <w:basedOn w:val="DefaultParagraphFont"/>
    <w:rsid w:val="001A282C"/>
  </w:style>
  <w:style w:type="character" w:customStyle="1" w:styleId="citation-1556">
    <w:name w:val="citation-1556"/>
    <w:basedOn w:val="DefaultParagraphFont"/>
    <w:rsid w:val="001A282C"/>
  </w:style>
  <w:style w:type="character" w:customStyle="1" w:styleId="citation-1555">
    <w:name w:val="citation-1555"/>
    <w:basedOn w:val="DefaultParagraphFont"/>
    <w:rsid w:val="001A282C"/>
  </w:style>
  <w:style w:type="character" w:customStyle="1" w:styleId="citation-1554">
    <w:name w:val="citation-1554"/>
    <w:basedOn w:val="DefaultParagraphFont"/>
    <w:rsid w:val="001A282C"/>
  </w:style>
  <w:style w:type="character" w:customStyle="1" w:styleId="citation-1553">
    <w:name w:val="citation-1553"/>
    <w:basedOn w:val="DefaultParagraphFont"/>
    <w:rsid w:val="001A282C"/>
  </w:style>
  <w:style w:type="character" w:customStyle="1" w:styleId="citation-1552">
    <w:name w:val="citation-1552"/>
    <w:basedOn w:val="DefaultParagraphFont"/>
    <w:rsid w:val="001A282C"/>
  </w:style>
  <w:style w:type="character" w:customStyle="1" w:styleId="citation-1551">
    <w:name w:val="citation-1551"/>
    <w:basedOn w:val="DefaultParagraphFont"/>
    <w:rsid w:val="001A282C"/>
  </w:style>
  <w:style w:type="character" w:customStyle="1" w:styleId="citation-1550">
    <w:name w:val="citation-1550"/>
    <w:basedOn w:val="DefaultParagraphFont"/>
    <w:rsid w:val="001A282C"/>
  </w:style>
  <w:style w:type="character" w:customStyle="1" w:styleId="citation-1549">
    <w:name w:val="citation-1549"/>
    <w:basedOn w:val="DefaultParagraphFont"/>
    <w:rsid w:val="001A282C"/>
  </w:style>
  <w:style w:type="character" w:customStyle="1" w:styleId="citation-1548">
    <w:name w:val="citation-1548"/>
    <w:basedOn w:val="DefaultParagraphFont"/>
    <w:rsid w:val="001A282C"/>
  </w:style>
  <w:style w:type="character" w:customStyle="1" w:styleId="citation-1547">
    <w:name w:val="citation-1547"/>
    <w:basedOn w:val="DefaultParagraphFont"/>
    <w:rsid w:val="001A282C"/>
  </w:style>
  <w:style w:type="character" w:customStyle="1" w:styleId="citation-1546">
    <w:name w:val="citation-1546"/>
    <w:basedOn w:val="DefaultParagraphFont"/>
    <w:rsid w:val="001A282C"/>
  </w:style>
  <w:style w:type="character" w:customStyle="1" w:styleId="citation-1545">
    <w:name w:val="citation-1545"/>
    <w:basedOn w:val="DefaultParagraphFont"/>
    <w:rsid w:val="001A282C"/>
  </w:style>
  <w:style w:type="character" w:customStyle="1" w:styleId="citation-1544">
    <w:name w:val="citation-1544"/>
    <w:basedOn w:val="DefaultParagraphFont"/>
    <w:rsid w:val="001A282C"/>
  </w:style>
  <w:style w:type="character" w:customStyle="1" w:styleId="citation-1543">
    <w:name w:val="citation-1543"/>
    <w:basedOn w:val="DefaultParagraphFont"/>
    <w:rsid w:val="001A282C"/>
  </w:style>
  <w:style w:type="character" w:customStyle="1" w:styleId="citation-1542">
    <w:name w:val="citation-1542"/>
    <w:basedOn w:val="DefaultParagraphFont"/>
    <w:rsid w:val="001A282C"/>
  </w:style>
  <w:style w:type="character" w:customStyle="1" w:styleId="citation-1541">
    <w:name w:val="citation-1541"/>
    <w:basedOn w:val="DefaultParagraphFont"/>
    <w:rsid w:val="001A282C"/>
  </w:style>
  <w:style w:type="character" w:customStyle="1" w:styleId="citation-1540">
    <w:name w:val="citation-1540"/>
    <w:basedOn w:val="DefaultParagraphFont"/>
    <w:rsid w:val="001A282C"/>
  </w:style>
  <w:style w:type="character" w:customStyle="1" w:styleId="citation-1539">
    <w:name w:val="citation-1539"/>
    <w:basedOn w:val="DefaultParagraphFont"/>
    <w:rsid w:val="001A282C"/>
  </w:style>
  <w:style w:type="character" w:customStyle="1" w:styleId="citation-1538">
    <w:name w:val="citation-1538"/>
    <w:basedOn w:val="DefaultParagraphFont"/>
    <w:rsid w:val="001A282C"/>
  </w:style>
  <w:style w:type="paragraph" w:styleId="ListBullet">
    <w:name w:val="List Bullet"/>
    <w:basedOn w:val="Normal"/>
    <w:uiPriority w:val="99"/>
    <w:unhideWhenUsed/>
    <w:rsid w:val="00171646"/>
    <w:pPr>
      <w:numPr>
        <w:numId w:val="21"/>
      </w:numPr>
      <w:tabs>
        <w:tab w:val="clear" w:pos="360"/>
      </w:tabs>
      <w:spacing w:after="200" w:line="276" w:lineRule="auto"/>
      <w:ind w:left="0" w:firstLine="0"/>
      <w:contextualSpacing/>
    </w:pPr>
    <w:rPr>
      <w:rFonts w:ascii="Arial" w:hAnsi="Arial"/>
      <w:kern w:val="0"/>
      <w:sz w:val="22"/>
      <w:szCs w:val="22"/>
      <w:lang w:val="en-US" w:eastAsia="en-US"/>
      <w14:ligatures w14:val="none"/>
    </w:rPr>
  </w:style>
  <w:style w:type="paragraph" w:customStyle="1" w:styleId="ThesisCaption">
    <w:name w:val="ThesisCaption"/>
    <w:basedOn w:val="NormalWeb"/>
    <w:link w:val="ThesisCaptionChar"/>
    <w:rsid w:val="00D7445B"/>
    <w:pPr>
      <w:spacing w:before="0" w:beforeAutospacing="0"/>
      <w:jc w:val="center"/>
    </w:pPr>
    <w:rPr>
      <w:b/>
      <w:sz w:val="22"/>
    </w:rPr>
  </w:style>
  <w:style w:type="character" w:customStyle="1" w:styleId="NormalWebChar">
    <w:name w:val="Normal (Web) Char"/>
    <w:basedOn w:val="DefaultParagraphFont"/>
    <w:link w:val="NormalWeb"/>
    <w:uiPriority w:val="99"/>
    <w:rsid w:val="00D7445B"/>
    <w:rPr>
      <w:rFonts w:ascii="Times New Roman" w:eastAsia="Times New Roman" w:hAnsi="Times New Roman" w:cs="Times New Roman"/>
      <w:kern w:val="0"/>
      <w14:ligatures w14:val="none"/>
    </w:rPr>
  </w:style>
  <w:style w:type="character" w:customStyle="1" w:styleId="ThesisCaptionChar">
    <w:name w:val="ThesisCaption Char"/>
    <w:basedOn w:val="NormalWebChar"/>
    <w:link w:val="ThesisCaption"/>
    <w:rsid w:val="00D7445B"/>
    <w:rPr>
      <w:rFonts w:ascii="Times New Roman" w:eastAsia="Times New Roman" w:hAnsi="Times New Roman" w:cs="Times New Roman"/>
      <w:b/>
      <w:kern w:val="0"/>
      <w:sz w:val="22"/>
      <w14:ligatures w14:val="none"/>
    </w:rPr>
  </w:style>
  <w:style w:type="paragraph" w:customStyle="1" w:styleId="msonormal0">
    <w:name w:val="msonormal"/>
    <w:basedOn w:val="Normal"/>
    <w:rsid w:val="00CF18B0"/>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F35CC1"/>
    <w:pPr>
      <w:spacing w:after="100"/>
      <w:ind w:left="240"/>
    </w:pPr>
    <w:rPr>
      <w:rFonts w:ascii="Times New Roman" w:hAnsi="Times New Roman" w:cs="Times New Roman"/>
    </w:rPr>
  </w:style>
  <w:style w:type="paragraph" w:styleId="TOC1">
    <w:name w:val="toc 1"/>
    <w:basedOn w:val="Normal"/>
    <w:next w:val="Normal"/>
    <w:autoRedefine/>
    <w:uiPriority w:val="39"/>
    <w:unhideWhenUsed/>
    <w:rsid w:val="00F35CC1"/>
    <w:pPr>
      <w:spacing w:after="100"/>
    </w:pPr>
    <w:rPr>
      <w:rFonts w:ascii="Times New Roman" w:hAnsi="Times New Roman" w:cs="Times New Roman"/>
    </w:rPr>
  </w:style>
  <w:style w:type="paragraph" w:styleId="TOC3">
    <w:name w:val="toc 3"/>
    <w:basedOn w:val="Normal"/>
    <w:next w:val="Normal"/>
    <w:autoRedefine/>
    <w:uiPriority w:val="39"/>
    <w:unhideWhenUsed/>
    <w:rsid w:val="00F35CC1"/>
    <w:pPr>
      <w:spacing w:after="100"/>
      <w:ind w:left="480"/>
    </w:pPr>
    <w:rPr>
      <w:rFonts w:ascii="Times New Roman" w:hAnsi="Times New Roman" w:cs="Times New Roman"/>
    </w:rPr>
  </w:style>
  <w:style w:type="character" w:styleId="Hyperlink">
    <w:name w:val="Hyperlink"/>
    <w:basedOn w:val="DefaultParagraphFont"/>
    <w:uiPriority w:val="99"/>
    <w:unhideWhenUsed/>
    <w:rsid w:val="00F35CC1"/>
    <w:rPr>
      <w:color w:val="467886" w:themeColor="hyperlink"/>
      <w:u w:val="single"/>
    </w:rPr>
  </w:style>
  <w:style w:type="paragraph" w:styleId="BodyTextIndent">
    <w:name w:val="Body Text Indent"/>
    <w:basedOn w:val="Normal"/>
    <w:link w:val="BodyTextIndentChar"/>
    <w:rsid w:val="007A08CA"/>
    <w:pPr>
      <w:widowControl w:val="0"/>
      <w:spacing w:after="120" w:line="240" w:lineRule="auto"/>
      <w:ind w:leftChars="200" w:left="420"/>
    </w:pPr>
    <w:rPr>
      <w:rFonts w:ascii="Times New Roman" w:eastAsia="SimSun" w:hAnsi="Times New Roman" w:cs="Times New Roman"/>
      <w:sz w:val="21"/>
      <w:lang w:val="en-US"/>
      <w14:ligatures w14:val="none"/>
    </w:rPr>
  </w:style>
  <w:style w:type="character" w:customStyle="1" w:styleId="BodyTextIndentChar">
    <w:name w:val="Body Text Indent Char"/>
    <w:basedOn w:val="DefaultParagraphFont"/>
    <w:link w:val="BodyTextIndent"/>
    <w:rsid w:val="007A08CA"/>
    <w:rPr>
      <w:rFonts w:ascii="Times New Roman" w:eastAsia="SimSun" w:hAnsi="Times New Roman" w:cs="Times New Roman"/>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13982</Words>
  <Characters>76347</Characters>
  <Application>Microsoft Office Word</Application>
  <DocSecurity>0</DocSecurity>
  <Lines>2385</Lines>
  <Paragraphs>1642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 me</dc:creator>
  <cp:keywords/>
  <dc:description/>
  <cp:lastModifiedBy>roma me</cp:lastModifiedBy>
  <cp:revision>2</cp:revision>
  <dcterms:created xsi:type="dcterms:W3CDTF">2026-05-08T04:32:00Z</dcterms:created>
  <dcterms:modified xsi:type="dcterms:W3CDTF">2026-05-08T04:32:00Z</dcterms:modified>
</cp:coreProperties>
</file>