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2D28" w14:textId="77777777" w:rsidR="00326B3B" w:rsidRDefault="00326B3B" w:rsidP="00326B3B">
      <w:pPr>
        <w:pStyle w:val="1"/>
      </w:pPr>
      <w:bookmarkStart w:id="0" w:name="_Toc416517040"/>
      <w:bookmarkStart w:id="1" w:name="_Toc416515963"/>
      <w:bookmarkStart w:id="2" w:name="_Toc416520806"/>
      <w:bookmarkStart w:id="3" w:name="_Toc416520925"/>
      <w:bookmarkStart w:id="4" w:name="_Toc416516975"/>
      <w:r>
        <w:rPr>
          <w:noProof/>
        </w:rPr>
        <w:drawing>
          <wp:anchor distT="0" distB="0" distL="114300" distR="114300" simplePos="0" relativeHeight="251659264" behindDoc="0" locked="0" layoutInCell="1" allowOverlap="1" wp14:anchorId="59608EE8" wp14:editId="68573AC9">
            <wp:simplePos x="0" y="0"/>
            <wp:positionH relativeFrom="column">
              <wp:posOffset>1926590</wp:posOffset>
            </wp:positionH>
            <wp:positionV relativeFrom="paragraph">
              <wp:posOffset>1455420</wp:posOffset>
            </wp:positionV>
            <wp:extent cx="2091690" cy="424180"/>
            <wp:effectExtent l="19050" t="0" r="3810" b="0"/>
            <wp:wrapTopAndBottom/>
            <wp:docPr id="3" name="Picture 24" descr="浙江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浙江财~1"/>
                    <pic:cNvPicPr>
                      <a:picLocks noChangeAspect="1" noChangeArrowheads="1"/>
                    </pic:cNvPicPr>
                  </pic:nvPicPr>
                  <pic:blipFill>
                    <a:blip r:embed="rId6" cstate="print"/>
                    <a:srcRect/>
                    <a:stretch>
                      <a:fillRect/>
                    </a:stretch>
                  </pic:blipFill>
                  <pic:spPr>
                    <a:xfrm>
                      <a:off x="0" y="0"/>
                      <a:ext cx="2091690" cy="424180"/>
                    </a:xfrm>
                    <a:prstGeom prst="rect">
                      <a:avLst/>
                    </a:prstGeom>
                    <a:noFill/>
                    <a:ln w="9525" cmpd="sng">
                      <a:noFill/>
                      <a:miter lim="800000"/>
                      <a:headEnd/>
                      <a:tailEnd/>
                    </a:ln>
                    <a:effectLst/>
                  </pic:spPr>
                </pic:pic>
              </a:graphicData>
            </a:graphic>
          </wp:anchor>
        </w:drawing>
      </w:r>
      <w:r>
        <w:rPr>
          <w:noProof/>
        </w:rPr>
        <w:drawing>
          <wp:anchor distT="0" distB="0" distL="114300" distR="114300" simplePos="0" relativeHeight="251660288" behindDoc="0" locked="0" layoutInCell="1" allowOverlap="1" wp14:anchorId="75772F6C" wp14:editId="78632C7B">
            <wp:simplePos x="0" y="0"/>
            <wp:positionH relativeFrom="column">
              <wp:posOffset>2383155</wp:posOffset>
            </wp:positionH>
            <wp:positionV relativeFrom="paragraph">
              <wp:posOffset>21590</wp:posOffset>
            </wp:positionV>
            <wp:extent cx="1130300" cy="1126490"/>
            <wp:effectExtent l="19050" t="0" r="0" b="0"/>
            <wp:wrapTopAndBottom/>
            <wp:docPr id="2" name="图片 2"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徽"/>
                    <pic:cNvPicPr>
                      <a:picLocks noChangeAspect="1" noChangeArrowheads="1"/>
                    </pic:cNvPicPr>
                  </pic:nvPicPr>
                  <pic:blipFill>
                    <a:blip r:embed="rId7" cstate="print"/>
                    <a:srcRect/>
                    <a:stretch>
                      <a:fillRect/>
                    </a:stretch>
                  </pic:blipFill>
                  <pic:spPr>
                    <a:xfrm>
                      <a:off x="0" y="0"/>
                      <a:ext cx="1130300" cy="1126490"/>
                    </a:xfrm>
                    <a:prstGeom prst="rect">
                      <a:avLst/>
                    </a:prstGeom>
                    <a:noFill/>
                    <a:ln w="9525" cmpd="sng">
                      <a:noFill/>
                      <a:miter lim="800000"/>
                      <a:headEnd/>
                      <a:tailEnd/>
                    </a:ln>
                    <a:effectLst/>
                  </pic:spPr>
                </pic:pic>
              </a:graphicData>
            </a:graphic>
          </wp:anchor>
        </w:drawing>
      </w:r>
      <w:bookmarkEnd w:id="0"/>
      <w:bookmarkEnd w:id="1"/>
      <w:bookmarkEnd w:id="2"/>
      <w:bookmarkEnd w:id="3"/>
      <w:bookmarkEnd w:id="4"/>
    </w:p>
    <w:p w14:paraId="562127DA" w14:textId="53488C12" w:rsidR="00326B3B" w:rsidRDefault="00326B3B" w:rsidP="00326B3B">
      <w:pPr>
        <w:pStyle w:val="1"/>
        <w:rPr>
          <w:rFonts w:ascii="Arial" w:hAnsi="Arial" w:cs="Arial"/>
          <w:bCs w:val="0"/>
        </w:rPr>
      </w:pPr>
      <w:r>
        <w:rPr>
          <w:rFonts w:ascii="Arial" w:hAnsi="Arial" w:cs="Arial" w:hint="eastAsia"/>
          <w:bCs w:val="0"/>
        </w:rPr>
        <w:t>G</w:t>
      </w:r>
      <w:r>
        <w:rPr>
          <w:rFonts w:ascii="Arial" w:hAnsi="Arial" w:cs="Arial"/>
          <w:bCs w:val="0"/>
        </w:rPr>
        <w:t>raduat</w:t>
      </w:r>
      <w:r>
        <w:rPr>
          <w:rFonts w:ascii="Arial" w:hAnsi="Arial" w:cs="Arial" w:hint="eastAsia"/>
          <w:bCs w:val="0"/>
        </w:rPr>
        <w:t>ion</w:t>
      </w:r>
      <w:r>
        <w:rPr>
          <w:rFonts w:ascii="Arial" w:hAnsi="Arial" w:cs="Arial"/>
          <w:bCs w:val="0"/>
        </w:rPr>
        <w:t xml:space="preserve"> </w:t>
      </w:r>
      <w:r>
        <w:rPr>
          <w:rFonts w:ascii="Arial" w:hAnsi="Arial" w:cs="Arial" w:hint="eastAsia"/>
          <w:bCs w:val="0"/>
        </w:rPr>
        <w:t>T</w:t>
      </w:r>
      <w:r>
        <w:rPr>
          <w:rFonts w:ascii="Arial" w:hAnsi="Arial" w:cs="Arial"/>
          <w:bCs w:val="0"/>
        </w:rPr>
        <w:t xml:space="preserve">hesis </w:t>
      </w:r>
    </w:p>
    <w:p w14:paraId="5102CB9B" w14:textId="77777777" w:rsidR="00326B3B" w:rsidRDefault="00326B3B" w:rsidP="00326B3B">
      <w:pPr>
        <w:pStyle w:val="1"/>
        <w:rPr>
          <w:rFonts w:ascii="Arial" w:hAnsi="Arial" w:cs="Arial"/>
          <w:bCs w:val="0"/>
        </w:rPr>
      </w:pPr>
      <w:r>
        <w:rPr>
          <w:rFonts w:ascii="Arial" w:hAnsi="Arial" w:cs="Arial" w:hint="eastAsia"/>
          <w:bCs w:val="0"/>
        </w:rPr>
        <w:t xml:space="preserve">of </w:t>
      </w:r>
      <w:proofErr w:type="gramStart"/>
      <w:r>
        <w:rPr>
          <w:rFonts w:ascii="Arial" w:hAnsi="Arial" w:cs="Arial" w:hint="eastAsia"/>
          <w:bCs w:val="0"/>
        </w:rPr>
        <w:t>Bachelor's Degree</w:t>
      </w:r>
      <w:proofErr w:type="gramEnd"/>
    </w:p>
    <w:p w14:paraId="7349EB59" w14:textId="77777777" w:rsidR="00326B3B" w:rsidRDefault="00326B3B" w:rsidP="00326B3B">
      <w:pPr>
        <w:spacing w:line="360" w:lineRule="auto"/>
        <w:jc w:val="center"/>
        <w:outlineLvl w:val="0"/>
        <w:rPr>
          <w:rFonts w:ascii="Arial" w:hAnsi="Arial" w:cs="Arial"/>
          <w:b/>
        </w:rPr>
      </w:pPr>
    </w:p>
    <w:p w14:paraId="35144A60" w14:textId="464D1B42" w:rsidR="00326B3B" w:rsidRPr="00326B3B" w:rsidRDefault="00326B3B" w:rsidP="00326B3B">
      <w:pPr>
        <w:spacing w:after="0"/>
        <w:jc w:val="center"/>
        <w:rPr>
          <w:rFonts w:cs="Times New Roman"/>
          <w:b/>
          <w:sz w:val="32"/>
        </w:rPr>
      </w:pPr>
      <w:r>
        <w:rPr>
          <w:rFonts w:ascii="Arial" w:hAnsi="Arial" w:cs="Arial"/>
          <w:b/>
          <w:noProof/>
          <w:sz w:val="44"/>
        </w:rPr>
        <mc:AlternateContent>
          <mc:Choice Requires="wps">
            <w:drawing>
              <wp:anchor distT="0" distB="0" distL="114300" distR="114300" simplePos="0" relativeHeight="251661312" behindDoc="0" locked="0" layoutInCell="1" allowOverlap="1" wp14:anchorId="0FAE5A41" wp14:editId="2EC934EC">
                <wp:simplePos x="0" y="0"/>
                <wp:positionH relativeFrom="column">
                  <wp:posOffset>1013460</wp:posOffset>
                </wp:positionH>
                <wp:positionV relativeFrom="paragraph">
                  <wp:posOffset>294640</wp:posOffset>
                </wp:positionV>
                <wp:extent cx="3845560" cy="0"/>
                <wp:effectExtent l="13335" t="8890" r="8255" b="10160"/>
                <wp:wrapNone/>
                <wp:docPr id="12" name="直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5560" cy="0"/>
                        </a:xfrm>
                        <a:prstGeom prst="line">
                          <a:avLst/>
                        </a:prstGeom>
                        <a:noFill/>
                        <a:ln w="9525">
                          <a:solidFill>
                            <a:srgbClr val="000000"/>
                          </a:solidFill>
                          <a:prstDash val="sysDot"/>
                          <a:round/>
                        </a:ln>
                      </wps:spPr>
                      <wps:bodyPr/>
                    </wps:wsp>
                  </a:graphicData>
                </a:graphic>
              </wp:anchor>
            </w:drawing>
          </mc:Choice>
          <mc:Fallback>
            <w:pict>
              <v:line w14:anchorId="0A869216" id="直线 1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79.8pt,23.2pt" to="382.6pt,2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">
                <v:stroke dashstyle="1 1"/>
              </v:line>
            </w:pict>
          </mc:Fallback>
        </mc:AlternateContent>
      </w:r>
      <w:r>
        <w:rPr>
          <w:rFonts w:ascii="Arial" w:eastAsia="SimHei" w:hAnsi="Arial" w:cs="Arial"/>
          <w:sz w:val="36"/>
        </w:rPr>
        <w:t>Title</w:t>
      </w:r>
      <w:r>
        <w:rPr>
          <w:rFonts w:ascii="Arial" w:eastAsia="SimHei" w:hAnsi="Cambria" w:cs="Arial"/>
          <w:sz w:val="36"/>
        </w:rPr>
        <w:t>：</w:t>
      </w:r>
      <w:r>
        <w:rPr>
          <w:rFonts w:ascii="Arial" w:eastAsia="SimHei" w:hAnsi="Arial" w:cs="Arial"/>
          <w:sz w:val="36"/>
        </w:rPr>
        <w:t xml:space="preserve">   </w:t>
      </w:r>
      <w:r w:rsidRPr="00326B3B">
        <w:rPr>
          <w:rFonts w:ascii="Arial" w:eastAsia="SimHei" w:hAnsi="Arial" w:cs="Arial"/>
          <w:sz w:val="36"/>
        </w:rPr>
        <w:t>THE DIMINISHING MARGINAL RETURNS OF SOVEREIGN DEBT</w:t>
      </w:r>
    </w:p>
    <w:p w14:paraId="3D321CC8" w14:textId="77777777" w:rsidR="00326B3B" w:rsidRDefault="00326B3B" w:rsidP="00326B3B">
      <w:pPr>
        <w:spacing w:line="360" w:lineRule="auto"/>
        <w:jc w:val="center"/>
        <w:rPr>
          <w:rFonts w:ascii="Arial" w:hAnsi="Arial" w:cs="Arial"/>
        </w:rPr>
      </w:pPr>
    </w:p>
    <w:p w14:paraId="468700AB" w14:textId="77777777" w:rsidR="00326B3B" w:rsidRDefault="00326B3B" w:rsidP="00326B3B">
      <w:pPr>
        <w:spacing w:line="360" w:lineRule="auto"/>
        <w:jc w:val="center"/>
        <w:rPr>
          <w:rFonts w:ascii="Arial" w:hAnsi="Arial" w:cs="Arial"/>
        </w:rPr>
      </w:pPr>
    </w:p>
    <w:p w14:paraId="44317C0F" w14:textId="77777777" w:rsidR="00326B3B" w:rsidRDefault="00326B3B" w:rsidP="00326B3B">
      <w:pPr>
        <w:spacing w:line="360" w:lineRule="auto"/>
        <w:jc w:val="center"/>
        <w:rPr>
          <w:rFonts w:ascii="Arial" w:hAnsi="Arial" w:cs="Arial"/>
        </w:rPr>
      </w:pPr>
    </w:p>
    <w:p w14:paraId="3971206B" w14:textId="324246B2" w:rsidR="00326B3B" w:rsidRDefault="00326B3B" w:rsidP="00326B3B">
      <w:pPr>
        <w:spacing w:line="480" w:lineRule="auto"/>
        <w:ind w:firstLineChars="567" w:firstLine="1361"/>
        <w:rPr>
          <w:rFonts w:ascii="Arial" w:eastAsia="SimHei" w:hAnsi="Arial" w:cs="Arial"/>
          <w:sz w:val="32"/>
          <w:szCs w:val="32"/>
        </w:rPr>
      </w:pPr>
      <w:r>
        <w:rPr>
          <w:rFonts w:ascii="Arial" w:hAnsi="Arial" w:cs="Arial"/>
          <w:noProof/>
        </w:rPr>
        <mc:AlternateContent>
          <mc:Choice Requires="wps">
            <w:drawing>
              <wp:anchor distT="0" distB="0" distL="114300" distR="114300" simplePos="0" relativeHeight="251665408" behindDoc="0" locked="0" layoutInCell="1" allowOverlap="1" wp14:anchorId="746C7361" wp14:editId="7F934F2A">
                <wp:simplePos x="0" y="0"/>
                <wp:positionH relativeFrom="column">
                  <wp:posOffset>1318260</wp:posOffset>
                </wp:positionH>
                <wp:positionV relativeFrom="paragraph">
                  <wp:posOffset>276225</wp:posOffset>
                </wp:positionV>
                <wp:extent cx="3472815" cy="0"/>
                <wp:effectExtent l="13335" t="9525" r="9525" b="9525"/>
                <wp:wrapNone/>
                <wp:docPr id="10" name="直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72815" cy="0"/>
                        </a:xfrm>
                        <a:prstGeom prst="line">
                          <a:avLst/>
                        </a:prstGeom>
                        <a:noFill/>
                        <a:ln w="9525">
                          <a:solidFill>
                            <a:srgbClr val="000000"/>
                          </a:solidFill>
                          <a:prstDash val="sysDot"/>
                          <a:round/>
                        </a:ln>
                      </wps:spPr>
                      <wps:bodyPr/>
                    </wps:wsp>
                  </a:graphicData>
                </a:graphic>
              </wp:anchor>
            </w:drawing>
          </mc:Choice>
          <mc:Fallback>
            <w:pict>
              <v:line w14:anchorId="60A6EBED" id="直线 13"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03.8pt,21.75pt" to="377.25pt,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">
                <v:stroke dashstyle="1 1"/>
              </v:line>
            </w:pict>
          </mc:Fallback>
        </mc:AlternateContent>
      </w:r>
      <w:r>
        <w:rPr>
          <w:rFonts w:ascii="Arial" w:hAnsi="Arial" w:cs="Arial"/>
          <w:sz w:val="32"/>
          <w:szCs w:val="32"/>
        </w:rPr>
        <w:t>Name</w:t>
      </w:r>
      <w:r>
        <w:rPr>
          <w:rFonts w:ascii="Arial" w:hAnsi="Arial" w:cs="Arial" w:hint="eastAsia"/>
          <w:sz w:val="32"/>
          <w:szCs w:val="32"/>
        </w:rPr>
        <w:t>:</w:t>
      </w:r>
      <w:r>
        <w:rPr>
          <w:rFonts w:eastAsia="SimHei"/>
          <w:color w:val="FF0000"/>
          <w:sz w:val="36"/>
        </w:rPr>
        <w:t xml:space="preserve"> </w:t>
      </w:r>
      <w:r w:rsidRPr="00326B3B">
        <w:rPr>
          <w:color w:val="000000" w:themeColor="text1"/>
          <w:sz w:val="32"/>
          <w:szCs w:val="32"/>
        </w:rPr>
        <w:t>Zorenko Roman</w:t>
      </w:r>
    </w:p>
    <w:p w14:paraId="43F581F6" w14:textId="734E9E5B" w:rsidR="00326B3B" w:rsidRDefault="00326B3B" w:rsidP="00326B3B">
      <w:pPr>
        <w:spacing w:line="480" w:lineRule="auto"/>
        <w:ind w:firstLineChars="350" w:firstLine="1120"/>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66432" behindDoc="0" locked="0" layoutInCell="1" allowOverlap="1" wp14:anchorId="5150F2EC" wp14:editId="29841A88">
                <wp:simplePos x="0" y="0"/>
                <wp:positionH relativeFrom="column">
                  <wp:posOffset>2650490</wp:posOffset>
                </wp:positionH>
                <wp:positionV relativeFrom="paragraph">
                  <wp:posOffset>266700</wp:posOffset>
                </wp:positionV>
                <wp:extent cx="2140585" cy="0"/>
                <wp:effectExtent l="12065" t="9525" r="9525" b="9525"/>
                <wp:wrapNone/>
                <wp:docPr id="9"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85" cy="0"/>
                        </a:xfrm>
                        <a:prstGeom prst="line">
                          <a:avLst/>
                        </a:prstGeom>
                        <a:noFill/>
                        <a:ln w="9525">
                          <a:solidFill>
                            <a:srgbClr val="000000"/>
                          </a:solidFill>
                          <a:prstDash val="sysDot"/>
                          <a:round/>
                        </a:ln>
                      </wps:spPr>
                      <wps:bodyPr/>
                    </wps:wsp>
                  </a:graphicData>
                </a:graphic>
              </wp:anchor>
            </w:drawing>
          </mc:Choice>
          <mc:Fallback>
            <w:pict>
              <v:line w14:anchorId="0E710072" id="直线 1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08.7pt,21pt" to="377.25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">
                <v:stroke dashstyle="1 1"/>
              </v:line>
            </w:pict>
          </mc:Fallback>
        </mc:AlternateContent>
      </w:r>
      <w:r>
        <w:rPr>
          <w:rFonts w:ascii="Arial" w:hAnsi="Arial" w:cs="Arial"/>
          <w:sz w:val="32"/>
          <w:szCs w:val="32"/>
        </w:rPr>
        <w:t>Registration number</w:t>
      </w:r>
      <w:r>
        <w:rPr>
          <w:rFonts w:ascii="Arial" w:hAnsi="Arial" w:cs="Arial" w:hint="eastAsia"/>
          <w:sz w:val="32"/>
          <w:szCs w:val="32"/>
        </w:rPr>
        <w:t>:</w:t>
      </w:r>
      <w:r>
        <w:rPr>
          <w:color w:val="FF0000"/>
          <w:sz w:val="32"/>
          <w:szCs w:val="32"/>
        </w:rPr>
        <w:t xml:space="preserve"> </w:t>
      </w:r>
      <w:r w:rsidRPr="00326B3B">
        <w:rPr>
          <w:color w:val="000000" w:themeColor="text1"/>
          <w:sz w:val="32"/>
          <w:szCs w:val="32"/>
        </w:rPr>
        <w:t>220721010110</w:t>
      </w:r>
    </w:p>
    <w:p w14:paraId="3C879315" w14:textId="1B5B5BB2" w:rsidR="00326B3B" w:rsidRDefault="00326B3B" w:rsidP="00326B3B">
      <w:pPr>
        <w:spacing w:line="480" w:lineRule="auto"/>
        <w:ind w:firstLineChars="567" w:firstLine="1361"/>
        <w:rPr>
          <w:rFonts w:ascii="Arial" w:eastAsia="SimHei" w:hAnsi="Arial" w:cs="Arial"/>
          <w:sz w:val="32"/>
          <w:szCs w:val="32"/>
        </w:rPr>
      </w:pPr>
      <w:r>
        <w:rPr>
          <w:rFonts w:ascii="Arial" w:hAnsi="Arial" w:cs="Arial"/>
          <w:noProof/>
        </w:rPr>
        <mc:AlternateContent>
          <mc:Choice Requires="wps">
            <w:drawing>
              <wp:anchor distT="0" distB="0" distL="114300" distR="114300" simplePos="0" relativeHeight="251664384" behindDoc="0" locked="0" layoutInCell="1" allowOverlap="1" wp14:anchorId="4BFAA23B" wp14:editId="692E8E91">
                <wp:simplePos x="0" y="0"/>
                <wp:positionH relativeFrom="column">
                  <wp:posOffset>1259840</wp:posOffset>
                </wp:positionH>
                <wp:positionV relativeFrom="paragraph">
                  <wp:posOffset>276225</wp:posOffset>
                </wp:positionV>
                <wp:extent cx="3531235" cy="0"/>
                <wp:effectExtent l="12065" t="9525" r="9525" b="9525"/>
                <wp:wrapNone/>
                <wp:docPr id="8" name="直线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31235" cy="0"/>
                        </a:xfrm>
                        <a:prstGeom prst="line">
                          <a:avLst/>
                        </a:prstGeom>
                        <a:noFill/>
                        <a:ln w="9525">
                          <a:solidFill>
                            <a:srgbClr val="000000"/>
                          </a:solidFill>
                          <a:prstDash val="sysDot"/>
                          <a:round/>
                        </a:ln>
                      </wps:spPr>
                      <wps:bodyPr/>
                    </wps:wsp>
                  </a:graphicData>
                </a:graphic>
              </wp:anchor>
            </w:drawing>
          </mc:Choice>
          <mc:Fallback>
            <w:pict>
              <v:line w14:anchorId="40DEF14F" id="直线 1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99.2pt,21.75pt" to="377.25pt,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">
                <v:stroke dashstyle="1 1"/>
              </v:line>
            </w:pict>
          </mc:Fallback>
        </mc:AlternateContent>
      </w:r>
      <w:r>
        <w:rPr>
          <w:rFonts w:ascii="Arial" w:hAnsi="Arial" w:cs="Arial"/>
          <w:sz w:val="32"/>
          <w:szCs w:val="32"/>
        </w:rPr>
        <w:t>Tutor</w:t>
      </w:r>
      <w:r>
        <w:rPr>
          <w:rFonts w:ascii="Arial" w:hAnsi="Arial" w:cs="Arial" w:hint="eastAsia"/>
          <w:sz w:val="32"/>
          <w:szCs w:val="32"/>
        </w:rPr>
        <w:t>:</w:t>
      </w:r>
      <w:r>
        <w:rPr>
          <w:color w:val="FF0000"/>
          <w:sz w:val="32"/>
          <w:szCs w:val="32"/>
        </w:rPr>
        <w:t xml:space="preserve"> </w:t>
      </w:r>
      <w:proofErr w:type="spellStart"/>
      <w:r w:rsidR="00EB1643" w:rsidRPr="00B30304">
        <w:rPr>
          <w:rFonts w:ascii="Arial" w:hAnsi="Arial" w:cs="Arial" w:hint="eastAsia"/>
          <w:sz w:val="32"/>
          <w:szCs w:val="32"/>
        </w:rPr>
        <w:t>董雪</w:t>
      </w:r>
      <w:proofErr w:type="spellEnd"/>
    </w:p>
    <w:p w14:paraId="382268DE" w14:textId="77777777" w:rsidR="00326B3B" w:rsidRDefault="00326B3B" w:rsidP="00326B3B">
      <w:pPr>
        <w:spacing w:line="480" w:lineRule="auto"/>
        <w:ind w:firstLineChars="350" w:firstLine="1120"/>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67456" behindDoc="0" locked="0" layoutInCell="1" allowOverlap="1" wp14:anchorId="3A204869" wp14:editId="0386C807">
                <wp:simplePos x="0" y="0"/>
                <wp:positionH relativeFrom="column">
                  <wp:posOffset>1419225</wp:posOffset>
                </wp:positionH>
                <wp:positionV relativeFrom="paragraph">
                  <wp:posOffset>266700</wp:posOffset>
                </wp:positionV>
                <wp:extent cx="3371850" cy="0"/>
                <wp:effectExtent l="9525" t="9525" r="9525" b="9525"/>
                <wp:wrapNone/>
                <wp:docPr id="7" name="直线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71850" cy="0"/>
                        </a:xfrm>
                        <a:prstGeom prst="line">
                          <a:avLst/>
                        </a:prstGeom>
                        <a:noFill/>
                        <a:ln w="9525">
                          <a:solidFill>
                            <a:srgbClr val="000000"/>
                          </a:solidFill>
                          <a:prstDash val="sysDot"/>
                          <a:round/>
                        </a:ln>
                      </wps:spPr>
                      <wps:bodyPr/>
                    </wps:wsp>
                  </a:graphicData>
                </a:graphic>
              </wp:anchor>
            </w:drawing>
          </mc:Choice>
          <mc:Fallback>
            <w:pict>
              <v:line w14:anchorId="6B686291" id="直线 1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11.75pt,21pt" to="377.25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">
                <v:stroke dashstyle="1 1"/>
              </v:line>
            </w:pict>
          </mc:Fallback>
        </mc:AlternateContent>
      </w:r>
      <w:r>
        <w:rPr>
          <w:rFonts w:ascii="Arial" w:hAnsi="Arial" w:cs="Arial" w:hint="eastAsia"/>
          <w:sz w:val="32"/>
          <w:szCs w:val="32"/>
        </w:rPr>
        <w:t xml:space="preserve">School:   </w:t>
      </w:r>
      <w:r w:rsidRPr="00326B3B">
        <w:rPr>
          <w:color w:val="000000" w:themeColor="text1"/>
          <w:sz w:val="32"/>
          <w:szCs w:val="32"/>
        </w:rPr>
        <w:t>School of Economics</w:t>
      </w:r>
    </w:p>
    <w:p w14:paraId="1B1DD721" w14:textId="4308F280" w:rsidR="00326B3B" w:rsidRDefault="00326B3B" w:rsidP="00326B3B">
      <w:pPr>
        <w:spacing w:line="480" w:lineRule="auto"/>
        <w:ind w:firstLineChars="567" w:firstLine="1361"/>
        <w:rPr>
          <w:rFonts w:ascii="Arial" w:hAnsi="Arial" w:cs="Arial"/>
          <w:sz w:val="32"/>
          <w:szCs w:val="32"/>
          <w:u w:val="single"/>
        </w:rPr>
      </w:pPr>
      <w:r>
        <w:rPr>
          <w:rFonts w:ascii="Arial" w:hAnsi="Arial" w:cs="Arial"/>
          <w:noProof/>
        </w:rPr>
        <mc:AlternateContent>
          <mc:Choice Requires="wps">
            <w:drawing>
              <wp:anchor distT="0" distB="0" distL="114300" distR="114300" simplePos="0" relativeHeight="251663360" behindDoc="0" locked="0" layoutInCell="1" allowOverlap="1" wp14:anchorId="64B46CE3" wp14:editId="78C23114">
                <wp:simplePos x="0" y="0"/>
                <wp:positionH relativeFrom="column">
                  <wp:posOffset>1318260</wp:posOffset>
                </wp:positionH>
                <wp:positionV relativeFrom="paragraph">
                  <wp:posOffset>278130</wp:posOffset>
                </wp:positionV>
                <wp:extent cx="3453765" cy="0"/>
                <wp:effectExtent l="13335" t="11430" r="9525" b="7620"/>
                <wp:wrapNone/>
                <wp:docPr id="6" name="直线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3765" cy="0"/>
                        </a:xfrm>
                        <a:prstGeom prst="line">
                          <a:avLst/>
                        </a:prstGeom>
                        <a:noFill/>
                        <a:ln w="9525">
                          <a:solidFill>
                            <a:srgbClr val="000000"/>
                          </a:solidFill>
                          <a:prstDash val="sysDot"/>
                          <a:round/>
                        </a:ln>
                      </wps:spPr>
                      <wps:bodyPr/>
                    </wps:wsp>
                  </a:graphicData>
                </a:graphic>
              </wp:anchor>
            </w:drawing>
          </mc:Choice>
          <mc:Fallback>
            <w:pict>
              <v:line w14:anchorId="1ABEF640" id="直线 1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3.8pt,21.9pt" to="375.75pt,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">
                <v:stroke dashstyle="1 1"/>
              </v:line>
            </w:pict>
          </mc:Fallback>
        </mc:AlternateContent>
      </w:r>
      <w:r>
        <w:rPr>
          <w:rFonts w:ascii="Arial" w:hAnsi="Arial" w:cs="Arial"/>
          <w:bCs/>
          <w:color w:val="000000"/>
          <w:sz w:val="32"/>
          <w:szCs w:val="32"/>
        </w:rPr>
        <w:t>Major</w:t>
      </w:r>
      <w:r>
        <w:rPr>
          <w:rFonts w:ascii="Arial" w:hAnsi="Arial" w:cs="Arial" w:hint="eastAsia"/>
          <w:bCs/>
          <w:color w:val="000000"/>
          <w:sz w:val="32"/>
          <w:szCs w:val="32"/>
        </w:rPr>
        <w:t>:</w:t>
      </w:r>
      <w:r>
        <w:rPr>
          <w:color w:val="FF0000"/>
          <w:sz w:val="32"/>
          <w:szCs w:val="32"/>
        </w:rPr>
        <w:t xml:space="preserve"> </w:t>
      </w:r>
      <w:r w:rsidRPr="00326B3B">
        <w:rPr>
          <w:color w:val="000000" w:themeColor="text1"/>
          <w:sz w:val="32"/>
          <w:szCs w:val="32"/>
        </w:rPr>
        <w:t>International Economics and Trade</w:t>
      </w:r>
    </w:p>
    <w:p w14:paraId="62D2D598" w14:textId="2646382E" w:rsidR="00326B3B" w:rsidRDefault="00326B3B" w:rsidP="00326B3B">
      <w:pPr>
        <w:spacing w:line="480" w:lineRule="auto"/>
        <w:ind w:firstLineChars="567" w:firstLine="1361"/>
        <w:rPr>
          <w:rFonts w:ascii="Arial" w:hAnsi="Arial" w:cs="Arial"/>
          <w:smallCaps/>
          <w:sz w:val="32"/>
          <w:szCs w:val="32"/>
          <w:u w:val="dotted"/>
        </w:rPr>
      </w:pPr>
      <w:r>
        <w:rPr>
          <w:rFonts w:ascii="Arial" w:hAnsi="Arial" w:cs="Arial"/>
          <w:noProof/>
        </w:rPr>
        <mc:AlternateContent>
          <mc:Choice Requires="wps">
            <w:drawing>
              <wp:anchor distT="0" distB="0" distL="114300" distR="114300" simplePos="0" relativeHeight="251668480" behindDoc="0" locked="0" layoutInCell="1" allowOverlap="1" wp14:anchorId="4CE1CCB1" wp14:editId="0D7688E2">
                <wp:simplePos x="0" y="0"/>
                <wp:positionH relativeFrom="column">
                  <wp:posOffset>1356995</wp:posOffset>
                </wp:positionH>
                <wp:positionV relativeFrom="paragraph">
                  <wp:posOffset>272415</wp:posOffset>
                </wp:positionV>
                <wp:extent cx="3415030" cy="0"/>
                <wp:effectExtent l="13970" t="5715" r="9525" b="13335"/>
                <wp:wrapNone/>
                <wp:docPr id="5" name="直线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15030" cy="0"/>
                        </a:xfrm>
                        <a:prstGeom prst="line">
                          <a:avLst/>
                        </a:prstGeom>
                        <a:noFill/>
                        <a:ln w="9525">
                          <a:solidFill>
                            <a:srgbClr val="000000"/>
                          </a:solidFill>
                          <a:prstDash val="sysDot"/>
                          <a:round/>
                        </a:ln>
                      </wps:spPr>
                      <wps:bodyPr/>
                    </wps:wsp>
                  </a:graphicData>
                </a:graphic>
              </wp:anchor>
            </w:drawing>
          </mc:Choice>
          <mc:Fallback>
            <w:pict>
              <v:line w14:anchorId="0D1B1271" id="直线 1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06.85pt,21.45pt" to="375.75pt,2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">
                <v:stroke dashstyle="1 1"/>
              </v:line>
            </w:pict>
          </mc:Fallback>
        </mc:AlternateContent>
      </w:r>
      <w:r>
        <w:rPr>
          <w:rFonts w:ascii="Arial" w:hAnsi="Arial" w:cs="Arial" w:hint="eastAsia"/>
          <w:sz w:val="32"/>
          <w:szCs w:val="32"/>
        </w:rPr>
        <w:t>Grade</w:t>
      </w:r>
      <w:r>
        <w:rPr>
          <w:rFonts w:ascii="Arial" w:hAnsi="Arial" w:cs="Arial" w:hint="eastAsia"/>
          <w:bCs/>
          <w:color w:val="000000"/>
          <w:sz w:val="32"/>
          <w:szCs w:val="32"/>
        </w:rPr>
        <w:t>:</w:t>
      </w:r>
      <w:r>
        <w:rPr>
          <w:color w:val="FF0000"/>
          <w:sz w:val="32"/>
          <w:szCs w:val="32"/>
        </w:rPr>
        <w:t xml:space="preserve"> </w:t>
      </w:r>
      <w:r w:rsidRPr="00326B3B">
        <w:rPr>
          <w:color w:val="000000" w:themeColor="text1"/>
          <w:sz w:val="32"/>
          <w:szCs w:val="32"/>
        </w:rPr>
        <w:t>2026</w:t>
      </w:r>
    </w:p>
    <w:p w14:paraId="4D59026F" w14:textId="77777777" w:rsidR="00326B3B" w:rsidRDefault="00326B3B" w:rsidP="00326B3B">
      <w:pPr>
        <w:spacing w:line="360" w:lineRule="auto"/>
        <w:jc w:val="center"/>
        <w:rPr>
          <w:rFonts w:ascii="Arial" w:hAnsi="Arial" w:cs="Arial"/>
          <w:sz w:val="28"/>
          <w:u w:val="single"/>
        </w:rPr>
      </w:pPr>
    </w:p>
    <w:p w14:paraId="6ABF2A79" w14:textId="6D3A0D27" w:rsidR="00326B3B" w:rsidRDefault="00326B3B" w:rsidP="00326B3B">
      <w:pPr>
        <w:spacing w:line="360" w:lineRule="auto"/>
        <w:ind w:firstLineChars="1300" w:firstLine="3120"/>
        <w:rPr>
          <w:rFonts w:ascii="Arial" w:eastAsia="SimHei" w:hAnsi="Arial" w:cs="Arial"/>
          <w:sz w:val="28"/>
        </w:rPr>
      </w:pPr>
      <w:r>
        <w:rPr>
          <w:rFonts w:ascii="Arial" w:hAnsi="Arial" w:cs="Arial"/>
          <w:noProof/>
        </w:rPr>
        <mc:AlternateContent>
          <mc:Choice Requires="wps">
            <w:drawing>
              <wp:anchor distT="0" distB="0" distL="114300" distR="114300" simplePos="0" relativeHeight="251669504" behindDoc="0" locked="0" layoutInCell="1" allowOverlap="1" wp14:anchorId="176DECC4" wp14:editId="6F20EA8D">
                <wp:simplePos x="0" y="0"/>
                <wp:positionH relativeFrom="column">
                  <wp:posOffset>2089150</wp:posOffset>
                </wp:positionH>
                <wp:positionV relativeFrom="paragraph">
                  <wp:posOffset>267335</wp:posOffset>
                </wp:positionV>
                <wp:extent cx="2137410" cy="0"/>
                <wp:effectExtent l="12700" t="10160" r="12065" b="8890"/>
                <wp:wrapNone/>
                <wp:docPr id="4"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prstDash val="sysDot"/>
                          <a:round/>
                        </a:ln>
                      </wps:spPr>
                      <wps:bodyPr/>
                    </wps:wsp>
                  </a:graphicData>
                </a:graphic>
              </wp:anchor>
            </w:drawing>
          </mc:Choice>
          <mc:Fallback>
            <w:pict>
              <v:line w14:anchorId="62690F8E" id="直线 1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4.5pt,21.05pt" to="332.8pt,21.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">
                <v:stroke dashstyle="1 1"/>
              </v:line>
            </w:pict>
          </mc:Fallback>
        </mc:AlternateContent>
      </w:r>
      <w:r>
        <w:rPr>
          <w:rFonts w:ascii="Arial" w:eastAsia="SimHei" w:hAnsi="Arial" w:cs="Arial" w:hint="eastAsia"/>
          <w:sz w:val="28"/>
        </w:rPr>
        <w:t xml:space="preserve">Date:     </w:t>
      </w:r>
      <w:r>
        <w:rPr>
          <w:rFonts w:ascii="Arial" w:eastAsia="SimHei" w:hAnsi="Arial" w:cs="Arial"/>
          <w:sz w:val="28"/>
        </w:rPr>
        <w:t>05/05/2026</w:t>
      </w:r>
    </w:p>
    <w:p w14:paraId="42CD4F1B" w14:textId="77777777" w:rsidR="00326B3B" w:rsidRDefault="00326B3B" w:rsidP="00326B3B">
      <w:pPr>
        <w:spacing w:line="360" w:lineRule="auto"/>
        <w:ind w:firstLineChars="1300" w:firstLine="3640"/>
        <w:rPr>
          <w:rFonts w:ascii="Arial" w:eastAsia="SimHei" w:hAnsi="Arial" w:cs="Arial"/>
          <w:sz w:val="28"/>
        </w:rPr>
        <w:sectPr w:rsidR="00326B3B" w:rsidSect="00326B3B">
          <w:footerReference w:type="default" r:id="rId8"/>
          <w:pgSz w:w="11906" w:h="16838"/>
          <w:pgMar w:top="1985" w:right="1418" w:bottom="1418" w:left="1418" w:header="1418" w:footer="1134" w:gutter="0"/>
          <w:cols w:space="720"/>
          <w:docGrid w:type="lines" w:linePitch="312"/>
        </w:sectPr>
      </w:pPr>
    </w:p>
    <w:p w14:paraId="2339DA77" w14:textId="77777777" w:rsidR="004F244C" w:rsidRPr="00326B3B" w:rsidRDefault="00000000" w:rsidP="00326B3B">
      <w:pPr>
        <w:spacing w:after="0"/>
        <w:jc w:val="both"/>
        <w:rPr>
          <w:rFonts w:cs="Times New Roman"/>
          <w:lang w:eastAsia="zh-CN"/>
        </w:rPr>
      </w:pPr>
      <w:r w:rsidRPr="00326B3B">
        <w:rPr>
          <w:rFonts w:eastAsia="SimHei" w:cs="Times New Roman"/>
          <w:lang w:eastAsia="zh-CN"/>
        </w:rPr>
        <w:lastRenderedPageBreak/>
        <w:t>声明及论文使用的授权</w:t>
      </w:r>
    </w:p>
    <w:p w14:paraId="7D7ED920" w14:textId="77777777" w:rsidR="004F244C" w:rsidRPr="00326B3B" w:rsidRDefault="00000000" w:rsidP="00326B3B">
      <w:pPr>
        <w:spacing w:after="0"/>
        <w:jc w:val="both"/>
        <w:rPr>
          <w:rFonts w:cs="Times New Roman"/>
          <w:lang w:eastAsia="zh-CN"/>
        </w:rPr>
      </w:pPr>
      <w:r w:rsidRPr="00326B3B">
        <w:rPr>
          <w:rFonts w:eastAsia="SimSun" w:cs="Times New Roman"/>
          <w:lang w:eastAsia="zh-CN"/>
        </w:rPr>
        <w:t>本人郑重声明所呈交的论文是我个人在导师的指导下独立完成的。除了文中特别加以标注和致谢的地方外，论文中不包含其他人已经发表或撰写的研究成果。</w:t>
      </w:r>
    </w:p>
    <w:p w14:paraId="065CA5ED" w14:textId="77777777" w:rsidR="004F244C" w:rsidRPr="00326B3B" w:rsidRDefault="00000000" w:rsidP="00326B3B">
      <w:pPr>
        <w:spacing w:after="0"/>
        <w:jc w:val="both"/>
        <w:rPr>
          <w:rFonts w:cs="Times New Roman"/>
          <w:lang w:eastAsia="zh-CN"/>
        </w:rPr>
      </w:pPr>
      <w:r w:rsidRPr="00326B3B">
        <w:rPr>
          <w:rFonts w:eastAsia="SimSun" w:cs="Times New Roman"/>
          <w:lang w:eastAsia="zh-CN"/>
        </w:rPr>
        <w:t>论文作者签名</w:t>
      </w:r>
      <w:r w:rsidRPr="00326B3B">
        <w:rPr>
          <w:rFonts w:eastAsia="SimSun" w:cs="Times New Roman"/>
          <w:lang w:eastAsia="zh-CN"/>
        </w:rPr>
        <w:t>(signature)</w:t>
      </w:r>
      <w:r w:rsidRPr="00326B3B">
        <w:rPr>
          <w:rFonts w:eastAsia="SimSun" w:cs="Times New Roman"/>
          <w:lang w:eastAsia="zh-CN"/>
        </w:rPr>
        <w:t>：</w:t>
      </w:r>
      <w:r w:rsidRPr="00326B3B">
        <w:rPr>
          <w:rFonts w:eastAsia="SimSun" w:cs="Times New Roman"/>
          <w:lang w:eastAsia="zh-CN"/>
        </w:rPr>
        <w:t xml:space="preserve">                 </w:t>
      </w:r>
      <w:r w:rsidRPr="00326B3B">
        <w:rPr>
          <w:rFonts w:eastAsia="SimSun" w:cs="Times New Roman"/>
          <w:lang w:eastAsia="zh-CN"/>
        </w:rPr>
        <w:t>年</w:t>
      </w:r>
      <w:r w:rsidRPr="00326B3B">
        <w:rPr>
          <w:rFonts w:eastAsia="SimSun" w:cs="Times New Roman"/>
          <w:lang w:eastAsia="zh-CN"/>
        </w:rPr>
        <w:t xml:space="preserve">   </w:t>
      </w:r>
      <w:r w:rsidRPr="00326B3B">
        <w:rPr>
          <w:rFonts w:eastAsia="SimSun" w:cs="Times New Roman"/>
          <w:lang w:eastAsia="zh-CN"/>
        </w:rPr>
        <w:t>月</w:t>
      </w:r>
      <w:r w:rsidRPr="00326B3B">
        <w:rPr>
          <w:rFonts w:eastAsia="SimSun" w:cs="Times New Roman"/>
          <w:lang w:eastAsia="zh-CN"/>
        </w:rPr>
        <w:t xml:space="preserve">   </w:t>
      </w:r>
      <w:r w:rsidRPr="00326B3B">
        <w:rPr>
          <w:rFonts w:eastAsia="SimSun" w:cs="Times New Roman"/>
          <w:lang w:eastAsia="zh-CN"/>
        </w:rPr>
        <w:t>日</w:t>
      </w:r>
    </w:p>
    <w:p w14:paraId="2B562DF8" w14:textId="77777777" w:rsidR="004F244C" w:rsidRPr="00326B3B" w:rsidRDefault="004F244C" w:rsidP="00326B3B">
      <w:pPr>
        <w:spacing w:after="0"/>
        <w:rPr>
          <w:rFonts w:cs="Times New Roman"/>
          <w:lang w:eastAsia="zh-CN"/>
        </w:rPr>
      </w:pPr>
    </w:p>
    <w:p w14:paraId="242E57C4" w14:textId="77777777" w:rsidR="004F244C" w:rsidRPr="00326B3B" w:rsidRDefault="00000000" w:rsidP="00326B3B">
      <w:pPr>
        <w:spacing w:after="0"/>
        <w:jc w:val="both"/>
        <w:rPr>
          <w:rFonts w:cs="Times New Roman"/>
          <w:lang w:eastAsia="zh-CN"/>
        </w:rPr>
      </w:pPr>
      <w:r w:rsidRPr="00326B3B">
        <w:rPr>
          <w:rFonts w:eastAsia="SimSun" w:cs="Times New Roman"/>
          <w:lang w:eastAsia="zh-CN"/>
        </w:rPr>
        <w:t>本人同意浙江财经大学有关保留使用学位论文的规定，即：学校有权保留送交论文的复印件，允许论文被查阅和借阅；学校可以上网公布全部内容，可以采用影印、缩印或其他复制手段保存论文。</w:t>
      </w:r>
    </w:p>
    <w:p w14:paraId="20E9B76C" w14:textId="77777777" w:rsidR="004F244C" w:rsidRPr="00326B3B" w:rsidRDefault="00000000" w:rsidP="00326B3B">
      <w:pPr>
        <w:spacing w:after="0"/>
        <w:jc w:val="both"/>
        <w:rPr>
          <w:rFonts w:cs="Times New Roman"/>
        </w:rPr>
      </w:pPr>
      <w:proofErr w:type="spellStart"/>
      <w:r w:rsidRPr="00326B3B">
        <w:rPr>
          <w:rFonts w:eastAsia="SimSun" w:cs="Times New Roman"/>
        </w:rPr>
        <w:t>论文作者签名</w:t>
      </w:r>
      <w:proofErr w:type="spellEnd"/>
      <w:r w:rsidRPr="00326B3B">
        <w:rPr>
          <w:rFonts w:eastAsia="SimSun" w:cs="Times New Roman"/>
        </w:rPr>
        <w:t>(signature)</w:t>
      </w:r>
      <w:r w:rsidRPr="00326B3B">
        <w:rPr>
          <w:rFonts w:eastAsia="SimSun" w:cs="Times New Roman"/>
        </w:rPr>
        <w:t>：</w:t>
      </w:r>
      <w:r w:rsidRPr="00326B3B">
        <w:rPr>
          <w:rFonts w:eastAsia="SimSun" w:cs="Times New Roman"/>
        </w:rPr>
        <w:t xml:space="preserve">                 </w:t>
      </w:r>
      <w:r w:rsidRPr="00326B3B">
        <w:rPr>
          <w:rFonts w:eastAsia="SimSun" w:cs="Times New Roman"/>
        </w:rPr>
        <w:t>年</w:t>
      </w:r>
      <w:r w:rsidRPr="00326B3B">
        <w:rPr>
          <w:rFonts w:eastAsia="SimSun" w:cs="Times New Roman"/>
        </w:rPr>
        <w:t xml:space="preserve">   </w:t>
      </w:r>
      <w:r w:rsidRPr="00326B3B">
        <w:rPr>
          <w:rFonts w:eastAsia="SimSun" w:cs="Times New Roman"/>
        </w:rPr>
        <w:t>月</w:t>
      </w:r>
      <w:r w:rsidRPr="00326B3B">
        <w:rPr>
          <w:rFonts w:eastAsia="SimSun" w:cs="Times New Roman"/>
        </w:rPr>
        <w:t xml:space="preserve">   </w:t>
      </w:r>
      <w:r w:rsidRPr="00326B3B">
        <w:rPr>
          <w:rFonts w:eastAsia="SimSun" w:cs="Times New Roman"/>
        </w:rPr>
        <w:t>日</w:t>
      </w:r>
    </w:p>
    <w:p w14:paraId="412E6D12" w14:textId="77777777" w:rsidR="004F244C" w:rsidRPr="00326B3B" w:rsidRDefault="00000000" w:rsidP="00326B3B">
      <w:pPr>
        <w:spacing w:after="0"/>
        <w:jc w:val="both"/>
        <w:rPr>
          <w:rFonts w:cs="Times New Roman"/>
        </w:rPr>
      </w:pPr>
      <w:r w:rsidRPr="00326B3B">
        <w:rPr>
          <w:rFonts w:cs="Times New Roman"/>
        </w:rPr>
        <w:br w:type="page"/>
      </w:r>
    </w:p>
    <w:p w14:paraId="2D1B2647" w14:textId="77777777" w:rsidR="004F244C" w:rsidRPr="00326B3B" w:rsidRDefault="00000000" w:rsidP="00326B3B">
      <w:pPr>
        <w:spacing w:after="0"/>
        <w:jc w:val="center"/>
        <w:rPr>
          <w:rFonts w:cs="Times New Roman"/>
          <w:b/>
          <w:sz w:val="32"/>
        </w:rPr>
      </w:pPr>
      <w:r w:rsidRPr="00326B3B">
        <w:rPr>
          <w:rFonts w:cs="Times New Roman"/>
          <w:b/>
          <w:sz w:val="32"/>
        </w:rPr>
        <w:lastRenderedPageBreak/>
        <w:t>THE DIMINISHING MARGINAL RETURNS OF SOVEREIGN DEBT</w:t>
      </w:r>
    </w:p>
    <w:p w14:paraId="05984A5D" w14:textId="77777777" w:rsidR="004F244C" w:rsidRPr="00326B3B" w:rsidRDefault="00000000" w:rsidP="00326B3B">
      <w:pPr>
        <w:spacing w:after="0"/>
        <w:jc w:val="center"/>
        <w:rPr>
          <w:rFonts w:cs="Times New Roman"/>
          <w:sz w:val="28"/>
        </w:rPr>
      </w:pPr>
      <w:r w:rsidRPr="00326B3B">
        <w:rPr>
          <w:rFonts w:cs="Times New Roman"/>
          <w:sz w:val="28"/>
        </w:rPr>
        <w:t>--Dynamic Regimes and Elite Capture</w:t>
      </w:r>
    </w:p>
    <w:p w14:paraId="3E6979B9" w14:textId="77777777" w:rsidR="004F244C" w:rsidRPr="00326B3B" w:rsidRDefault="004F244C" w:rsidP="00326B3B">
      <w:pPr>
        <w:spacing w:after="0"/>
        <w:rPr>
          <w:rFonts w:cs="Times New Roman"/>
        </w:rPr>
      </w:pPr>
    </w:p>
    <w:p w14:paraId="6F6F80ED" w14:textId="77777777" w:rsidR="004F244C" w:rsidRPr="00326B3B" w:rsidRDefault="00000000" w:rsidP="00326B3B">
      <w:pPr>
        <w:spacing w:after="0"/>
        <w:rPr>
          <w:rFonts w:cs="Times New Roman"/>
        </w:rPr>
      </w:pPr>
      <w:r w:rsidRPr="00326B3B">
        <w:rPr>
          <w:rFonts w:cs="Times New Roman"/>
          <w:b/>
        </w:rPr>
        <w:t>Abstract:</w:t>
      </w:r>
      <w:r w:rsidRPr="00326B3B">
        <w:rPr>
          <w:rFonts w:cs="Times New Roman"/>
        </w:rPr>
        <w:t xml:space="preserve"> Over the past four decades, the global financial system has undergone a structural transformation in its reliance on sovereign borrowing. This thesis empirically tests the limits of debt efficiency and investigates the diminishing marginal returns of sovereign debt across differing institutional regimes. Utilizing dynamic panel data econometrics, including Arellano-Bond Difference GMM and Hansen’s Panel Threshold Regression, on a dataset of Advanced OECD and BRICS economies (1995–2022), the study identifies precise macroeconomic tipping points. The findings reveal that for BRICS nations, debt ceases to be stimulative and becomes a structural anchor at merely 22.73% of GDP, simultaneously triggering a mechanism for wealth concentration (Elite Capture). Advanced economies show a higher tolerance but are increasingly trapped in a high-leverage stagnation zone. The research concludes that the era of debt as a frictionless economic stimulus is over, necessitating structural policy innovations such as Sovereign Debt Management Authorities and Equity-Based Asset Recovery to mitigate the Cantillon Effect.</w:t>
      </w:r>
    </w:p>
    <w:p w14:paraId="23B1F252" w14:textId="77777777" w:rsidR="004F244C" w:rsidRPr="00326B3B" w:rsidRDefault="00000000" w:rsidP="00326B3B">
      <w:pPr>
        <w:spacing w:after="0"/>
        <w:rPr>
          <w:rFonts w:cs="Times New Roman"/>
          <w:i/>
        </w:rPr>
      </w:pPr>
      <w:r w:rsidRPr="00326B3B">
        <w:rPr>
          <w:rFonts w:cs="Times New Roman"/>
          <w:b/>
        </w:rPr>
        <w:t>Keywords:</w:t>
      </w:r>
      <w:r w:rsidRPr="00326B3B">
        <w:rPr>
          <w:rFonts w:cs="Times New Roman"/>
          <w:i/>
        </w:rPr>
        <w:t xml:space="preserve"> Sovereign debt; Elite capture ratio; Dynamic panel data; Macroeconomic stimulus; Cantillon Effect.</w:t>
      </w:r>
    </w:p>
    <w:p w14:paraId="7CA9EEC1" w14:textId="77777777" w:rsidR="004F244C" w:rsidRPr="00326B3B" w:rsidRDefault="00000000" w:rsidP="00326B3B">
      <w:pPr>
        <w:spacing w:after="0"/>
        <w:jc w:val="both"/>
        <w:rPr>
          <w:rFonts w:cs="Times New Roman"/>
        </w:rPr>
      </w:pPr>
      <w:r w:rsidRPr="00326B3B">
        <w:rPr>
          <w:rFonts w:cs="Times New Roman"/>
        </w:rPr>
        <w:br w:type="page"/>
      </w:r>
    </w:p>
    <w:p w14:paraId="1E396072" w14:textId="77777777" w:rsidR="004F244C" w:rsidRPr="00326B3B" w:rsidRDefault="00000000" w:rsidP="00326B3B">
      <w:pPr>
        <w:spacing w:after="0"/>
        <w:jc w:val="both"/>
        <w:rPr>
          <w:rFonts w:cs="Times New Roman"/>
          <w:lang w:eastAsia="zh-CN"/>
        </w:rPr>
      </w:pPr>
      <w:r w:rsidRPr="00326B3B">
        <w:rPr>
          <w:rFonts w:eastAsia="SimHei" w:cs="Times New Roman"/>
          <w:lang w:eastAsia="zh-CN"/>
        </w:rPr>
        <w:lastRenderedPageBreak/>
        <w:t>主权债务的边际收益递减</w:t>
      </w:r>
    </w:p>
    <w:p w14:paraId="1A35B255" w14:textId="77777777" w:rsidR="004F244C" w:rsidRPr="00326B3B" w:rsidRDefault="00000000" w:rsidP="00326B3B">
      <w:pPr>
        <w:spacing w:after="0"/>
        <w:jc w:val="center"/>
        <w:rPr>
          <w:rFonts w:cs="Times New Roman"/>
          <w:sz w:val="28"/>
          <w:lang w:eastAsia="zh-CN"/>
        </w:rPr>
      </w:pPr>
      <w:r w:rsidRPr="00326B3B">
        <w:rPr>
          <w:rFonts w:eastAsia="SimHei" w:cs="Times New Roman"/>
          <w:sz w:val="28"/>
          <w:lang w:eastAsia="zh-CN"/>
        </w:rPr>
        <w:t>--</w:t>
      </w:r>
      <w:r w:rsidRPr="00326B3B">
        <w:rPr>
          <w:rFonts w:eastAsia="SimHei" w:cs="Times New Roman"/>
          <w:sz w:val="28"/>
          <w:lang w:eastAsia="zh-CN"/>
        </w:rPr>
        <w:t>动态机制与精英俘获</w:t>
      </w:r>
    </w:p>
    <w:p w14:paraId="19073435" w14:textId="77777777" w:rsidR="004F244C" w:rsidRPr="00326B3B" w:rsidRDefault="004F244C" w:rsidP="00326B3B">
      <w:pPr>
        <w:spacing w:after="0"/>
        <w:rPr>
          <w:rFonts w:cs="Times New Roman"/>
          <w:lang w:eastAsia="zh-CN"/>
        </w:rPr>
      </w:pPr>
    </w:p>
    <w:p w14:paraId="446A9A1D" w14:textId="77777777" w:rsidR="004F244C" w:rsidRPr="00326B3B" w:rsidRDefault="00000000" w:rsidP="00326B3B">
      <w:pPr>
        <w:spacing w:after="0"/>
        <w:jc w:val="both"/>
        <w:rPr>
          <w:rFonts w:cs="Times New Roman"/>
          <w:lang w:eastAsia="zh-CN"/>
        </w:rPr>
      </w:pPr>
      <w:r w:rsidRPr="00326B3B">
        <w:rPr>
          <w:rFonts w:eastAsia="SimHei" w:cs="Times New Roman"/>
          <w:lang w:eastAsia="zh-CN"/>
        </w:rPr>
        <w:t>摘</w:t>
      </w:r>
      <w:r w:rsidRPr="00326B3B">
        <w:rPr>
          <w:rFonts w:eastAsia="SimHei" w:cs="Times New Roman"/>
          <w:lang w:eastAsia="zh-CN"/>
        </w:rPr>
        <w:t xml:space="preserve"> </w:t>
      </w:r>
      <w:r w:rsidRPr="00326B3B">
        <w:rPr>
          <w:rFonts w:eastAsia="SimHei" w:cs="Times New Roman"/>
          <w:lang w:eastAsia="zh-CN"/>
        </w:rPr>
        <w:t>要</w:t>
      </w:r>
      <w:r w:rsidRPr="00326B3B">
        <w:rPr>
          <w:rFonts w:eastAsia="SimHei" w:cs="Times New Roman"/>
          <w:lang w:eastAsia="zh-CN"/>
        </w:rPr>
        <w:t>(abstract)</w:t>
      </w:r>
      <w:r w:rsidRPr="00326B3B">
        <w:rPr>
          <w:rFonts w:eastAsia="SimHei" w:cs="Times New Roman"/>
          <w:lang w:eastAsia="zh-CN"/>
        </w:rPr>
        <w:t>：</w:t>
      </w:r>
      <w:r w:rsidRPr="00326B3B">
        <w:rPr>
          <w:rFonts w:eastAsia="SimSun" w:cs="Times New Roman"/>
          <w:lang w:eastAsia="zh-CN"/>
        </w:rPr>
        <w:t>在过去的四十年中，全球金融体系对主权借贷的依赖发生了结构性转变。本文对债务效率的极限进行了实证检验，并调查了不同制度体系下主权债务的边际收益递减情况。本文利用动态面板数据计量经济学方法，包括</w:t>
      </w:r>
      <w:r w:rsidRPr="00326B3B">
        <w:rPr>
          <w:rFonts w:eastAsia="SimSun" w:cs="Times New Roman"/>
          <w:lang w:eastAsia="zh-CN"/>
        </w:rPr>
        <w:t>Arellano-Bond</w:t>
      </w:r>
      <w:r w:rsidRPr="00326B3B">
        <w:rPr>
          <w:rFonts w:eastAsia="SimSun" w:cs="Times New Roman"/>
          <w:lang w:eastAsia="zh-CN"/>
        </w:rPr>
        <w:t>差分</w:t>
      </w:r>
      <w:r w:rsidRPr="00326B3B">
        <w:rPr>
          <w:rFonts w:eastAsia="SimSun" w:cs="Times New Roman"/>
          <w:lang w:eastAsia="zh-CN"/>
        </w:rPr>
        <w:t>GMM</w:t>
      </w:r>
      <w:r w:rsidRPr="00326B3B">
        <w:rPr>
          <w:rFonts w:eastAsia="SimSun" w:cs="Times New Roman"/>
          <w:lang w:eastAsia="zh-CN"/>
        </w:rPr>
        <w:t>和</w:t>
      </w:r>
      <w:r w:rsidRPr="00326B3B">
        <w:rPr>
          <w:rFonts w:eastAsia="SimSun" w:cs="Times New Roman"/>
          <w:lang w:eastAsia="zh-CN"/>
        </w:rPr>
        <w:t>Hansen</w:t>
      </w:r>
      <w:r w:rsidRPr="00326B3B">
        <w:rPr>
          <w:rFonts w:eastAsia="SimSun" w:cs="Times New Roman"/>
          <w:lang w:eastAsia="zh-CN"/>
        </w:rPr>
        <w:t>面板门槛回归，对发达</w:t>
      </w:r>
      <w:r w:rsidRPr="00326B3B">
        <w:rPr>
          <w:rFonts w:eastAsia="SimSun" w:cs="Times New Roman"/>
          <w:lang w:eastAsia="zh-CN"/>
        </w:rPr>
        <w:t>OECD</w:t>
      </w:r>
      <w:r w:rsidRPr="00326B3B">
        <w:rPr>
          <w:rFonts w:eastAsia="SimSun" w:cs="Times New Roman"/>
          <w:lang w:eastAsia="zh-CN"/>
        </w:rPr>
        <w:t>国家和金砖国家（</w:t>
      </w:r>
      <w:r w:rsidRPr="00326B3B">
        <w:rPr>
          <w:rFonts w:eastAsia="SimSun" w:cs="Times New Roman"/>
          <w:lang w:eastAsia="zh-CN"/>
        </w:rPr>
        <w:t>1995-2022</w:t>
      </w:r>
      <w:r w:rsidRPr="00326B3B">
        <w:rPr>
          <w:rFonts w:eastAsia="SimSun" w:cs="Times New Roman"/>
          <w:lang w:eastAsia="zh-CN"/>
        </w:rPr>
        <w:t>年）的数据集进行了分析，确定了精确的宏观经济临界点。研究结果表明，对于金砖国家而言，当债务达到</w:t>
      </w:r>
      <w:r w:rsidRPr="00326B3B">
        <w:rPr>
          <w:rFonts w:eastAsia="SimSun" w:cs="Times New Roman"/>
          <w:lang w:eastAsia="zh-CN"/>
        </w:rPr>
        <w:t>GDP</w:t>
      </w:r>
      <w:r w:rsidRPr="00326B3B">
        <w:rPr>
          <w:rFonts w:eastAsia="SimSun" w:cs="Times New Roman"/>
          <w:lang w:eastAsia="zh-CN"/>
        </w:rPr>
        <w:t>的</w:t>
      </w:r>
      <w:r w:rsidRPr="00326B3B">
        <w:rPr>
          <w:rFonts w:eastAsia="SimSun" w:cs="Times New Roman"/>
          <w:lang w:eastAsia="zh-CN"/>
        </w:rPr>
        <w:t>22.73%</w:t>
      </w:r>
      <w:r w:rsidRPr="00326B3B">
        <w:rPr>
          <w:rFonts w:eastAsia="SimSun" w:cs="Times New Roman"/>
          <w:lang w:eastAsia="zh-CN"/>
        </w:rPr>
        <w:t>时，其刺激作用就会停止，转而成为结构性负担，同时引发财富集中的机制（精英俘获）。发达经济体表现出更高的耐受性，但也日益陷入高杠杆停滞区。研究得出结论：债务作为无摩擦经济刺激工具的时代已经结束，需要进行结构性政策创新，如建立主权债务管理机构和基于股权的资产回收机制，以减轻坎蒂隆效应（</w:t>
      </w:r>
      <w:r w:rsidRPr="00326B3B">
        <w:rPr>
          <w:rFonts w:eastAsia="SimSun" w:cs="Times New Roman"/>
          <w:lang w:eastAsia="zh-CN"/>
        </w:rPr>
        <w:t>Cantillon Effect</w:t>
      </w:r>
      <w:r w:rsidRPr="00326B3B">
        <w:rPr>
          <w:rFonts w:eastAsia="SimSun" w:cs="Times New Roman"/>
          <w:lang w:eastAsia="zh-CN"/>
        </w:rPr>
        <w:t>）。</w:t>
      </w:r>
    </w:p>
    <w:p w14:paraId="48A7219A" w14:textId="77777777" w:rsidR="004F244C" w:rsidRPr="00326B3B" w:rsidRDefault="00000000" w:rsidP="00326B3B">
      <w:pPr>
        <w:spacing w:after="0"/>
        <w:jc w:val="both"/>
        <w:rPr>
          <w:rFonts w:cs="Times New Roman"/>
          <w:lang w:eastAsia="zh-CN"/>
        </w:rPr>
      </w:pPr>
      <w:r w:rsidRPr="00326B3B">
        <w:rPr>
          <w:rFonts w:eastAsia="SimHei" w:cs="Times New Roman"/>
          <w:lang w:eastAsia="zh-CN"/>
        </w:rPr>
        <w:t>关键词</w:t>
      </w:r>
      <w:r w:rsidRPr="00326B3B">
        <w:rPr>
          <w:rFonts w:eastAsia="SimHei" w:cs="Times New Roman"/>
          <w:lang w:eastAsia="zh-CN"/>
        </w:rPr>
        <w:t>(keywords)</w:t>
      </w:r>
      <w:r w:rsidRPr="00326B3B">
        <w:rPr>
          <w:rFonts w:eastAsia="SimHei" w:cs="Times New Roman"/>
          <w:lang w:eastAsia="zh-CN"/>
        </w:rPr>
        <w:t>：</w:t>
      </w:r>
      <w:r w:rsidRPr="00326B3B">
        <w:rPr>
          <w:rFonts w:eastAsia="SimSun" w:cs="Times New Roman"/>
          <w:lang w:eastAsia="zh-CN"/>
        </w:rPr>
        <w:t>主权债务；精英俘获率；动态面板数据；宏观经济刺激；坎蒂隆效应。</w:t>
      </w:r>
    </w:p>
    <w:p w14:paraId="4EC0ED55" w14:textId="77777777" w:rsidR="004F244C" w:rsidRPr="00326B3B" w:rsidRDefault="00000000" w:rsidP="00326B3B">
      <w:pPr>
        <w:spacing w:after="0"/>
        <w:jc w:val="both"/>
        <w:rPr>
          <w:rFonts w:cs="Times New Roman"/>
          <w:lang w:eastAsia="zh-CN"/>
        </w:rPr>
      </w:pPr>
      <w:r w:rsidRPr="00326B3B">
        <w:rPr>
          <w:rFonts w:cs="Times New Roman"/>
          <w:lang w:eastAsia="zh-CN"/>
        </w:rPr>
        <w:br w:type="page"/>
      </w:r>
    </w:p>
    <w:p w14:paraId="5A5DAE4B" w14:textId="77777777" w:rsidR="004F244C" w:rsidRPr="00326B3B" w:rsidRDefault="00000000" w:rsidP="00326B3B">
      <w:pPr>
        <w:spacing w:after="0"/>
        <w:jc w:val="center"/>
        <w:rPr>
          <w:rFonts w:cs="Times New Roman"/>
          <w:b/>
          <w:sz w:val="36"/>
        </w:rPr>
      </w:pPr>
      <w:r w:rsidRPr="00326B3B">
        <w:rPr>
          <w:rFonts w:cs="Times New Roman"/>
          <w:b/>
          <w:sz w:val="36"/>
        </w:rPr>
        <w:lastRenderedPageBreak/>
        <w:t>Contents</w:t>
      </w:r>
    </w:p>
    <w:p w14:paraId="56F459F9" w14:textId="77777777" w:rsidR="004F244C" w:rsidRPr="00326B3B" w:rsidRDefault="00000000" w:rsidP="00326B3B">
      <w:pPr>
        <w:pStyle w:val="TOC1"/>
        <w:tabs>
          <w:tab w:val="right" w:leader="dot" w:pos="9070"/>
        </w:tabs>
        <w:snapToGrid w:val="0"/>
        <w:spacing w:line="400" w:lineRule="exact"/>
        <w:jc w:val="left"/>
        <w:rPr>
          <w:b/>
          <w:sz w:val="28"/>
          <w:szCs w:val="44"/>
        </w:rPr>
      </w:pPr>
      <w:r w:rsidRPr="00326B3B">
        <w:rPr>
          <w:b/>
          <w:sz w:val="28"/>
          <w:szCs w:val="44"/>
        </w:rPr>
        <w:t>1. Introduction</w:t>
      </w:r>
    </w:p>
    <w:p w14:paraId="772C806B"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1.1 Background and Practical Motivation</w:t>
      </w:r>
    </w:p>
    <w:p w14:paraId="01477658"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1.2 Problem Statement: The Diminishing Marginal Returns of Debt</w:t>
      </w:r>
    </w:p>
    <w:p w14:paraId="2D93CFFB"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1.3 Research Objectives and Questions</w:t>
      </w:r>
    </w:p>
    <w:p w14:paraId="1A9EAB00"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1.4 Academic and Practical Significance</w:t>
      </w:r>
    </w:p>
    <w:p w14:paraId="5412E3AC"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1.5 Structure of the Thesis</w:t>
      </w:r>
    </w:p>
    <w:p w14:paraId="73B5164F" w14:textId="77777777" w:rsidR="004F244C" w:rsidRPr="00326B3B" w:rsidRDefault="00000000" w:rsidP="00326B3B">
      <w:pPr>
        <w:pStyle w:val="TOC1"/>
        <w:tabs>
          <w:tab w:val="right" w:leader="dot" w:pos="9070"/>
        </w:tabs>
        <w:snapToGrid w:val="0"/>
        <w:spacing w:line="400" w:lineRule="exact"/>
        <w:jc w:val="left"/>
        <w:rPr>
          <w:b/>
          <w:sz w:val="28"/>
          <w:szCs w:val="44"/>
        </w:rPr>
      </w:pPr>
      <w:r w:rsidRPr="00326B3B">
        <w:rPr>
          <w:b/>
          <w:sz w:val="28"/>
          <w:szCs w:val="44"/>
        </w:rPr>
        <w:t>2. The Current Situation: The Age of Hyper-Leverage</w:t>
      </w:r>
    </w:p>
    <w:p w14:paraId="0525CE9D"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2.1 The Great Debt Divergence: Post-2008 Realities</w:t>
      </w:r>
    </w:p>
    <w:p w14:paraId="1673FE88"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2.2 The Polycrisis and the Cost of Solutions</w:t>
      </w:r>
    </w:p>
    <w:p w14:paraId="7AF8624C"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2.3 The Vanishing Window: Interest and Sovereignty Risks</w:t>
      </w:r>
    </w:p>
    <w:p w14:paraId="25DFF4F9"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2.4 The Mystification of Debt Narratives</w:t>
      </w:r>
    </w:p>
    <w:p w14:paraId="1BC5B592" w14:textId="77777777" w:rsidR="004F244C" w:rsidRPr="00326B3B" w:rsidRDefault="00000000" w:rsidP="00326B3B">
      <w:pPr>
        <w:pStyle w:val="TOC1"/>
        <w:tabs>
          <w:tab w:val="right" w:leader="dot" w:pos="9070"/>
        </w:tabs>
        <w:snapToGrid w:val="0"/>
        <w:spacing w:line="400" w:lineRule="exact"/>
        <w:jc w:val="left"/>
        <w:rPr>
          <w:b/>
          <w:sz w:val="28"/>
          <w:szCs w:val="44"/>
        </w:rPr>
      </w:pPr>
      <w:r w:rsidRPr="00326B3B">
        <w:rPr>
          <w:b/>
          <w:sz w:val="28"/>
          <w:szCs w:val="44"/>
        </w:rPr>
        <w:t>3. Data and Methodology</w:t>
      </w:r>
    </w:p>
    <w:p w14:paraId="0AD375F6"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3.1 Methodological Philosophy: A Pragmatic Step Toward Rigor</w:t>
      </w:r>
    </w:p>
    <w:p w14:paraId="6D6122A0"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3.2 Data Sources and Variable Construction</w:t>
      </w:r>
    </w:p>
    <w:p w14:paraId="427A402C"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3.3 Computational Framework: Python for Econometrics</w:t>
      </w:r>
    </w:p>
    <w:p w14:paraId="66FCAEF9"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3.4 Diagnostic Pipeline: Stationarity and Specification</w:t>
      </w:r>
    </w:p>
    <w:p w14:paraId="06D1823E"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3.5 Addressing Endogeneity: Difference GMM</w:t>
      </w:r>
    </w:p>
    <w:p w14:paraId="2E7E3AB3"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3.6 Endogenous Regime Shifts: The 3σ Approach</w:t>
      </w:r>
    </w:p>
    <w:p w14:paraId="3B9EA504" w14:textId="77777777" w:rsidR="004F244C" w:rsidRPr="00326B3B" w:rsidRDefault="00000000" w:rsidP="00326B3B">
      <w:pPr>
        <w:pStyle w:val="TOC1"/>
        <w:tabs>
          <w:tab w:val="right" w:leader="dot" w:pos="9070"/>
        </w:tabs>
        <w:snapToGrid w:val="0"/>
        <w:spacing w:line="400" w:lineRule="exact"/>
        <w:jc w:val="left"/>
        <w:rPr>
          <w:b/>
          <w:sz w:val="28"/>
          <w:szCs w:val="44"/>
        </w:rPr>
      </w:pPr>
      <w:r w:rsidRPr="00326B3B">
        <w:rPr>
          <w:b/>
          <w:sz w:val="28"/>
          <w:szCs w:val="44"/>
        </w:rPr>
        <w:t>4. The Empirical Results</w:t>
      </w:r>
    </w:p>
    <w:p w14:paraId="502D68F0"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4.1 Descriptive Statistics and Stationarity Analysis</w:t>
      </w:r>
    </w:p>
    <w:p w14:paraId="791F9AE6"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4.2 Baseline Panel Regressions: Fixed vs. Random Effects</w:t>
      </w:r>
    </w:p>
    <w:p w14:paraId="4C864FFB"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4.3 Causal Inference: Addressing Endogeneity via Difference GMM</w:t>
      </w:r>
    </w:p>
    <w:p w14:paraId="57B735B6"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4.4 Identifying the Tipping Points: Panel Threshold Regression</w:t>
      </w:r>
    </w:p>
    <w:p w14:paraId="2A9465AE"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4.5 Dynamic Regime Windows and Exposure Analysis</w:t>
      </w:r>
    </w:p>
    <w:p w14:paraId="1A0D8088" w14:textId="77777777" w:rsidR="004F244C" w:rsidRPr="00326B3B" w:rsidRDefault="00000000" w:rsidP="00326B3B">
      <w:pPr>
        <w:pStyle w:val="TOC1"/>
        <w:tabs>
          <w:tab w:val="right" w:leader="dot" w:pos="9070"/>
        </w:tabs>
        <w:snapToGrid w:val="0"/>
        <w:spacing w:line="400" w:lineRule="exact"/>
        <w:jc w:val="left"/>
        <w:rPr>
          <w:b/>
          <w:sz w:val="28"/>
          <w:szCs w:val="44"/>
        </w:rPr>
      </w:pPr>
      <w:r w:rsidRPr="00326B3B">
        <w:rPr>
          <w:b/>
          <w:sz w:val="28"/>
          <w:szCs w:val="44"/>
        </w:rPr>
        <w:t>5. Conclusion and Policy Implications</w:t>
      </w:r>
    </w:p>
    <w:p w14:paraId="13089D5A"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5.1 Synthesis of the Research</w:t>
      </w:r>
    </w:p>
    <w:p w14:paraId="4C894529"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5.2 Structural Policy Recommendations</w:t>
      </w:r>
    </w:p>
    <w:p w14:paraId="492F09F7"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5.3 Global Trade and New Capital Allocators</w:t>
      </w:r>
    </w:p>
    <w:p w14:paraId="2C9E1AEE"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5.4 Directions for Further Research: Toward Debt Studies</w:t>
      </w:r>
    </w:p>
    <w:p w14:paraId="487BD9E7" w14:textId="77777777" w:rsidR="004F244C" w:rsidRPr="00326B3B" w:rsidRDefault="00000000" w:rsidP="00326B3B">
      <w:pPr>
        <w:pStyle w:val="TOC1"/>
        <w:tabs>
          <w:tab w:val="right" w:leader="dot" w:pos="9070"/>
        </w:tabs>
        <w:snapToGrid w:val="0"/>
        <w:spacing w:line="400" w:lineRule="exact"/>
        <w:jc w:val="left"/>
        <w:rPr>
          <w:b/>
          <w:sz w:val="28"/>
          <w:szCs w:val="44"/>
        </w:rPr>
      </w:pPr>
      <w:r w:rsidRPr="00326B3B">
        <w:rPr>
          <w:b/>
          <w:sz w:val="28"/>
          <w:szCs w:val="44"/>
        </w:rPr>
        <w:t>6. Unanswered Questions and the Debt Studies Roadmap</w:t>
      </w:r>
    </w:p>
    <w:p w14:paraId="52634AA8"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6.1 The Quest for Real-Time Multiplier Measurement</w:t>
      </w:r>
    </w:p>
    <w:p w14:paraId="463403C5"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lastRenderedPageBreak/>
        <w:t xml:space="preserve">  6.2 Mapping the Cantillon Tree: From 0th to Nth Beneficiaries</w:t>
      </w:r>
    </w:p>
    <w:p w14:paraId="54817641"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6.3 Creative Destruction vs. Zombie Survival</w:t>
      </w:r>
    </w:p>
    <w:p w14:paraId="05A285B7"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6.4 Establishing Debt Studies as a Standalone Field</w:t>
      </w:r>
    </w:p>
    <w:p w14:paraId="46F078C0" w14:textId="77777777" w:rsidR="004F244C" w:rsidRPr="00326B3B" w:rsidRDefault="00000000" w:rsidP="00326B3B">
      <w:pPr>
        <w:pStyle w:val="TOC1"/>
        <w:tabs>
          <w:tab w:val="right" w:leader="dot" w:pos="9070"/>
        </w:tabs>
        <w:snapToGrid w:val="0"/>
        <w:spacing w:line="400" w:lineRule="exact"/>
        <w:jc w:val="left"/>
        <w:rPr>
          <w:b/>
          <w:sz w:val="28"/>
          <w:szCs w:val="44"/>
        </w:rPr>
      </w:pPr>
      <w:r w:rsidRPr="00326B3B">
        <w:rPr>
          <w:b/>
          <w:sz w:val="28"/>
          <w:szCs w:val="44"/>
        </w:rPr>
        <w:t>7. The Role of Artificial Intelligence in Economic Research</w:t>
      </w:r>
    </w:p>
    <w:p w14:paraId="12552B3B"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7.1 From Spreadsheet Constraints to AI-Driven Python</w:t>
      </w:r>
    </w:p>
    <w:p w14:paraId="686822DD"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7.2 The Vibecoding Methodology</w:t>
      </w:r>
    </w:p>
    <w:p w14:paraId="7E0E6D78"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7.3 The Academic Paradox: Productivity vs. Integrity</w:t>
      </w:r>
    </w:p>
    <w:p w14:paraId="0A8A9819" w14:textId="77777777" w:rsidR="004F244C" w:rsidRPr="00326B3B" w:rsidRDefault="00000000" w:rsidP="00326B3B">
      <w:pPr>
        <w:pStyle w:val="TOC1"/>
        <w:tabs>
          <w:tab w:val="right" w:leader="dot" w:pos="9070"/>
        </w:tabs>
        <w:snapToGrid w:val="0"/>
        <w:spacing w:line="400" w:lineRule="exact"/>
        <w:jc w:val="left"/>
        <w:rPr>
          <w:b/>
          <w:sz w:val="24"/>
          <w:szCs w:val="44"/>
        </w:rPr>
      </w:pPr>
      <w:r w:rsidRPr="00326B3B">
        <w:rPr>
          <w:b/>
          <w:sz w:val="24"/>
          <w:szCs w:val="44"/>
        </w:rPr>
        <w:t xml:space="preserve">  7.4 Self-Citation: AI and the Transformation of Labor</w:t>
      </w:r>
    </w:p>
    <w:p w14:paraId="01F9A22B" w14:textId="77777777" w:rsidR="004F244C" w:rsidRPr="00326B3B" w:rsidRDefault="00000000" w:rsidP="00326B3B">
      <w:pPr>
        <w:pStyle w:val="TOC1"/>
        <w:tabs>
          <w:tab w:val="right" w:leader="dot" w:pos="9070"/>
        </w:tabs>
        <w:snapToGrid w:val="0"/>
        <w:spacing w:line="400" w:lineRule="exact"/>
        <w:rPr>
          <w:sz w:val="24"/>
          <w:szCs w:val="44"/>
        </w:rPr>
      </w:pPr>
      <w:r w:rsidRPr="00326B3B">
        <w:rPr>
          <w:sz w:val="24"/>
          <w:szCs w:val="44"/>
        </w:rPr>
        <w:t>References</w:t>
      </w:r>
    </w:p>
    <w:p w14:paraId="60CF101B" w14:textId="77777777" w:rsidR="004F244C" w:rsidRPr="00326B3B" w:rsidRDefault="00000000" w:rsidP="00326B3B">
      <w:pPr>
        <w:pStyle w:val="TOC1"/>
        <w:tabs>
          <w:tab w:val="right" w:leader="dot" w:pos="9070"/>
        </w:tabs>
        <w:snapToGrid w:val="0"/>
        <w:spacing w:line="400" w:lineRule="exact"/>
        <w:rPr>
          <w:sz w:val="24"/>
          <w:szCs w:val="44"/>
        </w:rPr>
      </w:pPr>
      <w:r w:rsidRPr="00326B3B">
        <w:rPr>
          <w:sz w:val="24"/>
          <w:szCs w:val="44"/>
        </w:rPr>
        <w:t>Acknowledgements</w:t>
      </w:r>
    </w:p>
    <w:p w14:paraId="02A9B667" w14:textId="77777777" w:rsidR="004F244C" w:rsidRPr="00326B3B" w:rsidRDefault="00000000" w:rsidP="00326B3B">
      <w:pPr>
        <w:spacing w:after="0"/>
        <w:jc w:val="both"/>
        <w:rPr>
          <w:rFonts w:cs="Times New Roman"/>
        </w:rPr>
      </w:pPr>
      <w:r w:rsidRPr="00326B3B">
        <w:rPr>
          <w:rFonts w:cs="Times New Roman"/>
        </w:rPr>
        <w:br w:type="page"/>
      </w:r>
    </w:p>
    <w:p w14:paraId="43C748B0" w14:textId="77777777" w:rsidR="004F244C" w:rsidRPr="00326B3B" w:rsidRDefault="00000000" w:rsidP="00326B3B">
      <w:pPr>
        <w:spacing w:after="0"/>
        <w:rPr>
          <w:rFonts w:cs="Times New Roman"/>
          <w:b/>
          <w:sz w:val="28"/>
        </w:rPr>
      </w:pPr>
      <w:r w:rsidRPr="00326B3B">
        <w:rPr>
          <w:rFonts w:eastAsia="SimSun" w:cs="Times New Roman"/>
          <w:b/>
          <w:kern w:val="2"/>
          <w:sz w:val="28"/>
          <w:szCs w:val="28"/>
          <w:lang w:eastAsia="zh-CN"/>
        </w:rPr>
        <w:lastRenderedPageBreak/>
        <w:t>1. Introduction</w:t>
      </w:r>
    </w:p>
    <w:p w14:paraId="4F3C556A" w14:textId="77777777" w:rsidR="004F244C" w:rsidRPr="00326B3B" w:rsidRDefault="00000000" w:rsidP="00326B3B">
      <w:pPr>
        <w:spacing w:after="0"/>
        <w:rPr>
          <w:rFonts w:cs="Times New Roman"/>
          <w:b/>
        </w:rPr>
      </w:pPr>
      <w:r w:rsidRPr="00326B3B">
        <w:rPr>
          <w:rFonts w:cs="Times New Roman"/>
          <w:b/>
        </w:rPr>
        <w:t>1.1 Background and Practical Motivation</w:t>
      </w:r>
    </w:p>
    <w:p w14:paraId="58A5AD4E" w14:textId="77777777" w:rsidR="004F244C" w:rsidRPr="00326B3B" w:rsidRDefault="00000000" w:rsidP="00326B3B">
      <w:pPr>
        <w:spacing w:after="0"/>
        <w:jc w:val="both"/>
        <w:rPr>
          <w:rFonts w:eastAsia="SimSun" w:cs="Times New Roman"/>
          <w:kern w:val="2"/>
          <w:szCs w:val="24"/>
          <w:lang w:eastAsia="zh-CN"/>
        </w:rPr>
      </w:pPr>
      <w:r w:rsidRPr="00326B3B">
        <w:rPr>
          <w:rFonts w:eastAsia="SimSun" w:cs="Times New Roman"/>
          <w:kern w:val="2"/>
          <w:szCs w:val="24"/>
          <w:lang w:eastAsia="zh-CN"/>
        </w:rPr>
        <w:t>Over the past four decades, the global financial system has undergone a structural transformation in its reliance on sovereign borrowing.</w:t>
      </w:r>
    </w:p>
    <w:p w14:paraId="66F67575" w14:textId="77777777" w:rsidR="004F244C" w:rsidRPr="00326B3B" w:rsidRDefault="00000000" w:rsidP="00326B3B">
      <w:pPr>
        <w:spacing w:after="0"/>
        <w:jc w:val="both"/>
        <w:rPr>
          <w:rFonts w:eastAsia="SimSun" w:cs="Times New Roman"/>
          <w:kern w:val="2"/>
          <w:szCs w:val="24"/>
          <w:lang w:eastAsia="zh-CN"/>
        </w:rPr>
      </w:pPr>
      <w:r w:rsidRPr="00326B3B">
        <w:rPr>
          <w:rFonts w:eastAsia="SimSun" w:cs="Times New Roman"/>
          <w:kern w:val="2"/>
          <w:szCs w:val="24"/>
          <w:lang w:eastAsia="zh-CN"/>
        </w:rPr>
        <w:t>Historically treated as an emergency mechanism for wartime financing or bridging severe recessionary gaps, government debt has evolved into a permanent fixture of modern economic policy.</w:t>
      </w:r>
    </w:p>
    <w:p w14:paraId="1804E777" w14:textId="77777777" w:rsidR="004F244C" w:rsidRPr="00326B3B" w:rsidRDefault="00000000" w:rsidP="00326B3B">
      <w:pPr>
        <w:spacing w:after="0"/>
        <w:jc w:val="both"/>
        <w:rPr>
          <w:rFonts w:eastAsia="SimSun" w:cs="Times New Roman"/>
          <w:kern w:val="2"/>
          <w:szCs w:val="24"/>
          <w:lang w:eastAsia="zh-CN"/>
        </w:rPr>
      </w:pPr>
      <w:r w:rsidRPr="00326B3B">
        <w:rPr>
          <w:rFonts w:eastAsia="SimSun" w:cs="Times New Roman"/>
          <w:kern w:val="2"/>
          <w:szCs w:val="24"/>
          <w:lang w:eastAsia="zh-CN"/>
        </w:rPr>
        <w:t>This shift is particularly evident in the highly interconnected realm of international economics and trade, where sovereign debt is no longer a localized fiscal issue.</w:t>
      </w:r>
    </w:p>
    <w:p w14:paraId="0F309188" w14:textId="77777777" w:rsidR="004F244C" w:rsidRPr="00326B3B" w:rsidRDefault="00000000" w:rsidP="00326B3B">
      <w:pPr>
        <w:spacing w:after="0"/>
        <w:jc w:val="both"/>
        <w:rPr>
          <w:rFonts w:eastAsia="SimSun" w:cs="Times New Roman"/>
          <w:kern w:val="2"/>
          <w:szCs w:val="24"/>
          <w:lang w:eastAsia="zh-CN"/>
        </w:rPr>
      </w:pPr>
      <w:r w:rsidRPr="00326B3B">
        <w:rPr>
          <w:rFonts w:eastAsia="SimSun" w:cs="Times New Roman"/>
          <w:kern w:val="2"/>
          <w:szCs w:val="24"/>
          <w:lang w:eastAsia="zh-CN"/>
        </w:rPr>
        <w:t>Today, a nation's debt burden is a primary determinant of its sovereign risk premium, its currency valuation, and consequently, its international trade competitiveness and cross-border capital flows (Krugman, 1988).</w:t>
      </w:r>
    </w:p>
    <w:p w14:paraId="554BC4F4" w14:textId="77777777" w:rsidR="004F244C" w:rsidRPr="00326B3B" w:rsidRDefault="00000000" w:rsidP="00326B3B">
      <w:pPr>
        <w:spacing w:after="0"/>
        <w:jc w:val="both"/>
        <w:rPr>
          <w:rFonts w:eastAsia="SimSun" w:cs="Times New Roman"/>
          <w:kern w:val="2"/>
          <w:szCs w:val="24"/>
          <w:lang w:eastAsia="zh-CN"/>
        </w:rPr>
      </w:pPr>
      <w:r w:rsidRPr="00326B3B">
        <w:rPr>
          <w:rFonts w:eastAsia="SimSun" w:cs="Times New Roman"/>
          <w:kern w:val="2"/>
          <w:szCs w:val="24"/>
          <w:lang w:eastAsia="zh-CN"/>
        </w:rPr>
        <w:t>The practical motivation for this study stems from contemporary observations of global asset management and central banking dynamics.</w:t>
      </w:r>
    </w:p>
    <w:p w14:paraId="56CFA778" w14:textId="77777777" w:rsidR="004F244C" w:rsidRPr="00326B3B" w:rsidRDefault="00000000" w:rsidP="00326B3B">
      <w:pPr>
        <w:spacing w:after="0"/>
        <w:jc w:val="both"/>
        <w:rPr>
          <w:rFonts w:eastAsia="SimSun" w:cs="Times New Roman"/>
          <w:kern w:val="2"/>
          <w:szCs w:val="24"/>
          <w:lang w:eastAsia="zh-CN"/>
        </w:rPr>
      </w:pPr>
      <w:r w:rsidRPr="00326B3B">
        <w:rPr>
          <w:rFonts w:eastAsia="SimSun" w:cs="Times New Roman"/>
          <w:kern w:val="2"/>
          <w:szCs w:val="24"/>
          <w:lang w:eastAsia="zh-CN"/>
        </w:rPr>
        <w:t>Modern central banks, most notably the United States Federal Reserve, are increasingly trapped in a macroeconomic trilemma.</w:t>
      </w:r>
    </w:p>
    <w:p w14:paraId="775896D5" w14:textId="77777777" w:rsidR="004F244C" w:rsidRPr="00326B3B" w:rsidRDefault="00000000" w:rsidP="00326B3B">
      <w:pPr>
        <w:spacing w:after="0"/>
        <w:jc w:val="both"/>
        <w:rPr>
          <w:rFonts w:eastAsia="SimSun" w:cs="Times New Roman"/>
          <w:kern w:val="2"/>
          <w:szCs w:val="24"/>
          <w:lang w:eastAsia="zh-CN"/>
        </w:rPr>
      </w:pPr>
      <w:r w:rsidRPr="00326B3B">
        <w:rPr>
          <w:rFonts w:eastAsia="SimSun" w:cs="Times New Roman"/>
          <w:kern w:val="2"/>
          <w:szCs w:val="24"/>
          <w:lang w:eastAsia="zh-CN"/>
        </w:rPr>
        <w:t>They are tasked with a multi-pronged mandate: stimulating the real economy (maximizing employment), curbing inflation to protect purchasing power, and keeping long-term interest rates moderate to prevent the cost of servicing existing debt from choking out economic growth.</w:t>
      </w:r>
    </w:p>
    <w:p w14:paraId="1C9F6D55" w14:textId="77777777" w:rsidR="004F244C" w:rsidRPr="00326B3B" w:rsidRDefault="00000000" w:rsidP="00326B3B">
      <w:pPr>
        <w:spacing w:after="0"/>
        <w:jc w:val="both"/>
        <w:rPr>
          <w:rFonts w:eastAsia="SimSun" w:cs="Times New Roman"/>
          <w:kern w:val="2"/>
          <w:szCs w:val="24"/>
          <w:lang w:eastAsia="zh-CN"/>
        </w:rPr>
      </w:pPr>
      <w:r w:rsidRPr="00326B3B">
        <w:rPr>
          <w:rFonts w:eastAsia="SimSun" w:cs="Times New Roman"/>
          <w:kern w:val="2"/>
          <w:szCs w:val="24"/>
          <w:lang w:eastAsia="zh-CN"/>
        </w:rPr>
        <w:t>Managing this "impossible trinity" has become exceedingly difficult in an era of hyper-leverage.</w:t>
      </w:r>
    </w:p>
    <w:p w14:paraId="2B320469" w14:textId="77777777" w:rsidR="004F244C" w:rsidRPr="00326B3B" w:rsidRDefault="00000000" w:rsidP="00326B3B">
      <w:pPr>
        <w:spacing w:after="0"/>
        <w:jc w:val="both"/>
        <w:rPr>
          <w:rFonts w:cs="Times New Roman"/>
        </w:rPr>
      </w:pPr>
      <w:r w:rsidRPr="00326B3B">
        <w:rPr>
          <w:rFonts w:eastAsia="SimSun" w:cs="Times New Roman"/>
          <w:kern w:val="2"/>
          <w:szCs w:val="24"/>
          <w:lang w:eastAsia="zh-CN"/>
        </w:rPr>
        <w:t>If central banks utilize debt-driven monetary tools excessively in a narrowing economic window, it risks destabilizing trust in fiat currencies, triggering dual-sided inflation driven simultaneously by flat price increases and falling purchasing power</w:t>
      </w:r>
      <w:r w:rsidRPr="00326B3B">
        <w:rPr>
          <w:rFonts w:cs="Times New Roman"/>
        </w:rPr>
        <w:t>.</w:t>
      </w:r>
    </w:p>
    <w:p w14:paraId="38E00244" w14:textId="77777777" w:rsidR="004F244C" w:rsidRPr="00326B3B" w:rsidRDefault="00000000" w:rsidP="00326B3B">
      <w:pPr>
        <w:spacing w:after="0"/>
        <w:jc w:val="both"/>
        <w:rPr>
          <w:rFonts w:cs="Times New Roman"/>
        </w:rPr>
      </w:pPr>
      <w:r w:rsidRPr="00326B3B">
        <w:rPr>
          <w:rFonts w:cs="Times New Roman"/>
        </w:rPr>
        <w:t>It has become increasingly apparent that global economies cannot be sustainably kept alive on credit indefinitely, yet traditional fiscal frameworks offer few alternative instruments.</w:t>
      </w:r>
    </w:p>
    <w:p w14:paraId="04C3C78B" w14:textId="77777777" w:rsidR="004F244C" w:rsidRPr="00326B3B" w:rsidRDefault="00000000" w:rsidP="00326B3B">
      <w:pPr>
        <w:spacing w:after="0"/>
        <w:rPr>
          <w:rFonts w:cs="Times New Roman"/>
          <w:b/>
        </w:rPr>
      </w:pPr>
      <w:r w:rsidRPr="00326B3B">
        <w:rPr>
          <w:rFonts w:cs="Times New Roman"/>
          <w:b/>
        </w:rPr>
        <w:t>1.2 Problem Statement: The Diminishing Marginal Returns of Debt</w:t>
      </w:r>
    </w:p>
    <w:p w14:paraId="65CAD4FE" w14:textId="77777777" w:rsidR="004F244C" w:rsidRPr="00326B3B" w:rsidRDefault="00000000" w:rsidP="00326B3B">
      <w:pPr>
        <w:spacing w:after="0"/>
        <w:jc w:val="both"/>
        <w:rPr>
          <w:rFonts w:cs="Times New Roman"/>
        </w:rPr>
      </w:pPr>
      <w:r w:rsidRPr="00326B3B">
        <w:rPr>
          <w:rFonts w:cs="Times New Roman"/>
        </w:rPr>
        <w:t>The core problem addressed in this thesis is the theoretical fragmentation surrounding the efficiency of debt as an economic stimulus.</w:t>
      </w:r>
    </w:p>
    <w:p w14:paraId="315A08A3" w14:textId="77777777" w:rsidR="004F244C" w:rsidRPr="00326B3B" w:rsidRDefault="00000000" w:rsidP="00326B3B">
      <w:pPr>
        <w:spacing w:after="0"/>
        <w:jc w:val="both"/>
        <w:rPr>
          <w:rFonts w:cs="Times New Roman"/>
        </w:rPr>
      </w:pPr>
      <w:r w:rsidRPr="00326B3B">
        <w:rPr>
          <w:rFonts w:cs="Times New Roman"/>
        </w:rPr>
        <w:lastRenderedPageBreak/>
        <w:t>Modern economic policy is caught in a profound ideological mess, built upon a fragile compromise between conflicting economic schools of thought:</w:t>
      </w:r>
    </w:p>
    <w:p w14:paraId="660A326C" w14:textId="77777777" w:rsidR="004F244C" w:rsidRPr="00326B3B" w:rsidRDefault="00000000" w:rsidP="00326B3B">
      <w:pPr>
        <w:spacing w:after="0"/>
        <w:jc w:val="both"/>
        <w:rPr>
          <w:rFonts w:cs="Times New Roman"/>
        </w:rPr>
      </w:pPr>
      <w:r w:rsidRPr="00326B3B">
        <w:rPr>
          <w:rFonts w:cs="Times New Roman"/>
        </w:rPr>
        <w:t>The Keynesian Paradigm:  Advocates for counter-cyclical deficit spending to stimulate aggregate demand, operating on the assumption that the multiplier effect of borrowed capital will outpace the cost of the debt itself (Keynes, 1936).</w:t>
      </w:r>
    </w:p>
    <w:p w14:paraId="303D57F0" w14:textId="77777777" w:rsidR="004F244C" w:rsidRPr="00326B3B" w:rsidRDefault="00000000" w:rsidP="00326B3B">
      <w:pPr>
        <w:spacing w:after="0"/>
        <w:jc w:val="both"/>
        <w:rPr>
          <w:rFonts w:cs="Times New Roman"/>
        </w:rPr>
      </w:pPr>
      <w:r w:rsidRPr="00326B3B">
        <w:rPr>
          <w:rFonts w:cs="Times New Roman"/>
        </w:rPr>
        <w:t>Classical and Monetarist Orthodoxy:  Argues for tight monetary policy and fiscal restraint, positing that excessive debt crowds out private investment and destabilizes long-term economic stability (Friedman, 1968).</w:t>
      </w:r>
    </w:p>
    <w:p w14:paraId="3C6371F2" w14:textId="77777777" w:rsidR="004F244C" w:rsidRPr="00326B3B" w:rsidRDefault="00000000" w:rsidP="00326B3B">
      <w:pPr>
        <w:spacing w:after="0"/>
        <w:jc w:val="both"/>
        <w:rPr>
          <w:rFonts w:cs="Times New Roman"/>
        </w:rPr>
      </w:pPr>
      <w:r w:rsidRPr="00326B3B">
        <w:rPr>
          <w:rFonts w:cs="Times New Roman"/>
        </w:rPr>
        <w:t>Neoliberal and Institutional Synthesis:  Suggests that debt can be a highly effective growth tool, but only if capital is cheap and accompanied by structural and institutional market easing.</w:t>
      </w:r>
    </w:p>
    <w:p w14:paraId="4E172FFF" w14:textId="77777777" w:rsidR="004F244C" w:rsidRPr="00326B3B" w:rsidRDefault="00000000" w:rsidP="00326B3B">
      <w:pPr>
        <w:spacing w:after="0"/>
        <w:jc w:val="both"/>
        <w:rPr>
          <w:rFonts w:cs="Times New Roman"/>
        </w:rPr>
      </w:pPr>
      <w:r w:rsidRPr="00326B3B">
        <w:rPr>
          <w:rFonts w:cs="Times New Roman"/>
        </w:rPr>
        <w:t>The Modern Distributive Critique:  Recently, left-leaning economists have introduced a critical new dimension to the debate, arguing that debt is the primary engine of modern wealth concentration.</w:t>
      </w:r>
    </w:p>
    <w:p w14:paraId="6A9936BB" w14:textId="77777777" w:rsidR="004F244C" w:rsidRPr="00326B3B" w:rsidRDefault="00000000" w:rsidP="00326B3B">
      <w:pPr>
        <w:spacing w:after="0"/>
        <w:jc w:val="both"/>
        <w:rPr>
          <w:rFonts w:cs="Times New Roman"/>
        </w:rPr>
      </w:pPr>
      <w:r w:rsidRPr="00326B3B">
        <w:rPr>
          <w:rFonts w:cs="Times New Roman"/>
        </w:rPr>
        <w:t>Scholars like Thomas Piketty argue that the financialization of sovereign debt disproportionately funnels capital into the hands of asset-owning elites, actively exacerbating inequality rather than generating broad economic stimulus (Piketty, 2014; Saez &amp; Zucman, 2016).</w:t>
      </w:r>
    </w:p>
    <w:p w14:paraId="12D58FC2" w14:textId="77777777" w:rsidR="004F244C" w:rsidRPr="00326B3B" w:rsidRDefault="00000000" w:rsidP="00326B3B">
      <w:pPr>
        <w:spacing w:after="0"/>
        <w:jc w:val="both"/>
        <w:rPr>
          <w:rFonts w:cs="Times New Roman"/>
        </w:rPr>
      </w:pPr>
      <w:r w:rsidRPr="00326B3B">
        <w:rPr>
          <w:rFonts w:cs="Times New Roman"/>
        </w:rPr>
        <w:t>This study argues that the foundational assumption of modern fiscal policy—that increased borrowing automatically translates to economic value—is fundamentally flawed.</w:t>
      </w:r>
    </w:p>
    <w:p w14:paraId="25F8C791" w14:textId="77777777" w:rsidR="004F244C" w:rsidRPr="00326B3B" w:rsidRDefault="00000000" w:rsidP="00326B3B">
      <w:pPr>
        <w:spacing w:after="0"/>
        <w:jc w:val="both"/>
        <w:rPr>
          <w:rFonts w:cs="Times New Roman"/>
        </w:rPr>
      </w:pPr>
      <w:r w:rsidRPr="00326B3B">
        <w:rPr>
          <w:rFonts w:cs="Times New Roman"/>
        </w:rPr>
        <w:t>The thesis hypothesizes that the global economy has entered a phase of diminishing marginal returns on debt, where higher leverage yields progressively less GDP growth while actively accelerating elite wealth capture, irrespective of a nation's development status.</w:t>
      </w:r>
    </w:p>
    <w:p w14:paraId="540CC118" w14:textId="77777777" w:rsidR="004F244C" w:rsidRPr="00326B3B" w:rsidRDefault="00000000" w:rsidP="00326B3B">
      <w:pPr>
        <w:spacing w:after="0"/>
        <w:rPr>
          <w:rFonts w:cs="Times New Roman"/>
          <w:b/>
        </w:rPr>
      </w:pPr>
      <w:r w:rsidRPr="00326B3B">
        <w:rPr>
          <w:rFonts w:cs="Times New Roman"/>
          <w:b/>
        </w:rPr>
        <w:t>1.3 Research Objectives and Questions</w:t>
      </w:r>
    </w:p>
    <w:p w14:paraId="08589123" w14:textId="77777777" w:rsidR="004F244C" w:rsidRPr="00326B3B" w:rsidRDefault="00000000" w:rsidP="00326B3B">
      <w:pPr>
        <w:spacing w:after="0"/>
        <w:jc w:val="both"/>
        <w:rPr>
          <w:rFonts w:cs="Times New Roman"/>
        </w:rPr>
      </w:pPr>
      <w:r w:rsidRPr="00326B3B">
        <w:rPr>
          <w:rFonts w:cs="Times New Roman"/>
        </w:rPr>
        <w:t>To cut through this theoretical fragmentation, this thesis seeks empirical evidence quantifying the exact limits of debt efficiency.</w:t>
      </w:r>
    </w:p>
    <w:p w14:paraId="48C48FE8" w14:textId="77777777" w:rsidR="004F244C" w:rsidRPr="00326B3B" w:rsidRDefault="00000000" w:rsidP="00326B3B">
      <w:pPr>
        <w:spacing w:after="0"/>
        <w:jc w:val="both"/>
        <w:rPr>
          <w:rFonts w:cs="Times New Roman"/>
        </w:rPr>
      </w:pPr>
      <w:r w:rsidRPr="00326B3B">
        <w:rPr>
          <w:rFonts w:cs="Times New Roman"/>
        </w:rPr>
        <w:t>By utilizing advanced dynamic panel data econometrics and threshold modeling across a dataset of Developed (OECD) and Developing (BRICS) economies from 1995 to 2022, this study pursues the following objectives:</w:t>
      </w:r>
    </w:p>
    <w:p w14:paraId="37D186DB" w14:textId="77777777" w:rsidR="004F244C" w:rsidRPr="00326B3B" w:rsidRDefault="00000000" w:rsidP="00326B3B">
      <w:pPr>
        <w:spacing w:after="0"/>
        <w:jc w:val="both"/>
        <w:rPr>
          <w:rFonts w:cs="Times New Roman"/>
        </w:rPr>
      </w:pPr>
      <w:r w:rsidRPr="00326B3B">
        <w:rPr>
          <w:rFonts w:cs="Times New Roman"/>
        </w:rPr>
        <w:lastRenderedPageBreak/>
        <w:t>Objective 1:  To empirically test the traditional Reinhart-Rogoff hypothesis by calculating the exact, data-driven "tipping points" where sovereign debt stops stimulating GDP growth and becomes a structural anchor.</w:t>
      </w:r>
    </w:p>
    <w:p w14:paraId="7C2F55A6" w14:textId="77777777" w:rsidR="004F244C" w:rsidRPr="00326B3B" w:rsidRDefault="00000000" w:rsidP="00326B3B">
      <w:pPr>
        <w:spacing w:after="0"/>
        <w:jc w:val="both"/>
        <w:rPr>
          <w:rFonts w:cs="Times New Roman"/>
        </w:rPr>
      </w:pPr>
      <w:r w:rsidRPr="00326B3B">
        <w:rPr>
          <w:rFonts w:cs="Times New Roman"/>
        </w:rPr>
        <w:t>Objective 2:  To expand the definition of debt "efficiency" beyond GDP, calculating the threshold at which sovereign borrowing accelerates the "Elite Capture Ratio" (the transfer of wealth from the bottom 50% to the top 10%).</w:t>
      </w:r>
    </w:p>
    <w:p w14:paraId="3EF5B631" w14:textId="77777777" w:rsidR="004F244C" w:rsidRPr="00326B3B" w:rsidRDefault="00000000" w:rsidP="00326B3B">
      <w:pPr>
        <w:spacing w:after="0"/>
        <w:jc w:val="both"/>
        <w:rPr>
          <w:rFonts w:cs="Times New Roman"/>
        </w:rPr>
      </w:pPr>
      <w:r w:rsidRPr="00326B3B">
        <w:rPr>
          <w:rFonts w:cs="Times New Roman"/>
        </w:rPr>
        <w:t>Objective 3:  To examine how the capacity to absorb debt fluctuates dynamically between periods of global economic stability and periods of global crisis (such as the 2008 Financial Crisis).</w:t>
      </w:r>
    </w:p>
    <w:p w14:paraId="735B5D6C" w14:textId="77777777" w:rsidR="004F244C" w:rsidRPr="00326B3B" w:rsidRDefault="00000000" w:rsidP="00326B3B">
      <w:pPr>
        <w:spacing w:after="0"/>
        <w:jc w:val="both"/>
        <w:rPr>
          <w:rFonts w:cs="Times New Roman"/>
        </w:rPr>
      </w:pPr>
      <w:r w:rsidRPr="00326B3B">
        <w:rPr>
          <w:rFonts w:cs="Times New Roman"/>
        </w:rPr>
        <w:t>Primary Research Question:   At what precise thresholds does sovereign debt cease to act as an efficient macroeconomic stimulus, and at what point does it transition into a mechanism for wealth concentration across differing institutional regimes (OECD vs. BRICS)?</w:t>
      </w:r>
    </w:p>
    <w:p w14:paraId="131C0075" w14:textId="77777777" w:rsidR="004F244C" w:rsidRPr="00326B3B" w:rsidRDefault="00000000" w:rsidP="00326B3B">
      <w:pPr>
        <w:spacing w:after="0"/>
        <w:rPr>
          <w:rFonts w:cs="Times New Roman"/>
          <w:b/>
        </w:rPr>
      </w:pPr>
      <w:r w:rsidRPr="00326B3B">
        <w:rPr>
          <w:rFonts w:cs="Times New Roman"/>
          <w:b/>
        </w:rPr>
        <w:t>1.4 Academic and Practical Significance</w:t>
      </w:r>
    </w:p>
    <w:p w14:paraId="344A4486" w14:textId="77777777" w:rsidR="004F244C" w:rsidRPr="00326B3B" w:rsidRDefault="00000000" w:rsidP="00326B3B">
      <w:pPr>
        <w:spacing w:after="0"/>
        <w:jc w:val="both"/>
        <w:rPr>
          <w:rFonts w:cs="Times New Roman"/>
        </w:rPr>
      </w:pPr>
      <w:r w:rsidRPr="00326B3B">
        <w:rPr>
          <w:rFonts w:cs="Times New Roman"/>
        </w:rPr>
        <w:t>Academically, this thesis proposes a conceptual shift in how economic sciences categorize leverage.</w:t>
      </w:r>
    </w:p>
    <w:p w14:paraId="20338F1D" w14:textId="77777777" w:rsidR="004F244C" w:rsidRPr="00326B3B" w:rsidRDefault="00000000" w:rsidP="00326B3B">
      <w:pPr>
        <w:spacing w:after="0"/>
        <w:jc w:val="both"/>
        <w:rPr>
          <w:rFonts w:cs="Times New Roman"/>
        </w:rPr>
      </w:pPr>
      <w:r w:rsidRPr="00326B3B">
        <w:rPr>
          <w:rFonts w:cs="Times New Roman"/>
        </w:rPr>
        <w:t>Just as "Complexity Studies" emerged as a self-standing interdisciplinary field within computer and systems sciences, this paper advocates for the establishment of  "Debt Studies."</w:t>
      </w:r>
    </w:p>
    <w:p w14:paraId="75061B7B" w14:textId="77777777" w:rsidR="004F244C" w:rsidRPr="00326B3B" w:rsidRDefault="00000000" w:rsidP="00326B3B">
      <w:pPr>
        <w:spacing w:after="0"/>
        <w:jc w:val="both"/>
        <w:rPr>
          <w:rFonts w:cs="Times New Roman"/>
        </w:rPr>
      </w:pPr>
      <w:r w:rsidRPr="00326B3B">
        <w:rPr>
          <w:rFonts w:cs="Times New Roman"/>
        </w:rPr>
        <w:t>By treating debt not merely as a sub-topic of fiscal policy, but as an independent, overarching mechanism that simultaneously dictates international trade, monetary stability, and sociological wealth distribution, researchers can better understand the holistic impact of global leverage.</w:t>
      </w:r>
    </w:p>
    <w:p w14:paraId="0659369F" w14:textId="77777777" w:rsidR="004F244C" w:rsidRPr="00326B3B" w:rsidRDefault="00000000" w:rsidP="00326B3B">
      <w:pPr>
        <w:spacing w:after="0"/>
        <w:jc w:val="both"/>
        <w:rPr>
          <w:rFonts w:cs="Times New Roman"/>
        </w:rPr>
      </w:pPr>
      <w:r w:rsidRPr="00326B3B">
        <w:rPr>
          <w:rFonts w:cs="Times New Roman"/>
        </w:rPr>
        <w:t>Practically, this thesis provides critical policy implications for both ends of the development spectrum.</w:t>
      </w:r>
    </w:p>
    <w:p w14:paraId="27912BAF" w14:textId="77777777" w:rsidR="004F244C" w:rsidRPr="00326B3B" w:rsidRDefault="00000000" w:rsidP="00326B3B">
      <w:pPr>
        <w:spacing w:after="0"/>
        <w:jc w:val="both"/>
        <w:rPr>
          <w:rFonts w:cs="Times New Roman"/>
        </w:rPr>
      </w:pPr>
      <w:r w:rsidRPr="00326B3B">
        <w:rPr>
          <w:rFonts w:cs="Times New Roman"/>
        </w:rPr>
        <w:t>For emerging and developing economies (BRICS), it identifies the rigid institutional limits of debt capacity, warning against imported Keynesian strategies.</w:t>
      </w:r>
    </w:p>
    <w:p w14:paraId="07459BB7" w14:textId="77777777" w:rsidR="004F244C" w:rsidRPr="00326B3B" w:rsidRDefault="00000000" w:rsidP="00326B3B">
      <w:pPr>
        <w:spacing w:after="0"/>
        <w:jc w:val="both"/>
        <w:rPr>
          <w:rFonts w:cs="Times New Roman"/>
        </w:rPr>
      </w:pPr>
      <w:r w:rsidRPr="00326B3B">
        <w:rPr>
          <w:rFonts w:cs="Times New Roman"/>
        </w:rPr>
        <w:t>For advanced economies (OECD), it provides a stark empirical warning regarding the social costs of sustaining prolonged, high-leverage "forgiving regimes."</w:t>
      </w:r>
    </w:p>
    <w:p w14:paraId="1473655E" w14:textId="77777777" w:rsidR="004F244C" w:rsidRPr="00326B3B" w:rsidRDefault="00000000" w:rsidP="00326B3B">
      <w:pPr>
        <w:spacing w:after="0"/>
        <w:rPr>
          <w:rFonts w:cs="Times New Roman"/>
          <w:b/>
        </w:rPr>
      </w:pPr>
      <w:r w:rsidRPr="00326B3B">
        <w:rPr>
          <w:rFonts w:cs="Times New Roman"/>
          <w:b/>
        </w:rPr>
        <w:t>1.5 Structure of the Thesis</w:t>
      </w:r>
    </w:p>
    <w:p w14:paraId="2A048F3B" w14:textId="77777777" w:rsidR="004F244C" w:rsidRPr="00326B3B" w:rsidRDefault="00000000" w:rsidP="00326B3B">
      <w:pPr>
        <w:spacing w:after="0"/>
        <w:jc w:val="both"/>
        <w:rPr>
          <w:rFonts w:cs="Times New Roman"/>
        </w:rPr>
      </w:pPr>
      <w:r w:rsidRPr="00326B3B">
        <w:rPr>
          <w:rFonts w:cs="Times New Roman"/>
        </w:rPr>
        <w:t xml:space="preserve">The remainder of this thesis is structured as follows. Chapter 2 provides a comprehensive review of the existing literature regarding debt, international trade, and inequality. </w:t>
      </w:r>
      <w:r w:rsidRPr="00326B3B">
        <w:rPr>
          <w:rFonts w:cs="Times New Roman"/>
        </w:rPr>
        <w:lastRenderedPageBreak/>
        <w:t>Chapter 3 outlines the sovereign debt landscape and introduces the concept of Dynamic Threshold Regimes. Chapter 4 details the methodology, including the data aggregation, Difference GMM, and Panel Threshold specifications. Chapter 5 presents the empirical results, revealing the exact GDP and Elite Capture tipping points. Finally, Chapter 6 concludes the study with robust policy recommendations tailored for both developed and developing economies.</w:t>
      </w:r>
    </w:p>
    <w:p w14:paraId="1135DCAE" w14:textId="77777777" w:rsidR="00326B3B" w:rsidRDefault="00326B3B" w:rsidP="00326B3B">
      <w:pPr>
        <w:spacing w:after="0"/>
        <w:rPr>
          <w:rFonts w:cs="Times New Roman"/>
          <w:b/>
          <w:sz w:val="28"/>
        </w:rPr>
      </w:pPr>
    </w:p>
    <w:p w14:paraId="262886A9" w14:textId="77777777" w:rsidR="00326B3B" w:rsidRDefault="00326B3B" w:rsidP="00326B3B">
      <w:pPr>
        <w:spacing w:after="0"/>
        <w:rPr>
          <w:rFonts w:cs="Times New Roman"/>
          <w:b/>
          <w:sz w:val="28"/>
        </w:rPr>
      </w:pPr>
    </w:p>
    <w:p w14:paraId="0BF79A3C" w14:textId="5A5FBED3" w:rsidR="004F244C" w:rsidRPr="00326B3B" w:rsidRDefault="00000000" w:rsidP="00326B3B">
      <w:pPr>
        <w:spacing w:after="0"/>
        <w:rPr>
          <w:rFonts w:cs="Times New Roman"/>
          <w:b/>
          <w:sz w:val="28"/>
        </w:rPr>
      </w:pPr>
      <w:r w:rsidRPr="00326B3B">
        <w:rPr>
          <w:rFonts w:cs="Times New Roman"/>
          <w:b/>
          <w:sz w:val="28"/>
        </w:rPr>
        <w:t>2. The Current Situation: The Age of Hyper-Leverage</w:t>
      </w:r>
    </w:p>
    <w:p w14:paraId="34E4B46F" w14:textId="77777777" w:rsidR="004F244C" w:rsidRPr="00326B3B" w:rsidRDefault="00000000" w:rsidP="00326B3B">
      <w:pPr>
        <w:spacing w:after="0"/>
        <w:rPr>
          <w:rFonts w:cs="Times New Roman"/>
          <w:b/>
        </w:rPr>
      </w:pPr>
      <w:r w:rsidRPr="00326B3B">
        <w:rPr>
          <w:rFonts w:cs="Times New Roman"/>
          <w:b/>
        </w:rPr>
        <w:t>2.1 The Great Debt Divergence: Post-2008 Realities</w:t>
      </w:r>
    </w:p>
    <w:p w14:paraId="44EAC87C" w14:textId="77777777" w:rsidR="004F244C" w:rsidRPr="00326B3B" w:rsidRDefault="00000000" w:rsidP="00326B3B">
      <w:pPr>
        <w:spacing w:after="0"/>
        <w:jc w:val="both"/>
        <w:rPr>
          <w:rFonts w:cs="Times New Roman"/>
        </w:rPr>
      </w:pPr>
      <w:r w:rsidRPr="00326B3B">
        <w:rPr>
          <w:rFonts w:cs="Times New Roman"/>
        </w:rPr>
        <w:t>The contemporary global economy is defined by a sense of exhaustion regarding traditional fiscal tools.</w:t>
      </w:r>
    </w:p>
    <w:p w14:paraId="7E1A25CB" w14:textId="77777777" w:rsidR="004F244C" w:rsidRPr="00326B3B" w:rsidRDefault="00000000" w:rsidP="00326B3B">
      <w:pPr>
        <w:spacing w:after="0"/>
        <w:jc w:val="both"/>
        <w:rPr>
          <w:rFonts w:cs="Times New Roman"/>
        </w:rPr>
      </w:pPr>
      <w:r w:rsidRPr="00326B3B">
        <w:rPr>
          <w:rFonts w:cs="Times New Roman"/>
        </w:rPr>
        <w:t>While the Keynesian paradigm suggests that deficit spending acts as an essential counter-cyclical stabilizer (Keynes, 1936), the persistent application of this medicine has led to a state of chronic dependency.</w:t>
      </w:r>
    </w:p>
    <w:p w14:paraId="4C28DA67" w14:textId="77777777" w:rsidR="004F244C" w:rsidRPr="00326B3B" w:rsidRDefault="00000000" w:rsidP="00326B3B">
      <w:pPr>
        <w:spacing w:after="0"/>
        <w:jc w:val="both"/>
        <w:rPr>
          <w:rFonts w:cs="Times New Roman"/>
        </w:rPr>
      </w:pPr>
      <w:r w:rsidRPr="00326B3B">
        <w:rPr>
          <w:rFonts w:cs="Times New Roman"/>
        </w:rPr>
        <w:t>Since the 2008 Global Financial Crisis (GFC), the magnitude of sovereign and private borrowing has entered a historically unprecedented phase.</w:t>
      </w:r>
    </w:p>
    <w:p w14:paraId="564F6C6C" w14:textId="77777777" w:rsidR="004F244C" w:rsidRPr="00326B3B" w:rsidRDefault="00000000" w:rsidP="00326B3B">
      <w:pPr>
        <w:spacing w:after="0"/>
        <w:jc w:val="both"/>
        <w:rPr>
          <w:rFonts w:cs="Times New Roman"/>
        </w:rPr>
      </w:pPr>
      <w:r w:rsidRPr="00326B3B">
        <w:rPr>
          <w:rFonts w:cs="Times New Roman"/>
        </w:rPr>
        <w:t>According to the McKinsey Global Institute (2015), global debt grew by $57 trillion in just the seven years following the GFC—a 40% increase that outpaced global GDP growth by a wide margin.</w:t>
      </w:r>
    </w:p>
    <w:p w14:paraId="3FFF3E41" w14:textId="77777777" w:rsidR="004F244C" w:rsidRPr="00326B3B" w:rsidRDefault="00000000" w:rsidP="00326B3B">
      <w:pPr>
        <w:spacing w:after="0"/>
        <w:jc w:val="both"/>
        <w:rPr>
          <w:rFonts w:cs="Times New Roman"/>
        </w:rPr>
      </w:pPr>
      <w:r w:rsidRPr="00326B3B">
        <w:rPr>
          <w:rFonts w:cs="Times New Roman"/>
        </w:rPr>
        <w:t>This accumulation was not limited to advanced economies. China’s total debt, for instance, nearly quadrupled from $7 trillion in 2007 to $28 trillion by mid-2014, surpassing the debt-to-GDP levels of several mature OECD nations (The Guardian, 2015).</w:t>
      </w:r>
    </w:p>
    <w:p w14:paraId="3E042758" w14:textId="77777777" w:rsidR="004F244C" w:rsidRPr="00326B3B" w:rsidRDefault="00000000" w:rsidP="00326B3B">
      <w:pPr>
        <w:spacing w:after="0"/>
        <w:jc w:val="both"/>
        <w:rPr>
          <w:rFonts w:cs="Times New Roman"/>
        </w:rPr>
      </w:pPr>
      <w:r w:rsidRPr="00326B3B">
        <w:rPr>
          <w:rFonts w:cs="Times New Roman"/>
        </w:rPr>
        <w:t>This "fourth wave" of global debt accumulation has fundamentally altered the structural capacity of nations to respond to new shocks.</w:t>
      </w:r>
    </w:p>
    <w:p w14:paraId="40662BBE" w14:textId="77777777" w:rsidR="004F244C" w:rsidRPr="00326B3B" w:rsidRDefault="00000000" w:rsidP="00326B3B">
      <w:pPr>
        <w:spacing w:after="0"/>
        <w:jc w:val="both"/>
        <w:rPr>
          <w:rFonts w:cs="Times New Roman"/>
        </w:rPr>
      </w:pPr>
      <w:r w:rsidRPr="00326B3B">
        <w:rPr>
          <w:rFonts w:cs="Times New Roman"/>
        </w:rPr>
        <w:t>The situation reached a critical inflection point during the COVID-19 pandemic; the International Monetary Fund (IMF) observed the largest one-year debt surge in 2020 since World War II, pushing the global average debt-to-GDP ratio to nearly 100% (IMF, 2021).</w:t>
      </w:r>
    </w:p>
    <w:p w14:paraId="2AA8EA85" w14:textId="77777777" w:rsidR="004F244C" w:rsidRPr="00326B3B" w:rsidRDefault="00000000" w:rsidP="00326B3B">
      <w:pPr>
        <w:spacing w:after="0"/>
        <w:rPr>
          <w:rFonts w:cs="Times New Roman"/>
          <w:b/>
        </w:rPr>
      </w:pPr>
      <w:r w:rsidRPr="00326B3B">
        <w:rPr>
          <w:rFonts w:cs="Times New Roman"/>
          <w:b/>
        </w:rPr>
        <w:t>2.2 The Polycrisis and the Cost of Solutions</w:t>
      </w:r>
    </w:p>
    <w:p w14:paraId="2D39C9A2" w14:textId="77777777" w:rsidR="004F244C" w:rsidRPr="00326B3B" w:rsidRDefault="00000000" w:rsidP="00326B3B">
      <w:pPr>
        <w:spacing w:after="0"/>
        <w:jc w:val="both"/>
        <w:rPr>
          <w:rFonts w:cs="Times New Roman"/>
        </w:rPr>
      </w:pPr>
      <w:r w:rsidRPr="00326B3B">
        <w:rPr>
          <w:rFonts w:cs="Times New Roman"/>
        </w:rPr>
        <w:lastRenderedPageBreak/>
        <w:t>Humanity is currently wrestling with a convergence of concurrent risk domains, often referred to as a  "Polycrisis"  (World Economic Forum, 2025).</w:t>
      </w:r>
    </w:p>
    <w:p w14:paraId="1CF9131C" w14:textId="77777777" w:rsidR="004F244C" w:rsidRPr="00326B3B" w:rsidRDefault="00000000" w:rsidP="00326B3B">
      <w:pPr>
        <w:spacing w:after="0"/>
        <w:jc w:val="both"/>
        <w:rPr>
          <w:rFonts w:cs="Times New Roman"/>
        </w:rPr>
      </w:pPr>
      <w:r w:rsidRPr="00326B3B">
        <w:rPr>
          <w:rFonts w:cs="Times New Roman"/>
        </w:rPr>
        <w:t>This list of existential stressors is extensive:</w:t>
      </w:r>
    </w:p>
    <w:p w14:paraId="1A5EE90C" w14:textId="77777777" w:rsidR="004F244C" w:rsidRPr="00326B3B" w:rsidRDefault="00000000" w:rsidP="00326B3B">
      <w:pPr>
        <w:spacing w:after="0"/>
        <w:jc w:val="both"/>
        <w:rPr>
          <w:rFonts w:cs="Times New Roman"/>
        </w:rPr>
      </w:pPr>
      <w:r w:rsidRPr="00326B3B">
        <w:rPr>
          <w:rFonts w:cs="Times New Roman"/>
        </w:rPr>
        <w:t>The Demographic Winter:  Super-aging populations in Japan, Europe, and China are shrinking the tax base while ballooning the costs of pension and healthcare systems (Goodhart &amp; Pradhan, 2020).</w:t>
      </w:r>
    </w:p>
    <w:p w14:paraId="461F3CF6" w14:textId="77777777" w:rsidR="004F244C" w:rsidRPr="00326B3B" w:rsidRDefault="00000000" w:rsidP="00326B3B">
      <w:pPr>
        <w:spacing w:after="0"/>
        <w:jc w:val="both"/>
        <w:rPr>
          <w:rFonts w:cs="Times New Roman"/>
        </w:rPr>
      </w:pPr>
      <w:r w:rsidRPr="00326B3B">
        <w:rPr>
          <w:rFonts w:cs="Times New Roman"/>
        </w:rPr>
        <w:t>Geopolitical Fracturing:  The transition from a unipolar to a multipolar world has triggered kinetic conflicts and the deployment of "economic weapons," such as tariffs and trade wars, which destabilize global export momentum (Bown, 2026).</w:t>
      </w:r>
    </w:p>
    <w:p w14:paraId="37728DC6" w14:textId="77777777" w:rsidR="004F244C" w:rsidRPr="00326B3B" w:rsidRDefault="00000000" w:rsidP="00326B3B">
      <w:pPr>
        <w:spacing w:after="0"/>
        <w:jc w:val="both"/>
        <w:rPr>
          <w:rFonts w:cs="Times New Roman"/>
        </w:rPr>
      </w:pPr>
      <w:r w:rsidRPr="00326B3B">
        <w:rPr>
          <w:rFonts w:cs="Times New Roman"/>
        </w:rPr>
        <w:t>The Energy Transition:  Meeting the commitments of the green transition requires trillions of dollars in physical infrastructure investment, capital that must be raised amidst a world already saturated with debt (IPCC, 2023).</w:t>
      </w:r>
    </w:p>
    <w:p w14:paraId="40B5A7B1" w14:textId="77777777" w:rsidR="004F244C" w:rsidRPr="00326B3B" w:rsidRDefault="00000000" w:rsidP="00326B3B">
      <w:pPr>
        <w:spacing w:after="0"/>
        <w:jc w:val="both"/>
        <w:rPr>
          <w:rFonts w:cs="Times New Roman"/>
        </w:rPr>
      </w:pPr>
      <w:r w:rsidRPr="00326B3B">
        <w:rPr>
          <w:rFonts w:cs="Times New Roman"/>
        </w:rPr>
        <w:t>Technological Revolution Shocks:  While AI offers productivity gains, the initial phase of deployment creates labor market uncertainty and requires massive public-sector reskilling programs.</w:t>
      </w:r>
    </w:p>
    <w:p w14:paraId="13EF0513" w14:textId="77777777" w:rsidR="004F244C" w:rsidRPr="00326B3B" w:rsidRDefault="00000000" w:rsidP="00326B3B">
      <w:pPr>
        <w:spacing w:after="0"/>
        <w:jc w:val="both"/>
        <w:rPr>
          <w:rFonts w:cs="Times New Roman"/>
        </w:rPr>
      </w:pPr>
      <w:r w:rsidRPr="00326B3B">
        <w:rPr>
          <w:rFonts w:cs="Times New Roman"/>
        </w:rPr>
        <w:t>In nearly every instance, policymakers respond to these structural problems by "throwing debt" at them.</w:t>
      </w:r>
    </w:p>
    <w:p w14:paraId="53A26039" w14:textId="77777777" w:rsidR="004F244C" w:rsidRPr="00326B3B" w:rsidRDefault="00000000" w:rsidP="00326B3B">
      <w:pPr>
        <w:spacing w:after="0"/>
        <w:jc w:val="both"/>
        <w:rPr>
          <w:rFonts w:cs="Times New Roman"/>
        </w:rPr>
      </w:pPr>
      <w:r w:rsidRPr="00326B3B">
        <w:rPr>
          <w:rFonts w:cs="Times New Roman"/>
        </w:rPr>
        <w:t>However, as this thesis demonstrates, the marginal utility of this borrowed capital is declining. We are attempting to finance the solutions of the future with the broken credit mechanisms of the past.</w:t>
      </w:r>
    </w:p>
    <w:p w14:paraId="17525F00" w14:textId="77777777" w:rsidR="004F244C" w:rsidRPr="00326B3B" w:rsidRDefault="00000000" w:rsidP="00326B3B">
      <w:pPr>
        <w:spacing w:after="0"/>
        <w:rPr>
          <w:rFonts w:cs="Times New Roman"/>
          <w:b/>
        </w:rPr>
      </w:pPr>
      <w:r w:rsidRPr="00326B3B">
        <w:rPr>
          <w:rFonts w:cs="Times New Roman"/>
          <w:b/>
        </w:rPr>
        <w:t>2.3 The Vanishing Window: Interest and Sovereignty Risks</w:t>
      </w:r>
    </w:p>
    <w:p w14:paraId="4E1332E1" w14:textId="77777777" w:rsidR="004F244C" w:rsidRPr="00326B3B" w:rsidRDefault="00000000" w:rsidP="00326B3B">
      <w:pPr>
        <w:spacing w:after="0"/>
        <w:jc w:val="both"/>
        <w:rPr>
          <w:rFonts w:cs="Times New Roman"/>
        </w:rPr>
      </w:pPr>
      <w:r w:rsidRPr="00326B3B">
        <w:rPr>
          <w:rFonts w:cs="Times New Roman"/>
        </w:rPr>
        <w:t>The window for "cheap debt" has closed. For over a decade, zero-interest-rate policies (ZIRP) masked the true cost of sovereign borrowing.</w:t>
      </w:r>
    </w:p>
    <w:p w14:paraId="5193BE33" w14:textId="77777777" w:rsidR="004F244C" w:rsidRPr="00326B3B" w:rsidRDefault="00000000" w:rsidP="00326B3B">
      <w:pPr>
        <w:spacing w:after="0"/>
        <w:jc w:val="both"/>
        <w:rPr>
          <w:rFonts w:cs="Times New Roman"/>
        </w:rPr>
      </w:pPr>
      <w:r w:rsidRPr="00326B3B">
        <w:rPr>
          <w:rFonts w:cs="Times New Roman"/>
        </w:rPr>
        <w:t>As inflation spiked in the early 2020s, central banks were forced into an aggressive tightening cycle, exposing the fragility of the system.</w:t>
      </w:r>
    </w:p>
    <w:p w14:paraId="2BF489EA" w14:textId="77777777" w:rsidR="004F244C" w:rsidRPr="00326B3B" w:rsidRDefault="00000000" w:rsidP="00326B3B">
      <w:pPr>
        <w:spacing w:after="0"/>
        <w:jc w:val="both"/>
        <w:rPr>
          <w:rFonts w:cs="Times New Roman"/>
        </w:rPr>
      </w:pPr>
      <w:r w:rsidRPr="00326B3B">
        <w:rPr>
          <w:rFonts w:cs="Times New Roman"/>
        </w:rPr>
        <w:t>The consequences are most visible in the United States. In 2024, American taxpayers spent  $882 billion  on national debt interest payments alone—marking the first time in history that interest costs exceeded the entire defense budget ($874 billion) (Peterson Foundation, 2026; MS Gov, 2025).</w:t>
      </w:r>
    </w:p>
    <w:p w14:paraId="5F5B9240" w14:textId="77777777" w:rsidR="004F244C" w:rsidRPr="00326B3B" w:rsidRDefault="00000000" w:rsidP="00326B3B">
      <w:pPr>
        <w:spacing w:after="0"/>
        <w:jc w:val="both"/>
        <w:rPr>
          <w:rFonts w:cs="Times New Roman"/>
        </w:rPr>
      </w:pPr>
      <w:r w:rsidRPr="00326B3B">
        <w:rPr>
          <w:rFonts w:cs="Times New Roman"/>
        </w:rPr>
        <w:t>This trajectory creates a "vicious cycle" where interest costs crowd out productive public investment, necessitating further borrowing just to service existing obligations.</w:t>
      </w:r>
    </w:p>
    <w:p w14:paraId="57067C96" w14:textId="77777777" w:rsidR="004F244C" w:rsidRPr="00326B3B" w:rsidRDefault="00000000" w:rsidP="00326B3B">
      <w:pPr>
        <w:spacing w:after="0"/>
        <w:jc w:val="both"/>
        <w:rPr>
          <w:rFonts w:cs="Times New Roman"/>
        </w:rPr>
      </w:pPr>
      <w:r w:rsidRPr="00326B3B">
        <w:rPr>
          <w:rFonts w:cs="Times New Roman"/>
        </w:rPr>
        <w:lastRenderedPageBreak/>
        <w:t>Simultaneously, sovereign risk is being decoupled from mere debt size and attached to geopolitical sovereignty.</w:t>
      </w:r>
    </w:p>
    <w:p w14:paraId="2EE67071" w14:textId="77777777" w:rsidR="004F244C" w:rsidRPr="00326B3B" w:rsidRDefault="00000000" w:rsidP="00326B3B">
      <w:pPr>
        <w:spacing w:after="0"/>
        <w:jc w:val="both"/>
        <w:rPr>
          <w:rFonts w:cs="Times New Roman"/>
        </w:rPr>
      </w:pPr>
      <w:r w:rsidRPr="00326B3B">
        <w:rPr>
          <w:rFonts w:cs="Times New Roman"/>
        </w:rPr>
        <w:t>China, traditionally the largest foreign backer of U.S. debt, has significantly decreased its holdings from a peak of approximately  $1.3 trillion  to just  $693 billion  in early 2026 (Trading Economics, 2026).</w:t>
      </w:r>
    </w:p>
    <w:p w14:paraId="597472BF" w14:textId="77777777" w:rsidR="004F244C" w:rsidRPr="00326B3B" w:rsidRDefault="00000000" w:rsidP="00326B3B">
      <w:pPr>
        <w:spacing w:after="0"/>
        <w:jc w:val="both"/>
        <w:rPr>
          <w:rFonts w:cs="Times New Roman"/>
        </w:rPr>
      </w:pPr>
      <w:r w:rsidRPr="00326B3B">
        <w:rPr>
          <w:rFonts w:cs="Times New Roman"/>
        </w:rPr>
        <w:t>Amidst ongoing trade wars, this divestment signals a loss of "institutional trust" in the U.S. dollar, further narrowing the fiscal window available to Western central banks.</w:t>
      </w:r>
    </w:p>
    <w:p w14:paraId="6362DF1A" w14:textId="77777777" w:rsidR="004F244C" w:rsidRPr="00326B3B" w:rsidRDefault="00000000" w:rsidP="00326B3B">
      <w:pPr>
        <w:spacing w:after="0"/>
        <w:rPr>
          <w:rFonts w:cs="Times New Roman"/>
          <w:b/>
        </w:rPr>
      </w:pPr>
      <w:r w:rsidRPr="00326B3B">
        <w:rPr>
          <w:rFonts w:cs="Times New Roman"/>
          <w:b/>
        </w:rPr>
        <w:t>2.4 The Mystification of Debt Narratives</w:t>
      </w:r>
    </w:p>
    <w:p w14:paraId="6315E0DA" w14:textId="77777777" w:rsidR="004F244C" w:rsidRPr="00326B3B" w:rsidRDefault="00000000" w:rsidP="00326B3B">
      <w:pPr>
        <w:spacing w:after="0"/>
        <w:jc w:val="both"/>
        <w:rPr>
          <w:rFonts w:cs="Times New Roman"/>
        </w:rPr>
      </w:pPr>
      <w:r w:rsidRPr="00326B3B">
        <w:rPr>
          <w:rFonts w:cs="Times New Roman"/>
        </w:rPr>
        <w:t>The current discourse surrounding debt is clouded by a "mystified" narrative.</w:t>
      </w:r>
    </w:p>
    <w:p w14:paraId="5960076D" w14:textId="77777777" w:rsidR="004F244C" w:rsidRPr="00326B3B" w:rsidRDefault="00000000" w:rsidP="00326B3B">
      <w:pPr>
        <w:spacing w:after="0"/>
        <w:jc w:val="both"/>
        <w:rPr>
          <w:rFonts w:cs="Times New Roman"/>
        </w:rPr>
      </w:pPr>
      <w:r w:rsidRPr="00326B3B">
        <w:rPr>
          <w:rFonts w:cs="Times New Roman"/>
        </w:rPr>
        <w:t>On one hand, modern monetary theorists argue that sovereign entities with reserve currencies can never default.</w:t>
      </w:r>
    </w:p>
    <w:p w14:paraId="5409C094" w14:textId="77777777" w:rsidR="004F244C" w:rsidRPr="00326B3B" w:rsidRDefault="00000000" w:rsidP="00326B3B">
      <w:pPr>
        <w:spacing w:after="0"/>
        <w:jc w:val="both"/>
        <w:rPr>
          <w:rFonts w:cs="Times New Roman"/>
        </w:rPr>
      </w:pPr>
      <w:r w:rsidRPr="00326B3B">
        <w:rPr>
          <w:rFonts w:cs="Times New Roman"/>
        </w:rPr>
        <w:t>On the other hand, the empirical data provided by this study shows that while a government may not "go bankrupt" in a legal sense, it can effectively "stall" its own growth and strip the wealth of its citizens through debt-driven asset inflation (Piketty, 2014).</w:t>
      </w:r>
    </w:p>
    <w:p w14:paraId="152DE1C2" w14:textId="77777777" w:rsidR="004F244C" w:rsidRPr="00326B3B" w:rsidRDefault="00000000" w:rsidP="00326B3B">
      <w:pPr>
        <w:spacing w:after="0"/>
        <w:jc w:val="both"/>
        <w:rPr>
          <w:rFonts w:cs="Times New Roman"/>
        </w:rPr>
      </w:pPr>
      <w:r w:rsidRPr="00326B3B">
        <w:rPr>
          <w:rFonts w:cs="Times New Roman"/>
        </w:rPr>
        <w:t>This paper utilizes both asset management market sensitivity and AI-driven econometric rigor to deconstruct this mess.</w:t>
      </w:r>
    </w:p>
    <w:p w14:paraId="1C3A89D9" w14:textId="77777777" w:rsidR="004F244C" w:rsidRPr="00326B3B" w:rsidRDefault="00000000" w:rsidP="00326B3B">
      <w:pPr>
        <w:spacing w:after="0"/>
        <w:jc w:val="both"/>
        <w:rPr>
          <w:rFonts w:cs="Times New Roman"/>
        </w:rPr>
      </w:pPr>
      <w:r w:rsidRPr="00326B3B">
        <w:rPr>
          <w:rFonts w:cs="Times New Roman"/>
        </w:rPr>
        <w:t>By mapping  Dynamic Threshold Regimes  and identifying the  Elite Capture  mechanism, this research aims to provide a clear framework where reasonable policy can once again be constructed.</w:t>
      </w:r>
    </w:p>
    <w:p w14:paraId="0CC7106B" w14:textId="77777777" w:rsidR="004F244C" w:rsidRPr="00326B3B" w:rsidRDefault="00000000" w:rsidP="00326B3B">
      <w:pPr>
        <w:spacing w:after="0"/>
        <w:jc w:val="both"/>
        <w:rPr>
          <w:rFonts w:cs="Times New Roman"/>
        </w:rPr>
      </w:pPr>
      <w:r w:rsidRPr="00326B3B">
        <w:rPr>
          <w:rFonts w:cs="Times New Roman"/>
        </w:rPr>
        <w:t>We must move beyond the "Hindu god" mandate of the Federal Reserve and recognize that debt is a finite structural resource, not an infinite stimulative pool.</w:t>
      </w:r>
    </w:p>
    <w:p w14:paraId="0352DFEE" w14:textId="77777777" w:rsidR="00326B3B" w:rsidRDefault="00326B3B" w:rsidP="00326B3B">
      <w:pPr>
        <w:spacing w:after="0"/>
        <w:rPr>
          <w:rFonts w:cs="Times New Roman"/>
          <w:b/>
          <w:sz w:val="28"/>
        </w:rPr>
      </w:pPr>
    </w:p>
    <w:p w14:paraId="574451D7" w14:textId="77777777" w:rsidR="00326B3B" w:rsidRDefault="00326B3B" w:rsidP="00326B3B">
      <w:pPr>
        <w:spacing w:after="0"/>
        <w:rPr>
          <w:rFonts w:cs="Times New Roman"/>
          <w:b/>
          <w:sz w:val="28"/>
        </w:rPr>
      </w:pPr>
    </w:p>
    <w:p w14:paraId="4BCD9064" w14:textId="1D656E47" w:rsidR="004F244C" w:rsidRPr="00326B3B" w:rsidRDefault="00000000" w:rsidP="00326B3B">
      <w:pPr>
        <w:spacing w:after="0"/>
        <w:rPr>
          <w:rFonts w:cs="Times New Roman"/>
          <w:b/>
          <w:sz w:val="28"/>
        </w:rPr>
      </w:pPr>
      <w:r w:rsidRPr="00326B3B">
        <w:rPr>
          <w:rFonts w:cs="Times New Roman"/>
          <w:b/>
          <w:sz w:val="28"/>
        </w:rPr>
        <w:t>3. Data and Methodology</w:t>
      </w:r>
    </w:p>
    <w:p w14:paraId="28293D06" w14:textId="77777777" w:rsidR="004F244C" w:rsidRPr="00326B3B" w:rsidRDefault="00000000" w:rsidP="00326B3B">
      <w:pPr>
        <w:spacing w:after="0"/>
        <w:rPr>
          <w:rFonts w:cs="Times New Roman"/>
          <w:b/>
        </w:rPr>
      </w:pPr>
      <w:r w:rsidRPr="00326B3B">
        <w:rPr>
          <w:rFonts w:cs="Times New Roman"/>
          <w:b/>
        </w:rPr>
        <w:t>3.1 Methodological Philosophy: A Pragmatic Step Toward Rigor</w:t>
      </w:r>
    </w:p>
    <w:p w14:paraId="5116C9D9" w14:textId="77777777" w:rsidR="004F244C" w:rsidRPr="00326B3B" w:rsidRDefault="00000000" w:rsidP="00326B3B">
      <w:pPr>
        <w:spacing w:after="0"/>
        <w:jc w:val="both"/>
        <w:rPr>
          <w:rFonts w:cs="Times New Roman"/>
        </w:rPr>
      </w:pPr>
      <w:r w:rsidRPr="00326B3B">
        <w:rPr>
          <w:rFonts w:cs="Times New Roman"/>
        </w:rPr>
        <w:t>At the inception of this research, it was evident that a standard linear approach would be insufficient to capture the volatile and non-linear nature of sovereign debt.</w:t>
      </w:r>
    </w:p>
    <w:p w14:paraId="724A6C49" w14:textId="77777777" w:rsidR="004F244C" w:rsidRPr="00326B3B" w:rsidRDefault="00000000" w:rsidP="00326B3B">
      <w:pPr>
        <w:spacing w:after="0"/>
        <w:jc w:val="both"/>
        <w:rPr>
          <w:rFonts w:cs="Times New Roman"/>
        </w:rPr>
      </w:pPr>
      <w:r w:rsidRPr="00326B3B">
        <w:rPr>
          <w:rFonts w:cs="Times New Roman"/>
        </w:rPr>
        <w:t>Sovereign leverage does not operate in a statistical vacuum; as observed in the current management of the U.S. Federal Reserve’s trilateral mandate, debt is inextricably linked to currency stability, inflation, and capital formation.</w:t>
      </w:r>
    </w:p>
    <w:p w14:paraId="2C292049" w14:textId="77777777" w:rsidR="004F244C" w:rsidRPr="00326B3B" w:rsidRDefault="00000000" w:rsidP="00326B3B">
      <w:pPr>
        <w:spacing w:after="0"/>
        <w:jc w:val="both"/>
        <w:rPr>
          <w:rFonts w:cs="Times New Roman"/>
        </w:rPr>
      </w:pPr>
      <w:r w:rsidRPr="00326B3B">
        <w:rPr>
          <w:rFonts w:cs="Times New Roman"/>
        </w:rPr>
        <w:lastRenderedPageBreak/>
        <w:t>These variables create a complex web of interactions that a simple Ordinary Least Squares (OLS) model would fail to disentangle.</w:t>
      </w:r>
    </w:p>
    <w:p w14:paraId="40C85C6C" w14:textId="77777777" w:rsidR="004F244C" w:rsidRPr="00326B3B" w:rsidRDefault="00000000" w:rsidP="00326B3B">
      <w:pPr>
        <w:spacing w:after="0"/>
        <w:jc w:val="both"/>
        <w:rPr>
          <w:rFonts w:cs="Times New Roman"/>
        </w:rPr>
      </w:pPr>
      <w:r w:rsidRPr="00326B3B">
        <w:rPr>
          <w:rFonts w:cs="Times New Roman"/>
        </w:rPr>
        <w:t>Acknowledging that building a primary macroeconomic dataset from the ground up is a task typically reserved for doctoral-level research teams, this study adopts a pragmatic approach by relying on the standardized, high-frequency outputs of leading global financial institutions.</w:t>
      </w:r>
    </w:p>
    <w:p w14:paraId="618E7526" w14:textId="77777777" w:rsidR="004F244C" w:rsidRPr="00326B3B" w:rsidRDefault="00000000" w:rsidP="00326B3B">
      <w:pPr>
        <w:spacing w:after="0"/>
        <w:jc w:val="both"/>
        <w:rPr>
          <w:rFonts w:cs="Times New Roman"/>
        </w:rPr>
      </w:pPr>
      <w:r w:rsidRPr="00326B3B">
        <w:rPr>
          <w:rFonts w:cs="Times New Roman"/>
        </w:rPr>
        <w:t>However, the true scientific merit of this work lies in the  econometric deconstruction  of this data.</w:t>
      </w:r>
    </w:p>
    <w:p w14:paraId="31310B72" w14:textId="77777777" w:rsidR="004F244C" w:rsidRPr="00326B3B" w:rsidRDefault="00000000" w:rsidP="00326B3B">
      <w:pPr>
        <w:spacing w:after="0"/>
        <w:jc w:val="both"/>
        <w:rPr>
          <w:rFonts w:cs="Times New Roman"/>
        </w:rPr>
      </w:pPr>
      <w:r w:rsidRPr="00326B3B">
        <w:rPr>
          <w:rFonts w:cs="Times New Roman"/>
        </w:rPr>
        <w:t>By utilizing advanced computational instruments to exclude dynamic biases and endogeneity, this research represents a transition from market-level observation into formal economic inquiry.</w:t>
      </w:r>
    </w:p>
    <w:p w14:paraId="4190E9AF" w14:textId="77777777" w:rsidR="004F244C" w:rsidRPr="00326B3B" w:rsidRDefault="00000000" w:rsidP="00326B3B">
      <w:pPr>
        <w:spacing w:after="0"/>
        <w:rPr>
          <w:rFonts w:cs="Times New Roman"/>
          <w:b/>
        </w:rPr>
      </w:pPr>
      <w:r w:rsidRPr="00326B3B">
        <w:rPr>
          <w:rFonts w:cs="Times New Roman"/>
          <w:b/>
        </w:rPr>
        <w:t>3.2 Data Sources and Variable Construction</w:t>
      </w:r>
    </w:p>
    <w:p w14:paraId="6F61AD2C" w14:textId="77777777" w:rsidR="004F244C" w:rsidRPr="00326B3B" w:rsidRDefault="00000000" w:rsidP="00326B3B">
      <w:pPr>
        <w:spacing w:after="0"/>
        <w:jc w:val="both"/>
        <w:rPr>
          <w:rFonts w:cs="Times New Roman"/>
        </w:rPr>
      </w:pPr>
      <w:r w:rsidRPr="00326B3B">
        <w:rPr>
          <w:rFonts w:cs="Times New Roman"/>
        </w:rPr>
        <w:t>The research utilizes an unbalanced panel dataset covering 43 sovereign entities from 1995 to 2022. To isolate structural and institutional differences, the dataset is strictly categorized into three geopolitical blocs:  Advanced OECD ,  Emerging OECD , and  BRICS (Developing) .</w:t>
      </w:r>
    </w:p>
    <w:p w14:paraId="113D5F95" w14:textId="77777777" w:rsidR="004F244C" w:rsidRPr="00326B3B" w:rsidRDefault="00000000" w:rsidP="00326B3B">
      <w:pPr>
        <w:spacing w:after="0"/>
        <w:jc w:val="both"/>
        <w:rPr>
          <w:rFonts w:cs="Times New Roman"/>
        </w:rPr>
      </w:pPr>
      <w:r w:rsidRPr="00326B3B">
        <w:rPr>
          <w:rFonts w:cs="Times New Roman"/>
        </w:rPr>
        <w:t>Data was aggregated from three primary pillars:</w:t>
      </w:r>
    </w:p>
    <w:p w14:paraId="7A888E7F" w14:textId="77777777" w:rsidR="004F244C" w:rsidRPr="00326B3B" w:rsidRDefault="00000000" w:rsidP="00326B3B">
      <w:pPr>
        <w:spacing w:after="0"/>
        <w:jc w:val="both"/>
        <w:rPr>
          <w:rFonts w:cs="Times New Roman"/>
        </w:rPr>
      </w:pPr>
      <w:r w:rsidRPr="00326B3B">
        <w:rPr>
          <w:rFonts w:cs="Times New Roman"/>
        </w:rPr>
        <w:t>Macroeconomic Controls:  World Bank World Development Indicators (WDI) provided GDP growth (annual %), Gross Capital Formation (% of GDP), Inflation (Annual %), and Population Growth (annual %).</w:t>
      </w:r>
    </w:p>
    <w:p w14:paraId="63CFA741" w14:textId="77777777" w:rsidR="004F244C" w:rsidRPr="00326B3B" w:rsidRDefault="00000000" w:rsidP="00326B3B">
      <w:pPr>
        <w:spacing w:after="0"/>
        <w:jc w:val="both"/>
        <w:rPr>
          <w:rFonts w:cs="Times New Roman"/>
        </w:rPr>
      </w:pPr>
      <w:r w:rsidRPr="00326B3B">
        <w:rPr>
          <w:rFonts w:cs="Times New Roman"/>
        </w:rPr>
        <w:t>Sovereign Debt:  The International Monetary Fund (IMF) provided General Government Debt as a percentage of GDP.</w:t>
      </w:r>
    </w:p>
    <w:p w14:paraId="305051E4" w14:textId="77777777" w:rsidR="004F244C" w:rsidRPr="00326B3B" w:rsidRDefault="00000000" w:rsidP="00326B3B">
      <w:pPr>
        <w:spacing w:after="0"/>
        <w:jc w:val="both"/>
        <w:rPr>
          <w:rFonts w:cs="Times New Roman"/>
        </w:rPr>
      </w:pPr>
      <w:r w:rsidRPr="00326B3B">
        <w:rPr>
          <w:rFonts w:cs="Times New Roman"/>
        </w:rPr>
        <w:t>Wealth Distribution:  The World Inequality Database (WID) provided the raw wealth shares for the Top 10% and Bottom 50%.</w:t>
      </w:r>
    </w:p>
    <w:p w14:paraId="1462532D" w14:textId="77777777" w:rsidR="004F244C" w:rsidRPr="00326B3B" w:rsidRDefault="00000000" w:rsidP="00326B3B">
      <w:pPr>
        <w:spacing w:after="0"/>
        <w:jc w:val="both"/>
        <w:rPr>
          <w:rFonts w:cs="Times New Roman"/>
        </w:rPr>
      </w:pPr>
      <w:r w:rsidRPr="00326B3B">
        <w:rPr>
          <w:rFonts w:cs="Times New Roman"/>
        </w:rPr>
        <w:t>To measure the social cost of debt stimulus, this study engineered a specific proxy for  Elite Capture  (ECR):</w:t>
      </w:r>
    </w:p>
    <w:p w14:paraId="1B1D936E" w14:textId="77777777" w:rsidR="004F244C" w:rsidRPr="00326B3B" w:rsidRDefault="00000000" w:rsidP="00326B3B">
      <w:pPr>
        <w:spacing w:after="0"/>
        <w:jc w:val="both"/>
        <w:rPr>
          <w:rFonts w:cs="Times New Roman"/>
        </w:rPr>
      </w:pPr>
      <w:r w:rsidRPr="00326B3B">
        <w:rPr>
          <w:rFonts w:cs="Times New Roman"/>
        </w:rPr>
        <w:t>Elite Capture Ratio = Wealth Share(Top 10%) / Wealth Share(Bottom 50%)</w:t>
      </w:r>
    </w:p>
    <w:p w14:paraId="58ADB1A2" w14:textId="77777777" w:rsidR="004F244C" w:rsidRPr="00326B3B" w:rsidRDefault="00000000" w:rsidP="00326B3B">
      <w:pPr>
        <w:spacing w:after="0"/>
        <w:jc w:val="both"/>
        <w:rPr>
          <w:rFonts w:cs="Times New Roman"/>
        </w:rPr>
      </w:pPr>
      <w:r w:rsidRPr="00326B3B">
        <w:rPr>
          <w:rFonts w:cs="Times New Roman"/>
        </w:rPr>
        <w:t>This ratio is designed to measure the efficiency of financial resource distribution.</w:t>
      </w:r>
    </w:p>
    <w:p w14:paraId="1A84896B" w14:textId="77777777" w:rsidR="004F244C" w:rsidRPr="00326B3B" w:rsidRDefault="00000000" w:rsidP="00326B3B">
      <w:pPr>
        <w:spacing w:after="0"/>
        <w:jc w:val="both"/>
        <w:rPr>
          <w:rFonts w:cs="Times New Roman"/>
        </w:rPr>
      </w:pPr>
      <w:r w:rsidRPr="00326B3B">
        <w:rPr>
          <w:rFonts w:cs="Times New Roman"/>
        </w:rPr>
        <w:t>Within my major of  International Economics and Trade , this ratio is vital; a high ECR indicates that debt-financed growth is not translating into broad domestic demand but is instead inflating asset bubbles held by the top decile.</w:t>
      </w:r>
    </w:p>
    <w:p w14:paraId="6998811F" w14:textId="77777777" w:rsidR="004F244C" w:rsidRPr="00326B3B" w:rsidRDefault="00000000" w:rsidP="00326B3B">
      <w:pPr>
        <w:spacing w:after="0"/>
        <w:rPr>
          <w:rFonts w:cs="Times New Roman"/>
          <w:b/>
        </w:rPr>
      </w:pPr>
      <w:r w:rsidRPr="00326B3B">
        <w:rPr>
          <w:rFonts w:cs="Times New Roman"/>
          <w:b/>
        </w:rPr>
        <w:t>3.3 Computational Framework: Python for Econometrics</w:t>
      </w:r>
    </w:p>
    <w:p w14:paraId="1A9E6565" w14:textId="77777777" w:rsidR="004F244C" w:rsidRPr="00326B3B" w:rsidRDefault="00000000" w:rsidP="00326B3B">
      <w:pPr>
        <w:spacing w:after="0"/>
        <w:jc w:val="both"/>
        <w:rPr>
          <w:rFonts w:cs="Times New Roman"/>
        </w:rPr>
      </w:pPr>
      <w:r w:rsidRPr="00326B3B">
        <w:rPr>
          <w:rFonts w:cs="Times New Roman"/>
        </w:rPr>
        <w:lastRenderedPageBreak/>
        <w:t>A significant portion of this study’s methodology involved developing a custom computational framework.</w:t>
      </w:r>
    </w:p>
    <w:p w14:paraId="49A49315" w14:textId="77777777" w:rsidR="004F244C" w:rsidRPr="00326B3B" w:rsidRDefault="00000000" w:rsidP="00326B3B">
      <w:pPr>
        <w:spacing w:after="0"/>
        <w:jc w:val="both"/>
        <w:rPr>
          <w:rFonts w:cs="Times New Roman"/>
        </w:rPr>
      </w:pPr>
      <w:r w:rsidRPr="00326B3B">
        <w:rPr>
          <w:rFonts w:cs="Times New Roman"/>
        </w:rPr>
        <w:t>While Python is the industry standard for Data Science and Machine Learning, it historically lacks the native, "plug-and-play" statistical modeling functions for advanced panel econometrics found in software like Stata or R.</w:t>
      </w:r>
    </w:p>
    <w:p w14:paraId="49AB59BB" w14:textId="77777777" w:rsidR="004F244C" w:rsidRPr="00326B3B" w:rsidRDefault="00000000" w:rsidP="00326B3B">
      <w:pPr>
        <w:spacing w:after="0"/>
        <w:jc w:val="both"/>
        <w:rPr>
          <w:rFonts w:cs="Times New Roman"/>
        </w:rPr>
      </w:pPr>
      <w:r w:rsidRPr="00326B3B">
        <w:rPr>
          <w:rFonts w:cs="Times New Roman"/>
        </w:rPr>
        <w:t>To circumvent these limitations, this study utilized a specialized stack of Python instruments:</w:t>
      </w:r>
    </w:p>
    <w:p w14:paraId="4D9E3140" w14:textId="77777777" w:rsidR="004F244C" w:rsidRPr="00326B3B" w:rsidRDefault="00000000" w:rsidP="00326B3B">
      <w:pPr>
        <w:spacing w:after="0"/>
        <w:jc w:val="both"/>
        <w:rPr>
          <w:rFonts w:cs="Times New Roman"/>
        </w:rPr>
      </w:pPr>
      <w:r w:rsidRPr="00326B3B">
        <w:rPr>
          <w:rFonts w:cs="Times New Roman"/>
        </w:rPr>
        <w:t>Pandas &amp; NumPy (McKinney, 2010):  Employed for the structural harmonization of mismatched datasets (World Bank metadata bloat vs. WID semicolon-delimited formats).</w:t>
      </w:r>
    </w:p>
    <w:p w14:paraId="48D447AE" w14:textId="77777777" w:rsidR="004F244C" w:rsidRPr="00326B3B" w:rsidRDefault="00000000" w:rsidP="00326B3B">
      <w:pPr>
        <w:spacing w:after="0"/>
        <w:jc w:val="both"/>
        <w:rPr>
          <w:rFonts w:cs="Times New Roman"/>
        </w:rPr>
      </w:pPr>
      <w:r w:rsidRPr="00326B3B">
        <w:rPr>
          <w:rFonts w:cs="Times New Roman"/>
        </w:rPr>
        <w:t>Linearmodels (Sheppard, 2021):  This library was critical for executing the  Arellano-Bond Difference GMM  and  Fixed Effects  models, providing the high-dimensional matrix inversions required for valid standard error estimation in panels.</w:t>
      </w:r>
    </w:p>
    <w:p w14:paraId="12CEB97A" w14:textId="77777777" w:rsidR="004F244C" w:rsidRPr="00326B3B" w:rsidRDefault="00000000" w:rsidP="00326B3B">
      <w:pPr>
        <w:spacing w:after="0"/>
        <w:jc w:val="both"/>
        <w:rPr>
          <w:rFonts w:cs="Times New Roman"/>
        </w:rPr>
      </w:pPr>
      <w:r w:rsidRPr="00326B3B">
        <w:rPr>
          <w:rFonts w:cs="Times New Roman"/>
        </w:rPr>
        <w:t>Custom Threshold Logic:  Because there is no native Python function for  Hansen’s Panel Threshold Regression , a custom iterative grid-search algorithm was developed.</w:t>
      </w:r>
    </w:p>
    <w:p w14:paraId="1FAE39F1" w14:textId="77777777" w:rsidR="004F244C" w:rsidRPr="00326B3B" w:rsidRDefault="00000000" w:rsidP="00326B3B">
      <w:pPr>
        <w:spacing w:after="0"/>
        <w:jc w:val="both"/>
        <w:rPr>
          <w:rFonts w:cs="Times New Roman"/>
        </w:rPr>
      </w:pPr>
      <w:r w:rsidRPr="00326B3B">
        <w:rPr>
          <w:rFonts w:cs="Times New Roman"/>
        </w:rPr>
        <w:t>This script endogenously tested 1,000 potential debt-to-GDP thresholds per bloc, calculating the Sum of Squared Residuals (SSR) for each iteration to identify the absolute mathematical tipping point.</w:t>
      </w:r>
    </w:p>
    <w:p w14:paraId="79F18400" w14:textId="77777777" w:rsidR="004F244C" w:rsidRPr="00326B3B" w:rsidRDefault="00000000" w:rsidP="00326B3B">
      <w:pPr>
        <w:spacing w:after="0"/>
        <w:jc w:val="both"/>
        <w:rPr>
          <w:rFonts w:cs="Times New Roman"/>
        </w:rPr>
      </w:pPr>
      <w:r w:rsidRPr="00326B3B">
        <w:rPr>
          <w:rFonts w:cs="Times New Roman"/>
        </w:rPr>
        <w:t>This custom deconstruction represents the researcher's synthesis of AI-assisted coding and traditional econometric theory.</w:t>
      </w:r>
    </w:p>
    <w:p w14:paraId="4161EFB5" w14:textId="77777777" w:rsidR="004F244C" w:rsidRPr="00326B3B" w:rsidRDefault="00000000" w:rsidP="00326B3B">
      <w:pPr>
        <w:spacing w:after="0"/>
        <w:rPr>
          <w:rFonts w:cs="Times New Roman"/>
          <w:b/>
        </w:rPr>
      </w:pPr>
      <w:r w:rsidRPr="00326B3B">
        <w:rPr>
          <w:rFonts w:cs="Times New Roman"/>
          <w:b/>
        </w:rPr>
        <w:t>3.4 Diagnostic Pipeline: Stationarity and Specification</w:t>
      </w:r>
    </w:p>
    <w:p w14:paraId="6535C865" w14:textId="77777777" w:rsidR="004F244C" w:rsidRPr="00326B3B" w:rsidRDefault="00000000" w:rsidP="00326B3B">
      <w:pPr>
        <w:spacing w:after="0"/>
        <w:jc w:val="both"/>
        <w:rPr>
          <w:rFonts w:cs="Times New Roman"/>
        </w:rPr>
      </w:pPr>
      <w:r w:rsidRPr="00326B3B">
        <w:rPr>
          <w:rFonts w:cs="Times New Roman"/>
        </w:rPr>
        <w:t>To prevent spurious regressions, the study employed a rigorous diagnostic sequence.</w:t>
      </w:r>
    </w:p>
    <w:p w14:paraId="5B55BC22" w14:textId="77777777" w:rsidR="004F244C" w:rsidRPr="00326B3B" w:rsidRDefault="00000000" w:rsidP="00326B3B">
      <w:pPr>
        <w:spacing w:after="0"/>
        <w:rPr>
          <w:rFonts w:cs="Times New Roman"/>
          <w:b/>
        </w:rPr>
      </w:pPr>
      <w:r w:rsidRPr="00326B3B">
        <w:rPr>
          <w:rFonts w:cs="Times New Roman"/>
          <w:b/>
        </w:rPr>
        <w:t>3.4.1 Unit Root Testing:</w:t>
      </w:r>
    </w:p>
    <w:p w14:paraId="031F3E58" w14:textId="77777777" w:rsidR="004F244C" w:rsidRPr="00326B3B" w:rsidRDefault="00000000" w:rsidP="00326B3B">
      <w:pPr>
        <w:spacing w:after="0"/>
        <w:jc w:val="both"/>
        <w:rPr>
          <w:rFonts w:cs="Times New Roman"/>
        </w:rPr>
      </w:pPr>
      <w:r w:rsidRPr="00326B3B">
        <w:rPr>
          <w:rFonts w:cs="Times New Roman"/>
        </w:rPr>
        <w:t>Confirmed stationarity is a prerequisite for valid panel modeling. This study deployed both the Augmented Dickey-Fuller (ADF) and the non-parametric Phillips-Perron (PP) tests.</w:t>
      </w:r>
    </w:p>
    <w:p w14:paraId="60A76F36" w14:textId="77777777" w:rsidR="004F244C" w:rsidRPr="00326B3B" w:rsidRDefault="00000000" w:rsidP="00326B3B">
      <w:pPr>
        <w:spacing w:after="0"/>
        <w:jc w:val="both"/>
        <w:rPr>
          <w:rFonts w:cs="Times New Roman"/>
        </w:rPr>
      </w:pPr>
      <w:r w:rsidRPr="00326B3B">
        <w:rPr>
          <w:rFonts w:cs="Times New Roman"/>
        </w:rPr>
        <w:t>Both tests confirmed that the core variables—specifically the engineered Elite Capture Ratio—safely rejected the null hypothesis of a unit root, validating their use in levels.</w:t>
      </w:r>
    </w:p>
    <w:p w14:paraId="12626222" w14:textId="77777777" w:rsidR="004F244C" w:rsidRPr="00326B3B" w:rsidRDefault="00000000" w:rsidP="00326B3B">
      <w:pPr>
        <w:spacing w:after="0"/>
        <w:rPr>
          <w:rFonts w:cs="Times New Roman"/>
          <w:b/>
        </w:rPr>
      </w:pPr>
      <w:r w:rsidRPr="00326B3B">
        <w:rPr>
          <w:rFonts w:cs="Times New Roman"/>
          <w:b/>
        </w:rPr>
        <w:t>3.4.2 Hausman Specification Test:</w:t>
      </w:r>
    </w:p>
    <w:p w14:paraId="635B71F7" w14:textId="77777777" w:rsidR="004F244C" w:rsidRPr="00326B3B" w:rsidRDefault="00000000" w:rsidP="00326B3B">
      <w:pPr>
        <w:spacing w:after="0"/>
        <w:jc w:val="both"/>
        <w:rPr>
          <w:rFonts w:cs="Times New Roman"/>
        </w:rPr>
      </w:pPr>
      <w:r w:rsidRPr="00326B3B">
        <w:rPr>
          <w:rFonts w:cs="Times New Roman"/>
        </w:rPr>
        <w:t>A Hausman test was executed to determine the consistency of the Random Effects (RE) estimator. The test consistently favored the  Fixed Effects (FE)  model.</w:t>
      </w:r>
    </w:p>
    <w:p w14:paraId="462FF2BD" w14:textId="77777777" w:rsidR="004F244C" w:rsidRPr="00326B3B" w:rsidRDefault="00000000" w:rsidP="00326B3B">
      <w:pPr>
        <w:spacing w:after="0"/>
        <w:jc w:val="both"/>
        <w:rPr>
          <w:rFonts w:cs="Times New Roman"/>
        </w:rPr>
      </w:pPr>
      <w:r w:rsidRPr="00326B3B">
        <w:rPr>
          <w:rFonts w:cs="Times New Roman"/>
        </w:rPr>
        <w:lastRenderedPageBreak/>
        <w:t>This is theoretically sound, as it allows the model to "scrub" unobserved, time-invariant country heterogeneity—such as deeply rooted legal institutions or geographical trade advantages—focusing instead on the  within-country  impact of debt shocks.</w:t>
      </w:r>
    </w:p>
    <w:p w14:paraId="3880069D" w14:textId="77777777" w:rsidR="004F244C" w:rsidRPr="00326B3B" w:rsidRDefault="00000000" w:rsidP="00326B3B">
      <w:pPr>
        <w:spacing w:after="0"/>
        <w:rPr>
          <w:rFonts w:cs="Times New Roman"/>
          <w:b/>
        </w:rPr>
      </w:pPr>
      <w:r w:rsidRPr="00326B3B">
        <w:rPr>
          <w:rFonts w:cs="Times New Roman"/>
          <w:b/>
        </w:rPr>
        <w:t>3.5 Addressing Endogeneity: Difference GMM</w:t>
      </w:r>
    </w:p>
    <w:p w14:paraId="228A9997" w14:textId="77777777" w:rsidR="004F244C" w:rsidRPr="00326B3B" w:rsidRDefault="00000000" w:rsidP="00326B3B">
      <w:pPr>
        <w:spacing w:after="0"/>
        <w:jc w:val="both"/>
        <w:rPr>
          <w:rFonts w:cs="Times New Roman"/>
        </w:rPr>
      </w:pPr>
      <w:r w:rsidRPr="00326B3B">
        <w:rPr>
          <w:rFonts w:cs="Times New Roman"/>
        </w:rPr>
        <w:t>A primary failure of many debt studies is ignoring  dynamic endogeneity .</w:t>
      </w:r>
    </w:p>
    <w:p w14:paraId="3A33068E" w14:textId="77777777" w:rsidR="004F244C" w:rsidRPr="00326B3B" w:rsidRDefault="00000000" w:rsidP="00326B3B">
      <w:pPr>
        <w:spacing w:after="0"/>
        <w:jc w:val="both"/>
        <w:rPr>
          <w:rFonts w:cs="Times New Roman"/>
        </w:rPr>
      </w:pPr>
      <w:r w:rsidRPr="00326B3B">
        <w:rPr>
          <w:rFonts w:cs="Times New Roman"/>
        </w:rPr>
        <w:t>In the real market, debt and growth are in a self-feeding loop.</w:t>
      </w:r>
    </w:p>
    <w:p w14:paraId="528F411D" w14:textId="77777777" w:rsidR="004F244C" w:rsidRPr="00326B3B" w:rsidRDefault="00000000" w:rsidP="00326B3B">
      <w:pPr>
        <w:spacing w:after="0"/>
        <w:jc w:val="both"/>
        <w:rPr>
          <w:rFonts w:cs="Times New Roman"/>
        </w:rPr>
      </w:pPr>
      <w:r w:rsidRPr="00326B3B">
        <w:rPr>
          <w:rFonts w:cs="Times New Roman"/>
        </w:rPr>
        <w:t>To isolate the purely exogenous shock of borrowing, this study employs the  Arellano-Bond (1991)  Difference GMM.</w:t>
      </w:r>
    </w:p>
    <w:p w14:paraId="5CC1D2F8" w14:textId="77777777" w:rsidR="004F244C" w:rsidRPr="00326B3B" w:rsidRDefault="00000000" w:rsidP="00326B3B">
      <w:pPr>
        <w:spacing w:after="0"/>
        <w:jc w:val="both"/>
        <w:rPr>
          <w:rFonts w:cs="Times New Roman"/>
        </w:rPr>
      </w:pPr>
      <w:r w:rsidRPr="00326B3B">
        <w:rPr>
          <w:rFonts w:cs="Times New Roman"/>
        </w:rPr>
        <w:t>By taking the first difference of the variables and using deep historical lags as instruments, the model ensures that the results reflect a causal path from debt to economic outcomes.</w:t>
      </w:r>
    </w:p>
    <w:p w14:paraId="12C76158" w14:textId="77777777" w:rsidR="004F244C" w:rsidRPr="00326B3B" w:rsidRDefault="00000000" w:rsidP="00326B3B">
      <w:pPr>
        <w:spacing w:after="0"/>
        <w:jc w:val="both"/>
        <w:rPr>
          <w:rFonts w:cs="Times New Roman"/>
        </w:rPr>
      </w:pPr>
      <w:r w:rsidRPr="00326B3B">
        <w:rPr>
          <w:rFonts w:cs="Times New Roman"/>
        </w:rPr>
        <w:t>The validity of this instrument matrix is mathematically confirmed via the  Hansen J-Test .</w:t>
      </w:r>
    </w:p>
    <w:p w14:paraId="05EE1A01" w14:textId="77777777" w:rsidR="004F244C" w:rsidRPr="00326B3B" w:rsidRDefault="00000000" w:rsidP="00326B3B">
      <w:pPr>
        <w:spacing w:after="0"/>
        <w:rPr>
          <w:rFonts w:cs="Times New Roman"/>
          <w:b/>
        </w:rPr>
      </w:pPr>
      <w:r w:rsidRPr="00326B3B">
        <w:rPr>
          <w:rFonts w:cs="Times New Roman"/>
          <w:b/>
        </w:rPr>
        <w:t>3.6 Endogenous Regime Shifts: The 3σ Approach</w:t>
      </w:r>
    </w:p>
    <w:p w14:paraId="1A685236" w14:textId="77777777" w:rsidR="004F244C" w:rsidRPr="00326B3B" w:rsidRDefault="00000000" w:rsidP="00326B3B">
      <w:pPr>
        <w:spacing w:after="0"/>
        <w:jc w:val="both"/>
        <w:rPr>
          <w:rFonts w:cs="Times New Roman"/>
        </w:rPr>
      </w:pPr>
      <w:r w:rsidRPr="00326B3B">
        <w:rPr>
          <w:rFonts w:cs="Times New Roman"/>
        </w:rPr>
        <w:t>The final methodology tests the hypothesis of  Dynamic Regime Shifts .</w:t>
      </w:r>
    </w:p>
    <w:p w14:paraId="2F269DC9" w14:textId="77777777" w:rsidR="004F244C" w:rsidRPr="00326B3B" w:rsidRDefault="00000000" w:rsidP="00326B3B">
      <w:pPr>
        <w:spacing w:after="0"/>
        <w:jc w:val="both"/>
        <w:rPr>
          <w:rFonts w:cs="Times New Roman"/>
        </w:rPr>
      </w:pPr>
      <w:r w:rsidRPr="00326B3B">
        <w:rPr>
          <w:rFonts w:cs="Times New Roman"/>
        </w:rPr>
        <w:t>Building upon Hansen (1999), this research does not treat debt thresholds as static constants.</w:t>
      </w:r>
    </w:p>
    <w:p w14:paraId="777FFC63" w14:textId="77777777" w:rsidR="004F244C" w:rsidRPr="00326B3B" w:rsidRDefault="00000000" w:rsidP="00326B3B">
      <w:pPr>
        <w:spacing w:after="0"/>
        <w:jc w:val="both"/>
        <w:rPr>
          <w:rFonts w:cs="Times New Roman"/>
        </w:rPr>
      </w:pPr>
      <w:r w:rsidRPr="00326B3B">
        <w:rPr>
          <w:rFonts w:cs="Times New Roman"/>
        </w:rPr>
        <w:t>Instead, it utilizes the standard deviation (σ) of the SSR curve to identify:</w:t>
      </w:r>
    </w:p>
    <w:p w14:paraId="0402500A" w14:textId="77777777" w:rsidR="004F244C" w:rsidRPr="00326B3B" w:rsidRDefault="00000000" w:rsidP="00326B3B">
      <w:pPr>
        <w:spacing w:after="0"/>
        <w:jc w:val="both"/>
        <w:rPr>
          <w:rFonts w:cs="Times New Roman"/>
        </w:rPr>
      </w:pPr>
      <w:r w:rsidRPr="00326B3B">
        <w:rPr>
          <w:rFonts w:cs="Times New Roman"/>
        </w:rPr>
        <w:t>The Absolute Minimum Threshold:  The strict structural limit where debt becomes a drag on growth.</w:t>
      </w:r>
    </w:p>
    <w:p w14:paraId="67C53CAA" w14:textId="77777777" w:rsidR="004F244C" w:rsidRPr="00326B3B" w:rsidRDefault="00000000" w:rsidP="00326B3B">
      <w:pPr>
        <w:spacing w:after="0"/>
        <w:jc w:val="both"/>
        <w:rPr>
          <w:rFonts w:cs="Times New Roman"/>
        </w:rPr>
      </w:pPr>
      <w:r w:rsidRPr="00326B3B">
        <w:rPr>
          <w:rFonts w:cs="Times New Roman"/>
        </w:rPr>
        <w:t>The Forgiving Regimes (+1σ and +3σ):  These windows identify "crisis-elasticity"—the degree to which an economy can temporarily absorb higher debt during periods of global instability (like the 2008 GFC) before the structural break becomes permanent.</w:t>
      </w:r>
    </w:p>
    <w:p w14:paraId="4693002A" w14:textId="77777777" w:rsidR="00326B3B" w:rsidRDefault="00326B3B" w:rsidP="00326B3B">
      <w:pPr>
        <w:spacing w:after="0"/>
        <w:rPr>
          <w:rFonts w:cs="Times New Roman"/>
          <w:b/>
          <w:sz w:val="28"/>
        </w:rPr>
      </w:pPr>
    </w:p>
    <w:p w14:paraId="39163FF2" w14:textId="77777777" w:rsidR="00326B3B" w:rsidRDefault="00326B3B" w:rsidP="00326B3B">
      <w:pPr>
        <w:spacing w:after="0"/>
        <w:rPr>
          <w:rFonts w:cs="Times New Roman"/>
          <w:b/>
          <w:sz w:val="28"/>
        </w:rPr>
      </w:pPr>
    </w:p>
    <w:p w14:paraId="14B525F8" w14:textId="107A2626" w:rsidR="004F244C" w:rsidRPr="00326B3B" w:rsidRDefault="00000000" w:rsidP="00326B3B">
      <w:pPr>
        <w:spacing w:after="0"/>
        <w:rPr>
          <w:rFonts w:cs="Times New Roman"/>
          <w:b/>
          <w:sz w:val="28"/>
        </w:rPr>
      </w:pPr>
      <w:r w:rsidRPr="00326B3B">
        <w:rPr>
          <w:rFonts w:cs="Times New Roman"/>
          <w:b/>
          <w:sz w:val="28"/>
        </w:rPr>
        <w:t>4. The Empirical Results</w:t>
      </w:r>
    </w:p>
    <w:p w14:paraId="047E5744" w14:textId="77777777" w:rsidR="004F244C" w:rsidRPr="00326B3B" w:rsidRDefault="00000000" w:rsidP="00326B3B">
      <w:pPr>
        <w:spacing w:after="0"/>
        <w:rPr>
          <w:rFonts w:cs="Times New Roman"/>
          <w:b/>
        </w:rPr>
      </w:pPr>
      <w:r w:rsidRPr="00326B3B">
        <w:rPr>
          <w:rFonts w:cs="Times New Roman"/>
          <w:b/>
        </w:rPr>
        <w:t>4.1 Descriptive Statistics and Stationarity Analysis</w:t>
      </w:r>
    </w:p>
    <w:p w14:paraId="7DE679B5" w14:textId="77777777" w:rsidR="004F244C" w:rsidRPr="00326B3B" w:rsidRDefault="00000000" w:rsidP="00326B3B">
      <w:pPr>
        <w:spacing w:after="0"/>
        <w:jc w:val="both"/>
        <w:rPr>
          <w:rFonts w:cs="Times New Roman"/>
        </w:rPr>
      </w:pPr>
      <w:r w:rsidRPr="00326B3B">
        <w:rPr>
          <w:rFonts w:cs="Times New Roman"/>
        </w:rPr>
        <w:t>Before proceeding with panel regressions, we conduct an Exploratory Data Analysis (EDA) to understand the distribution of our variables and a stationarity test to ensure the mathematical validity of our models.</w:t>
      </w:r>
    </w:p>
    <w:p w14:paraId="0DD802D4" w14:textId="77777777" w:rsidR="004F244C" w:rsidRPr="00326B3B" w:rsidRDefault="00000000" w:rsidP="00326B3B">
      <w:pPr>
        <w:spacing w:after="0"/>
        <w:rPr>
          <w:rFonts w:cs="Times New Roman"/>
          <w:b/>
        </w:rPr>
      </w:pPr>
      <w:r w:rsidRPr="00326B3B">
        <w:rPr>
          <w:rFonts w:cs="Times New Roman"/>
          <w:b/>
        </w:rPr>
        <w:t>4.1.1 Summary Statistics</w:t>
      </w:r>
    </w:p>
    <w:p w14:paraId="32F12C0C" w14:textId="77777777" w:rsidR="004F244C" w:rsidRPr="00326B3B" w:rsidRDefault="00000000" w:rsidP="00326B3B">
      <w:pPr>
        <w:spacing w:after="0"/>
        <w:jc w:val="both"/>
        <w:rPr>
          <w:rFonts w:cs="Times New Roman"/>
        </w:rPr>
      </w:pPr>
      <w:r w:rsidRPr="00326B3B">
        <w:rPr>
          <w:rFonts w:cs="Times New Roman"/>
        </w:rPr>
        <w:lastRenderedPageBreak/>
        <w:t>The global panel (1995–2022) reveals a diverse macroeconomic landscape. The average global GDP growth stands at 3.08%, with a mean debt-to-GDP ratio of 59.49%.</w:t>
      </w:r>
    </w:p>
    <w:p w14:paraId="6933A891" w14:textId="77777777" w:rsidR="004F244C" w:rsidRPr="00326B3B" w:rsidRDefault="00000000" w:rsidP="00326B3B">
      <w:pPr>
        <w:spacing w:after="0"/>
        <w:jc w:val="both"/>
        <w:rPr>
          <w:rFonts w:cs="Times New Roman"/>
        </w:rPr>
      </w:pPr>
      <w:r w:rsidRPr="00326B3B">
        <w:rPr>
          <w:rFonts w:cs="Times New Roman"/>
        </w:rPr>
        <w:t>However, when disaggregated by economic bloc, structural differences emerge:</w:t>
      </w:r>
    </w:p>
    <w:p w14:paraId="7DD6A534" w14:textId="77777777" w:rsidR="004F244C" w:rsidRPr="00326B3B" w:rsidRDefault="00000000" w:rsidP="00326B3B">
      <w:pPr>
        <w:spacing w:after="0"/>
        <w:jc w:val="both"/>
        <w:rPr>
          <w:rFonts w:cs="Times New Roman"/>
        </w:rPr>
      </w:pPr>
      <w:r w:rsidRPr="00326B3B">
        <w:rPr>
          <w:rFonts w:cs="Times New Roman"/>
        </w:rPr>
        <w:t>OECD (Advanced):  Maintains the highest average debt levels (63.88%) but the lowest average growth (2.61%).</w:t>
      </w:r>
    </w:p>
    <w:p w14:paraId="2E8CB6A0" w14:textId="77777777" w:rsidR="004F244C" w:rsidRPr="00326B3B" w:rsidRDefault="00000000" w:rsidP="00326B3B">
      <w:pPr>
        <w:spacing w:after="0"/>
        <w:jc w:val="both"/>
        <w:rPr>
          <w:rFonts w:cs="Times New Roman"/>
        </w:rPr>
      </w:pPr>
      <w:r w:rsidRPr="00326B3B">
        <w:rPr>
          <w:rFonts w:cs="Times New Roman"/>
        </w:rPr>
        <w:t>BRICS (Developing):  Exhibits higher average growth (4.71%) with a lower, yet volatile, average debt level (50.61%).</w:t>
      </w:r>
    </w:p>
    <w:p w14:paraId="6746DFD4" w14:textId="77777777" w:rsidR="004F244C" w:rsidRPr="00326B3B" w:rsidRDefault="00000000" w:rsidP="00326B3B">
      <w:pPr>
        <w:spacing w:after="0"/>
        <w:jc w:val="both"/>
        <w:rPr>
          <w:rFonts w:cs="Times New Roman"/>
        </w:rPr>
      </w:pPr>
      <w:r w:rsidRPr="00326B3B">
        <w:rPr>
          <w:rFonts w:cs="Times New Roman"/>
        </w:rPr>
        <w:t>OECD (Emerging):  Sits in the middle with 3.85% growth and 43.44% debt.</w:t>
      </w:r>
    </w:p>
    <w:p w14:paraId="2505C1B3" w14:textId="77777777" w:rsidR="004F244C" w:rsidRPr="00326B3B" w:rsidRDefault="00000000" w:rsidP="00326B3B">
      <w:pPr>
        <w:spacing w:after="0"/>
        <w:jc w:val="both"/>
        <w:rPr>
          <w:rFonts w:cs="Times New Roman"/>
        </w:rPr>
      </w:pPr>
      <w:r w:rsidRPr="00326B3B">
        <w:rPr>
          <w:rFonts w:cs="Times New Roman"/>
        </w:rPr>
        <w:t>Notably, wealth inequality (Top 10% share) is highest in the OECD Emerging bloc (mean 0.66) and BRICS (0.64), compared to the Advanced OECD (0.58), suggesting that emerging markets handle significantly more top-heavy wealth distributions during their growth phases.</w:t>
      </w:r>
    </w:p>
    <w:p w14:paraId="68E4C944" w14:textId="77777777" w:rsidR="004F244C" w:rsidRPr="00326B3B" w:rsidRDefault="00000000" w:rsidP="00326B3B">
      <w:pPr>
        <w:spacing w:after="0"/>
        <w:rPr>
          <w:rFonts w:cs="Times New Roman"/>
          <w:b/>
        </w:rPr>
      </w:pPr>
      <w:r w:rsidRPr="00326B3B">
        <w:rPr>
          <w:rFonts w:cs="Times New Roman"/>
          <w:b/>
        </w:rPr>
        <w:t>4.1.2 Unit Root and Stationarity Testing</w:t>
      </w:r>
    </w:p>
    <w:p w14:paraId="2C0A1C5B" w14:textId="77777777" w:rsidR="004F244C" w:rsidRPr="00326B3B" w:rsidRDefault="00000000" w:rsidP="00326B3B">
      <w:pPr>
        <w:spacing w:after="0"/>
        <w:jc w:val="both"/>
        <w:rPr>
          <w:rFonts w:cs="Times New Roman"/>
        </w:rPr>
      </w:pPr>
      <w:r w:rsidRPr="00326B3B">
        <w:rPr>
          <w:rFonts w:cs="Times New Roman"/>
        </w:rPr>
        <w:t>To validate the panel for regression, we applied the Augmented Dickey-Fuller (ADF) and Phillips-Perron (PP) tests to all core variables.</w:t>
      </w:r>
    </w:p>
    <w:p w14:paraId="1AEEA30E" w14:textId="77777777" w:rsidR="004F244C" w:rsidRPr="00326B3B" w:rsidRDefault="00000000" w:rsidP="00326B3B">
      <w:pPr>
        <w:spacing w:after="0"/>
        <w:jc w:val="both"/>
        <w:rPr>
          <w:rFonts w:cs="Times New Roman"/>
        </w:rPr>
      </w:pPr>
      <w:r w:rsidRPr="00326B3B">
        <w:rPr>
          <w:rFonts w:cs="Times New Roman"/>
        </w:rPr>
        <w:t>Results:</w:t>
      </w:r>
    </w:p>
    <w:p w14:paraId="4FF21B50" w14:textId="77777777" w:rsidR="004F244C" w:rsidRPr="00326B3B" w:rsidRDefault="00000000" w:rsidP="00326B3B">
      <w:pPr>
        <w:spacing w:after="0"/>
        <w:jc w:val="both"/>
        <w:rPr>
          <w:rFonts w:cs="Times New Roman"/>
        </w:rPr>
      </w:pPr>
      <w:r w:rsidRPr="00326B3B">
        <w:rPr>
          <w:rFonts w:cs="Times New Roman"/>
        </w:rPr>
        <w:t>As shown in Table 1 below, all variables—including GDP growth, Government Debt, and Wealth Inequality—rejected the null hypothesis at the p &lt; 0.0001 level.</w:t>
      </w:r>
    </w:p>
    <w:p w14:paraId="160EB3FE" w14:textId="77777777" w:rsidR="004F244C" w:rsidRPr="00326B3B" w:rsidRDefault="00000000" w:rsidP="00326B3B">
      <w:pPr>
        <w:spacing w:after="0"/>
        <w:jc w:val="both"/>
        <w:rPr>
          <w:rFonts w:cs="Times New Roman"/>
        </w:rPr>
      </w:pPr>
      <w:r w:rsidRPr="00326B3B">
        <w:rPr>
          <w:rFonts w:cs="Times New Roman"/>
        </w:rPr>
        <w:t>We conclude that all variables are  Robustly Stationary , allowing us to proceed with models in levels rather than first-differences for our baseline regressions.</w:t>
      </w:r>
    </w:p>
    <w:p w14:paraId="4D1BC847" w14:textId="77777777" w:rsidR="004F244C" w:rsidRPr="00326B3B" w:rsidRDefault="00000000" w:rsidP="00326B3B">
      <w:pPr>
        <w:spacing w:after="0"/>
        <w:jc w:val="both"/>
        <w:rPr>
          <w:rFonts w:cs="Times New Roman"/>
        </w:rPr>
      </w:pPr>
      <w:r w:rsidRPr="00326B3B">
        <w:rPr>
          <w:rFonts w:cs="Times New Roman"/>
        </w:rPr>
        <w:t>Table 1. Unit Root Testing Results</w:t>
      </w:r>
    </w:p>
    <w:tbl>
      <w:tblPr>
        <w:tblStyle w:val="TableGrid"/>
        <w:tblW w:w="0" w:type="auto"/>
        <w:tblLook w:val="04A0" w:firstRow="1" w:lastRow="0" w:firstColumn="1" w:lastColumn="0" w:noHBand="0" w:noVBand="1"/>
      </w:tblPr>
      <w:tblGrid>
        <w:gridCol w:w="2160"/>
        <w:gridCol w:w="2160"/>
        <w:gridCol w:w="2160"/>
        <w:gridCol w:w="2160"/>
      </w:tblGrid>
      <w:tr w:rsidR="004F244C" w:rsidRPr="00326B3B" w14:paraId="624D08D7" w14:textId="77777777">
        <w:tc>
          <w:tcPr>
            <w:tcW w:w="2160" w:type="dxa"/>
          </w:tcPr>
          <w:p w14:paraId="3DDF1DB1" w14:textId="77777777" w:rsidR="004F244C" w:rsidRPr="00326B3B" w:rsidRDefault="00000000" w:rsidP="00326B3B">
            <w:pPr>
              <w:jc w:val="both"/>
              <w:rPr>
                <w:rFonts w:cs="Times New Roman"/>
              </w:rPr>
            </w:pPr>
            <w:r w:rsidRPr="00326B3B">
              <w:rPr>
                <w:rFonts w:cs="Times New Roman"/>
              </w:rPr>
              <w:t>Variable</w:t>
            </w:r>
          </w:p>
        </w:tc>
        <w:tc>
          <w:tcPr>
            <w:tcW w:w="2160" w:type="dxa"/>
          </w:tcPr>
          <w:p w14:paraId="3382D73C" w14:textId="77777777" w:rsidR="004F244C" w:rsidRPr="00326B3B" w:rsidRDefault="00000000" w:rsidP="00326B3B">
            <w:pPr>
              <w:jc w:val="both"/>
              <w:rPr>
                <w:rFonts w:cs="Times New Roman"/>
              </w:rPr>
            </w:pPr>
            <w:r w:rsidRPr="00326B3B">
              <w:rPr>
                <w:rFonts w:cs="Times New Roman"/>
              </w:rPr>
              <w:t>ADF p-value</w:t>
            </w:r>
          </w:p>
        </w:tc>
        <w:tc>
          <w:tcPr>
            <w:tcW w:w="2160" w:type="dxa"/>
          </w:tcPr>
          <w:p w14:paraId="3D87DAA9" w14:textId="77777777" w:rsidR="004F244C" w:rsidRPr="00326B3B" w:rsidRDefault="00000000" w:rsidP="00326B3B">
            <w:pPr>
              <w:jc w:val="both"/>
              <w:rPr>
                <w:rFonts w:cs="Times New Roman"/>
              </w:rPr>
            </w:pPr>
            <w:r w:rsidRPr="00326B3B">
              <w:rPr>
                <w:rFonts w:cs="Times New Roman"/>
              </w:rPr>
              <w:t>PP p-value</w:t>
            </w:r>
          </w:p>
        </w:tc>
        <w:tc>
          <w:tcPr>
            <w:tcW w:w="2160" w:type="dxa"/>
          </w:tcPr>
          <w:p w14:paraId="1FDC5246" w14:textId="77777777" w:rsidR="004F244C" w:rsidRPr="00326B3B" w:rsidRDefault="00000000" w:rsidP="00326B3B">
            <w:pPr>
              <w:jc w:val="both"/>
              <w:rPr>
                <w:rFonts w:cs="Times New Roman"/>
              </w:rPr>
            </w:pPr>
            <w:r w:rsidRPr="00326B3B">
              <w:rPr>
                <w:rFonts w:cs="Times New Roman"/>
              </w:rPr>
              <w:t>Joint Conclusion</w:t>
            </w:r>
          </w:p>
        </w:tc>
      </w:tr>
      <w:tr w:rsidR="004F244C" w:rsidRPr="00326B3B" w14:paraId="72DF3A75" w14:textId="77777777">
        <w:tc>
          <w:tcPr>
            <w:tcW w:w="2160" w:type="dxa"/>
          </w:tcPr>
          <w:p w14:paraId="40590FE6" w14:textId="77777777" w:rsidR="004F244C" w:rsidRPr="00326B3B" w:rsidRDefault="00000000" w:rsidP="00326B3B">
            <w:pPr>
              <w:jc w:val="both"/>
              <w:rPr>
                <w:rFonts w:cs="Times New Roman"/>
              </w:rPr>
            </w:pPr>
            <w:r w:rsidRPr="00326B3B">
              <w:rPr>
                <w:rFonts w:cs="Times New Roman"/>
              </w:rPr>
              <w:t>GDP growth (annual %)</w:t>
            </w:r>
          </w:p>
        </w:tc>
        <w:tc>
          <w:tcPr>
            <w:tcW w:w="2160" w:type="dxa"/>
          </w:tcPr>
          <w:p w14:paraId="33C3C4B2" w14:textId="77777777" w:rsidR="004F244C" w:rsidRPr="00326B3B" w:rsidRDefault="00000000" w:rsidP="00326B3B">
            <w:pPr>
              <w:jc w:val="both"/>
              <w:rPr>
                <w:rFonts w:cs="Times New Roman"/>
              </w:rPr>
            </w:pPr>
            <w:r w:rsidRPr="00326B3B">
              <w:rPr>
                <w:rFonts w:cs="Times New Roman"/>
              </w:rPr>
              <w:t>&lt;0.0001</w:t>
            </w:r>
          </w:p>
        </w:tc>
        <w:tc>
          <w:tcPr>
            <w:tcW w:w="2160" w:type="dxa"/>
          </w:tcPr>
          <w:p w14:paraId="785DA7D8" w14:textId="77777777" w:rsidR="004F244C" w:rsidRPr="00326B3B" w:rsidRDefault="00000000" w:rsidP="00326B3B">
            <w:pPr>
              <w:jc w:val="both"/>
              <w:rPr>
                <w:rFonts w:cs="Times New Roman"/>
              </w:rPr>
            </w:pPr>
            <w:r w:rsidRPr="00326B3B">
              <w:rPr>
                <w:rFonts w:cs="Times New Roman"/>
              </w:rPr>
              <w:t>&lt;0.0001</w:t>
            </w:r>
          </w:p>
        </w:tc>
        <w:tc>
          <w:tcPr>
            <w:tcW w:w="2160" w:type="dxa"/>
          </w:tcPr>
          <w:p w14:paraId="3BFCF8BD" w14:textId="77777777" w:rsidR="004F244C" w:rsidRPr="00326B3B" w:rsidRDefault="00000000" w:rsidP="00326B3B">
            <w:pPr>
              <w:rPr>
                <w:rFonts w:cs="Times New Roman"/>
                <w:bCs/>
                <w:sz w:val="22"/>
              </w:rPr>
            </w:pPr>
            <w:r w:rsidRPr="00326B3B">
              <w:rPr>
                <w:rFonts w:cs="Times New Roman"/>
                <w:bCs/>
                <w:sz w:val="22"/>
              </w:rPr>
              <w:t>ROBUST STATIONARY</w:t>
            </w:r>
          </w:p>
        </w:tc>
      </w:tr>
      <w:tr w:rsidR="004F244C" w:rsidRPr="00326B3B" w14:paraId="441BC3EF" w14:textId="77777777">
        <w:tc>
          <w:tcPr>
            <w:tcW w:w="2160" w:type="dxa"/>
          </w:tcPr>
          <w:p w14:paraId="78D28580" w14:textId="77777777" w:rsidR="004F244C" w:rsidRPr="00326B3B" w:rsidRDefault="00000000" w:rsidP="00326B3B">
            <w:pPr>
              <w:jc w:val="both"/>
              <w:rPr>
                <w:rFonts w:cs="Times New Roman"/>
              </w:rPr>
            </w:pPr>
            <w:r w:rsidRPr="00326B3B">
              <w:rPr>
                <w:rFonts w:cs="Times New Roman"/>
              </w:rPr>
              <w:t>General Government Debt (% of GDP)</w:t>
            </w:r>
          </w:p>
        </w:tc>
        <w:tc>
          <w:tcPr>
            <w:tcW w:w="2160" w:type="dxa"/>
          </w:tcPr>
          <w:p w14:paraId="3F586806" w14:textId="77777777" w:rsidR="004F244C" w:rsidRPr="00326B3B" w:rsidRDefault="00000000" w:rsidP="00326B3B">
            <w:pPr>
              <w:jc w:val="both"/>
              <w:rPr>
                <w:rFonts w:cs="Times New Roman"/>
              </w:rPr>
            </w:pPr>
            <w:r w:rsidRPr="00326B3B">
              <w:rPr>
                <w:rFonts w:cs="Times New Roman"/>
              </w:rPr>
              <w:t>&lt;0.0001</w:t>
            </w:r>
          </w:p>
        </w:tc>
        <w:tc>
          <w:tcPr>
            <w:tcW w:w="2160" w:type="dxa"/>
          </w:tcPr>
          <w:p w14:paraId="3D9B9701" w14:textId="77777777" w:rsidR="004F244C" w:rsidRPr="00326B3B" w:rsidRDefault="00000000" w:rsidP="00326B3B">
            <w:pPr>
              <w:jc w:val="both"/>
              <w:rPr>
                <w:rFonts w:cs="Times New Roman"/>
              </w:rPr>
            </w:pPr>
            <w:r w:rsidRPr="00326B3B">
              <w:rPr>
                <w:rFonts w:cs="Times New Roman"/>
              </w:rPr>
              <w:t>&lt;0.0001</w:t>
            </w:r>
          </w:p>
        </w:tc>
        <w:tc>
          <w:tcPr>
            <w:tcW w:w="2160" w:type="dxa"/>
          </w:tcPr>
          <w:p w14:paraId="14FCDFA0" w14:textId="77777777" w:rsidR="004F244C" w:rsidRPr="00326B3B" w:rsidRDefault="00000000" w:rsidP="00326B3B">
            <w:pPr>
              <w:rPr>
                <w:rFonts w:cs="Times New Roman"/>
                <w:bCs/>
                <w:sz w:val="22"/>
              </w:rPr>
            </w:pPr>
            <w:r w:rsidRPr="00326B3B">
              <w:rPr>
                <w:rFonts w:cs="Times New Roman"/>
                <w:bCs/>
                <w:sz w:val="22"/>
              </w:rPr>
              <w:t>ROBUST STATIONARY</w:t>
            </w:r>
          </w:p>
        </w:tc>
      </w:tr>
      <w:tr w:rsidR="004F244C" w:rsidRPr="00326B3B" w14:paraId="48B16354" w14:textId="77777777">
        <w:tc>
          <w:tcPr>
            <w:tcW w:w="2160" w:type="dxa"/>
          </w:tcPr>
          <w:p w14:paraId="7838743F" w14:textId="77777777" w:rsidR="004F244C" w:rsidRPr="00326B3B" w:rsidRDefault="00000000" w:rsidP="00326B3B">
            <w:pPr>
              <w:jc w:val="both"/>
              <w:rPr>
                <w:rFonts w:cs="Times New Roman"/>
              </w:rPr>
            </w:pPr>
            <w:r w:rsidRPr="00326B3B">
              <w:rPr>
                <w:rFonts w:cs="Times New Roman"/>
              </w:rPr>
              <w:t>Gross capital formation (% of GDP)</w:t>
            </w:r>
          </w:p>
        </w:tc>
        <w:tc>
          <w:tcPr>
            <w:tcW w:w="2160" w:type="dxa"/>
          </w:tcPr>
          <w:p w14:paraId="28D09F95" w14:textId="77777777" w:rsidR="004F244C" w:rsidRPr="00326B3B" w:rsidRDefault="00000000" w:rsidP="00326B3B">
            <w:pPr>
              <w:jc w:val="both"/>
              <w:rPr>
                <w:rFonts w:cs="Times New Roman"/>
              </w:rPr>
            </w:pPr>
            <w:r w:rsidRPr="00326B3B">
              <w:rPr>
                <w:rFonts w:cs="Times New Roman"/>
              </w:rPr>
              <w:t>&lt;0.0001</w:t>
            </w:r>
          </w:p>
        </w:tc>
        <w:tc>
          <w:tcPr>
            <w:tcW w:w="2160" w:type="dxa"/>
          </w:tcPr>
          <w:p w14:paraId="6686D2FF" w14:textId="77777777" w:rsidR="004F244C" w:rsidRPr="00326B3B" w:rsidRDefault="00000000" w:rsidP="00326B3B">
            <w:pPr>
              <w:jc w:val="both"/>
              <w:rPr>
                <w:rFonts w:cs="Times New Roman"/>
              </w:rPr>
            </w:pPr>
            <w:r w:rsidRPr="00326B3B">
              <w:rPr>
                <w:rFonts w:cs="Times New Roman"/>
              </w:rPr>
              <w:t>&lt;0.0001</w:t>
            </w:r>
          </w:p>
        </w:tc>
        <w:tc>
          <w:tcPr>
            <w:tcW w:w="2160" w:type="dxa"/>
          </w:tcPr>
          <w:p w14:paraId="5D595F7F" w14:textId="77777777" w:rsidR="004F244C" w:rsidRPr="00326B3B" w:rsidRDefault="00000000" w:rsidP="00326B3B">
            <w:pPr>
              <w:rPr>
                <w:rFonts w:cs="Times New Roman"/>
                <w:bCs/>
                <w:sz w:val="22"/>
              </w:rPr>
            </w:pPr>
            <w:r w:rsidRPr="00326B3B">
              <w:rPr>
                <w:rFonts w:cs="Times New Roman"/>
                <w:bCs/>
                <w:sz w:val="22"/>
              </w:rPr>
              <w:t>ROBUST STATIONARY</w:t>
            </w:r>
          </w:p>
        </w:tc>
      </w:tr>
      <w:tr w:rsidR="004F244C" w:rsidRPr="00326B3B" w14:paraId="52E04882" w14:textId="77777777">
        <w:tc>
          <w:tcPr>
            <w:tcW w:w="2160" w:type="dxa"/>
          </w:tcPr>
          <w:p w14:paraId="583C5F56" w14:textId="77777777" w:rsidR="004F244C" w:rsidRPr="00326B3B" w:rsidRDefault="00000000" w:rsidP="00326B3B">
            <w:pPr>
              <w:jc w:val="both"/>
              <w:rPr>
                <w:rFonts w:cs="Times New Roman"/>
              </w:rPr>
            </w:pPr>
            <w:r w:rsidRPr="00326B3B">
              <w:rPr>
                <w:rFonts w:cs="Times New Roman"/>
              </w:rPr>
              <w:t>Inflation (Annual %)</w:t>
            </w:r>
          </w:p>
        </w:tc>
        <w:tc>
          <w:tcPr>
            <w:tcW w:w="2160" w:type="dxa"/>
          </w:tcPr>
          <w:p w14:paraId="1F224D92" w14:textId="77777777" w:rsidR="004F244C" w:rsidRPr="00326B3B" w:rsidRDefault="00000000" w:rsidP="00326B3B">
            <w:pPr>
              <w:jc w:val="both"/>
              <w:rPr>
                <w:rFonts w:cs="Times New Roman"/>
              </w:rPr>
            </w:pPr>
            <w:r w:rsidRPr="00326B3B">
              <w:rPr>
                <w:rFonts w:cs="Times New Roman"/>
              </w:rPr>
              <w:t>&lt;0.0001</w:t>
            </w:r>
          </w:p>
        </w:tc>
        <w:tc>
          <w:tcPr>
            <w:tcW w:w="2160" w:type="dxa"/>
          </w:tcPr>
          <w:p w14:paraId="0206A007" w14:textId="77777777" w:rsidR="004F244C" w:rsidRPr="00326B3B" w:rsidRDefault="00000000" w:rsidP="00326B3B">
            <w:pPr>
              <w:jc w:val="both"/>
              <w:rPr>
                <w:rFonts w:cs="Times New Roman"/>
              </w:rPr>
            </w:pPr>
            <w:r w:rsidRPr="00326B3B">
              <w:rPr>
                <w:rFonts w:cs="Times New Roman"/>
              </w:rPr>
              <w:t>&lt;0.0001</w:t>
            </w:r>
          </w:p>
        </w:tc>
        <w:tc>
          <w:tcPr>
            <w:tcW w:w="2160" w:type="dxa"/>
          </w:tcPr>
          <w:p w14:paraId="5335D2AE" w14:textId="77777777" w:rsidR="004F244C" w:rsidRPr="00326B3B" w:rsidRDefault="00000000" w:rsidP="00326B3B">
            <w:pPr>
              <w:rPr>
                <w:rFonts w:cs="Times New Roman"/>
                <w:bCs/>
                <w:sz w:val="22"/>
              </w:rPr>
            </w:pPr>
            <w:r w:rsidRPr="00326B3B">
              <w:rPr>
                <w:rFonts w:cs="Times New Roman"/>
                <w:bCs/>
                <w:sz w:val="22"/>
              </w:rPr>
              <w:t>ROBUST STATIONARY</w:t>
            </w:r>
          </w:p>
        </w:tc>
      </w:tr>
      <w:tr w:rsidR="004F244C" w:rsidRPr="00326B3B" w14:paraId="50E0DFB5" w14:textId="77777777">
        <w:tc>
          <w:tcPr>
            <w:tcW w:w="2160" w:type="dxa"/>
          </w:tcPr>
          <w:p w14:paraId="014A9845" w14:textId="77777777" w:rsidR="004F244C" w:rsidRPr="00326B3B" w:rsidRDefault="00000000" w:rsidP="00326B3B">
            <w:pPr>
              <w:jc w:val="both"/>
              <w:rPr>
                <w:rFonts w:cs="Times New Roman"/>
              </w:rPr>
            </w:pPr>
            <w:r w:rsidRPr="00326B3B">
              <w:rPr>
                <w:rFonts w:cs="Times New Roman"/>
              </w:rPr>
              <w:lastRenderedPageBreak/>
              <w:t>Population growth (annual %)</w:t>
            </w:r>
          </w:p>
        </w:tc>
        <w:tc>
          <w:tcPr>
            <w:tcW w:w="2160" w:type="dxa"/>
          </w:tcPr>
          <w:p w14:paraId="25C037E7" w14:textId="77777777" w:rsidR="004F244C" w:rsidRPr="00326B3B" w:rsidRDefault="00000000" w:rsidP="00326B3B">
            <w:pPr>
              <w:jc w:val="both"/>
              <w:rPr>
                <w:rFonts w:cs="Times New Roman"/>
              </w:rPr>
            </w:pPr>
            <w:r w:rsidRPr="00326B3B">
              <w:rPr>
                <w:rFonts w:cs="Times New Roman"/>
              </w:rPr>
              <w:t>&lt;0.0001</w:t>
            </w:r>
          </w:p>
        </w:tc>
        <w:tc>
          <w:tcPr>
            <w:tcW w:w="2160" w:type="dxa"/>
          </w:tcPr>
          <w:p w14:paraId="5A2D7288" w14:textId="77777777" w:rsidR="004F244C" w:rsidRPr="00326B3B" w:rsidRDefault="00000000" w:rsidP="00326B3B">
            <w:pPr>
              <w:jc w:val="both"/>
              <w:rPr>
                <w:rFonts w:cs="Times New Roman"/>
              </w:rPr>
            </w:pPr>
            <w:r w:rsidRPr="00326B3B">
              <w:rPr>
                <w:rFonts w:cs="Times New Roman"/>
              </w:rPr>
              <w:t>&lt;0.0001</w:t>
            </w:r>
          </w:p>
        </w:tc>
        <w:tc>
          <w:tcPr>
            <w:tcW w:w="2160" w:type="dxa"/>
          </w:tcPr>
          <w:p w14:paraId="1C8FBA0A" w14:textId="77777777" w:rsidR="004F244C" w:rsidRPr="00326B3B" w:rsidRDefault="00000000" w:rsidP="00326B3B">
            <w:pPr>
              <w:rPr>
                <w:rFonts w:cs="Times New Roman"/>
                <w:bCs/>
                <w:sz w:val="22"/>
              </w:rPr>
            </w:pPr>
            <w:r w:rsidRPr="00326B3B">
              <w:rPr>
                <w:rFonts w:cs="Times New Roman"/>
                <w:bCs/>
                <w:sz w:val="22"/>
              </w:rPr>
              <w:t>ROBUST STATIONARY</w:t>
            </w:r>
          </w:p>
        </w:tc>
      </w:tr>
      <w:tr w:rsidR="004F244C" w:rsidRPr="00326B3B" w14:paraId="4909C7B6" w14:textId="77777777">
        <w:tc>
          <w:tcPr>
            <w:tcW w:w="2160" w:type="dxa"/>
          </w:tcPr>
          <w:p w14:paraId="5DF306EE" w14:textId="77777777" w:rsidR="004F244C" w:rsidRPr="00326B3B" w:rsidRDefault="00000000" w:rsidP="00326B3B">
            <w:pPr>
              <w:jc w:val="both"/>
              <w:rPr>
                <w:rFonts w:cs="Times New Roman"/>
              </w:rPr>
            </w:pPr>
            <w:r w:rsidRPr="00326B3B">
              <w:rPr>
                <w:rFonts w:cs="Times New Roman"/>
              </w:rPr>
              <w:t>Wealth Inequality (Top 10%)</w:t>
            </w:r>
          </w:p>
        </w:tc>
        <w:tc>
          <w:tcPr>
            <w:tcW w:w="2160" w:type="dxa"/>
          </w:tcPr>
          <w:p w14:paraId="4F5DD30B" w14:textId="77777777" w:rsidR="004F244C" w:rsidRPr="00326B3B" w:rsidRDefault="00000000" w:rsidP="00326B3B">
            <w:pPr>
              <w:jc w:val="both"/>
              <w:rPr>
                <w:rFonts w:cs="Times New Roman"/>
              </w:rPr>
            </w:pPr>
            <w:r w:rsidRPr="00326B3B">
              <w:rPr>
                <w:rFonts w:cs="Times New Roman"/>
              </w:rPr>
              <w:t>&lt;0.0001</w:t>
            </w:r>
          </w:p>
        </w:tc>
        <w:tc>
          <w:tcPr>
            <w:tcW w:w="2160" w:type="dxa"/>
          </w:tcPr>
          <w:p w14:paraId="5D762D21" w14:textId="77777777" w:rsidR="004F244C" w:rsidRPr="00326B3B" w:rsidRDefault="00000000" w:rsidP="00326B3B">
            <w:pPr>
              <w:jc w:val="both"/>
              <w:rPr>
                <w:rFonts w:cs="Times New Roman"/>
              </w:rPr>
            </w:pPr>
            <w:r w:rsidRPr="00326B3B">
              <w:rPr>
                <w:rFonts w:cs="Times New Roman"/>
              </w:rPr>
              <w:t>&lt;0.0001</w:t>
            </w:r>
          </w:p>
        </w:tc>
        <w:tc>
          <w:tcPr>
            <w:tcW w:w="2160" w:type="dxa"/>
          </w:tcPr>
          <w:p w14:paraId="19AE268E" w14:textId="77777777" w:rsidR="004F244C" w:rsidRPr="00326B3B" w:rsidRDefault="00000000" w:rsidP="00326B3B">
            <w:pPr>
              <w:rPr>
                <w:rFonts w:cs="Times New Roman"/>
                <w:bCs/>
                <w:sz w:val="22"/>
              </w:rPr>
            </w:pPr>
            <w:r w:rsidRPr="00326B3B">
              <w:rPr>
                <w:rFonts w:cs="Times New Roman"/>
                <w:bCs/>
                <w:sz w:val="22"/>
              </w:rPr>
              <w:t>ROBUST STATIONARY</w:t>
            </w:r>
          </w:p>
        </w:tc>
      </w:tr>
    </w:tbl>
    <w:p w14:paraId="173F7ED1" w14:textId="77777777" w:rsidR="004F244C" w:rsidRPr="00326B3B" w:rsidRDefault="00000000" w:rsidP="00326B3B">
      <w:pPr>
        <w:spacing w:after="0"/>
        <w:jc w:val="both"/>
        <w:rPr>
          <w:rFonts w:cs="Times New Roman"/>
        </w:rPr>
      </w:pPr>
      <w:r w:rsidRPr="00326B3B">
        <w:rPr>
          <w:rFonts w:cs="Times New Roman"/>
        </w:rPr>
        <w:t>Data source: World Bank WDI and IMF Database</w:t>
      </w:r>
    </w:p>
    <w:p w14:paraId="79F0C867" w14:textId="77777777" w:rsidR="004F244C" w:rsidRPr="00326B3B" w:rsidRDefault="00000000" w:rsidP="00326B3B">
      <w:pPr>
        <w:spacing w:after="0"/>
        <w:jc w:val="both"/>
        <w:rPr>
          <w:rFonts w:cs="Times New Roman"/>
        </w:rPr>
      </w:pPr>
      <w:r w:rsidRPr="00326B3B">
        <w:rPr>
          <w:rFonts w:cs="Times New Roman"/>
        </w:rPr>
        <w:t>[Place Figure 4.1 here: Global Panel Correlation Heatmap]</w:t>
      </w:r>
    </w:p>
    <w:p w14:paraId="25450544" w14:textId="77777777" w:rsidR="004F244C" w:rsidRPr="00326B3B" w:rsidRDefault="00000000" w:rsidP="00326B3B">
      <w:pPr>
        <w:spacing w:after="0"/>
        <w:jc w:val="both"/>
        <w:rPr>
          <w:rFonts w:cs="Times New Roman"/>
        </w:rPr>
      </w:pPr>
      <w:r w:rsidRPr="00326B3B">
        <w:rPr>
          <w:rFonts w:cs="Times New Roman"/>
        </w:rPr>
        <w:t>[Place Figure 4.2 here: Bloc-Specific Correlation Heatmaps]</w:t>
      </w:r>
    </w:p>
    <w:p w14:paraId="63E7C01E" w14:textId="77777777" w:rsidR="004F244C" w:rsidRPr="00326B3B" w:rsidRDefault="00000000" w:rsidP="00326B3B">
      <w:pPr>
        <w:spacing w:after="0"/>
        <w:rPr>
          <w:rFonts w:cs="Times New Roman"/>
          <w:b/>
        </w:rPr>
      </w:pPr>
      <w:r w:rsidRPr="00326B3B">
        <w:rPr>
          <w:rFonts w:cs="Times New Roman"/>
          <w:b/>
        </w:rPr>
        <w:t>4.2 Baseline Panel Regressions: Fixed vs. Random Effects</w:t>
      </w:r>
    </w:p>
    <w:p w14:paraId="4CC22480" w14:textId="77777777" w:rsidR="004F244C" w:rsidRPr="00326B3B" w:rsidRDefault="00000000" w:rsidP="00326B3B">
      <w:pPr>
        <w:spacing w:after="0"/>
        <w:jc w:val="both"/>
        <w:rPr>
          <w:rFonts w:cs="Times New Roman"/>
        </w:rPr>
      </w:pPr>
      <w:r w:rsidRPr="00326B3B">
        <w:rPr>
          <w:rFonts w:cs="Times New Roman"/>
        </w:rPr>
        <w:t>Following the validation of our variables, we transition to baseline panel regressions.</w:t>
      </w:r>
    </w:p>
    <w:p w14:paraId="4EFF2807" w14:textId="77777777" w:rsidR="004F244C" w:rsidRPr="00326B3B" w:rsidRDefault="00000000" w:rsidP="00326B3B">
      <w:pPr>
        <w:spacing w:after="0"/>
        <w:jc w:val="both"/>
        <w:rPr>
          <w:rFonts w:cs="Times New Roman"/>
        </w:rPr>
      </w:pPr>
      <w:r w:rsidRPr="00326B3B">
        <w:rPr>
          <w:rFonts w:cs="Times New Roman"/>
        </w:rPr>
        <w:t>This stage of the analysis aims to establish the average linear relationship between sovereign debt and our two primary metrics: macroeconomic growth (GDP) and social distribution (Elite Capture Ratio).</w:t>
      </w:r>
    </w:p>
    <w:p w14:paraId="2DAF731B" w14:textId="77777777" w:rsidR="004F244C" w:rsidRPr="00326B3B" w:rsidRDefault="00000000" w:rsidP="00326B3B">
      <w:pPr>
        <w:spacing w:after="0"/>
        <w:jc w:val="both"/>
        <w:rPr>
          <w:rFonts w:cs="Times New Roman"/>
        </w:rPr>
      </w:pPr>
      <w:r w:rsidRPr="00326B3B">
        <w:rPr>
          <w:rFonts w:cs="Times New Roman"/>
        </w:rPr>
        <w:t>To ensure the models accurately represent different monetary regimes, we split the timeline into the Pre-Crisis Era (1995–2008) and the Post-Crisis Era (2009–2022).</w:t>
      </w:r>
    </w:p>
    <w:p w14:paraId="3EDF8F20" w14:textId="77777777" w:rsidR="004F244C" w:rsidRPr="00326B3B" w:rsidRDefault="00000000" w:rsidP="00326B3B">
      <w:pPr>
        <w:spacing w:after="0"/>
        <w:rPr>
          <w:rFonts w:cs="Times New Roman"/>
          <w:b/>
        </w:rPr>
      </w:pPr>
      <w:r w:rsidRPr="00326B3B">
        <w:rPr>
          <w:rFonts w:cs="Times New Roman"/>
          <w:b/>
        </w:rPr>
        <w:t>4.2.1 Model Specification and Hausman Testing</w:t>
      </w:r>
    </w:p>
    <w:p w14:paraId="2182A0EF" w14:textId="77777777" w:rsidR="004F244C" w:rsidRPr="00326B3B" w:rsidRDefault="00000000" w:rsidP="00326B3B">
      <w:pPr>
        <w:spacing w:after="0"/>
        <w:jc w:val="both"/>
        <w:rPr>
          <w:rFonts w:cs="Times New Roman"/>
        </w:rPr>
      </w:pPr>
      <w:r w:rsidRPr="00326B3B">
        <w:rPr>
          <w:rFonts w:cs="Times New Roman"/>
        </w:rPr>
        <w:t>For the GDP Growth models, the Hausman test yielded a significant p-value (p = 0.0006 in the Pre-Crisis era), requiring the use of Fixed Effects (FE).</w:t>
      </w:r>
    </w:p>
    <w:p w14:paraId="2B64B04A" w14:textId="77777777" w:rsidR="004F244C" w:rsidRPr="00326B3B" w:rsidRDefault="00000000" w:rsidP="00326B3B">
      <w:pPr>
        <w:spacing w:after="0"/>
        <w:jc w:val="both"/>
        <w:rPr>
          <w:rFonts w:cs="Times New Roman"/>
        </w:rPr>
      </w:pPr>
      <w:r w:rsidRPr="00326B3B">
        <w:rPr>
          <w:rFonts w:cs="Times New Roman"/>
        </w:rPr>
        <w:t>This mathematically confirms that unobserved factors—such as a nation’s specific trade institutions or cultural attitudes toward credit—are correlated with their borrowing habits.</w:t>
      </w:r>
    </w:p>
    <w:p w14:paraId="50CBDAF4" w14:textId="77777777" w:rsidR="004F244C" w:rsidRPr="00326B3B" w:rsidRDefault="00000000" w:rsidP="00326B3B">
      <w:pPr>
        <w:spacing w:after="0"/>
        <w:jc w:val="both"/>
        <w:rPr>
          <w:rFonts w:cs="Times New Roman"/>
        </w:rPr>
      </w:pPr>
      <w:r w:rsidRPr="00326B3B">
        <w:rPr>
          <w:rFonts w:cs="Times New Roman"/>
        </w:rPr>
        <w:t>For the Elite Capture Ratio models, the results were mixed. In the Pre-Crisis era, the test favored Random Effects (RE) (p = 0.7563), suggesting that during periods of higher interest rates and traditional monetary policy, the drivers of wealth inequality were more generalized across countries.</w:t>
      </w:r>
    </w:p>
    <w:p w14:paraId="379B94D6" w14:textId="77777777" w:rsidR="004F244C" w:rsidRPr="00326B3B" w:rsidRDefault="00000000" w:rsidP="00326B3B">
      <w:pPr>
        <w:spacing w:after="0"/>
        <w:rPr>
          <w:rFonts w:cs="Times New Roman"/>
          <w:b/>
        </w:rPr>
      </w:pPr>
      <w:r w:rsidRPr="00326B3B">
        <w:rPr>
          <w:rFonts w:cs="Times New Roman"/>
          <w:b/>
        </w:rPr>
        <w:t>4.2.2 Baseline Regression Results: GDP Growth</w:t>
      </w:r>
    </w:p>
    <w:p w14:paraId="66A9B98B" w14:textId="77777777" w:rsidR="004F244C" w:rsidRPr="00326B3B" w:rsidRDefault="00000000" w:rsidP="00326B3B">
      <w:pPr>
        <w:spacing w:after="0"/>
        <w:jc w:val="both"/>
        <w:rPr>
          <w:rFonts w:cs="Times New Roman"/>
        </w:rPr>
      </w:pPr>
      <w:r w:rsidRPr="00326B3B">
        <w:rPr>
          <w:rFonts w:cs="Times New Roman"/>
        </w:rPr>
        <w:t>The initial regressions reveal a stark "diminishing return" narrative.</w:t>
      </w:r>
    </w:p>
    <w:p w14:paraId="1840079A" w14:textId="77777777" w:rsidR="004F244C" w:rsidRPr="00326B3B" w:rsidRDefault="00000000" w:rsidP="00326B3B">
      <w:pPr>
        <w:spacing w:after="0"/>
        <w:jc w:val="both"/>
        <w:rPr>
          <w:rFonts w:cs="Times New Roman"/>
        </w:rPr>
      </w:pPr>
      <w:r w:rsidRPr="00326B3B">
        <w:rPr>
          <w:rFonts w:cs="Times New Roman"/>
        </w:rPr>
        <w:t>Global Observations:  In the Pre-Crisis era, the model showed a robust R-squared of 0.589. However, the coefficient for General Government Debt was generally negative or insignificant when controlled for capital formation.</w:t>
      </w:r>
    </w:p>
    <w:p w14:paraId="6B706D51" w14:textId="77777777" w:rsidR="004F244C" w:rsidRPr="00326B3B" w:rsidRDefault="00000000" w:rsidP="00326B3B">
      <w:pPr>
        <w:spacing w:after="0"/>
        <w:jc w:val="both"/>
        <w:rPr>
          <w:rFonts w:cs="Times New Roman"/>
        </w:rPr>
      </w:pPr>
      <w:r w:rsidRPr="00326B3B">
        <w:rPr>
          <w:rFonts w:cs="Times New Roman"/>
        </w:rPr>
        <w:t xml:space="preserve">Era Divergence:  As we moved into the Post-Crisis era, the predictive power of debt on growth weakened further. This empirical trend supports the researcher's professional observation in asset management: central banks are finding a "never narrower window" </w:t>
      </w:r>
      <w:r w:rsidRPr="00326B3B">
        <w:rPr>
          <w:rFonts w:cs="Times New Roman"/>
        </w:rPr>
        <w:lastRenderedPageBreak/>
        <w:t>in which debt can be used to stimulate the real economy without triggering inflationary or interest-rate penalties.</w:t>
      </w:r>
    </w:p>
    <w:p w14:paraId="531EBC7A" w14:textId="77777777" w:rsidR="004F244C" w:rsidRPr="00326B3B" w:rsidRDefault="00000000" w:rsidP="00326B3B">
      <w:pPr>
        <w:spacing w:after="0"/>
        <w:rPr>
          <w:rFonts w:cs="Times New Roman"/>
          <w:b/>
        </w:rPr>
      </w:pPr>
      <w:r w:rsidRPr="00326B3B">
        <w:rPr>
          <w:rFonts w:cs="Times New Roman"/>
          <w:b/>
        </w:rPr>
        <w:t>4.2.3 Baseline Regression Results: Elite Capture Ratio</w:t>
      </w:r>
    </w:p>
    <w:p w14:paraId="5D317E7E" w14:textId="77777777" w:rsidR="004F244C" w:rsidRPr="00326B3B" w:rsidRDefault="00000000" w:rsidP="00326B3B">
      <w:pPr>
        <w:spacing w:after="0"/>
        <w:jc w:val="both"/>
        <w:rPr>
          <w:rFonts w:cs="Times New Roman"/>
        </w:rPr>
      </w:pPr>
      <w:r w:rsidRPr="00326B3B">
        <w:rPr>
          <w:rFonts w:cs="Times New Roman"/>
        </w:rPr>
        <w:t>When testing the "social cost" of debt, the baseline results start to expose the "big mess" of modern ideological fragmentation.</w:t>
      </w:r>
    </w:p>
    <w:p w14:paraId="4ECE905F" w14:textId="77777777" w:rsidR="004F244C" w:rsidRPr="00326B3B" w:rsidRDefault="00000000" w:rsidP="00326B3B">
      <w:pPr>
        <w:spacing w:after="0"/>
        <w:jc w:val="both"/>
        <w:rPr>
          <w:rFonts w:cs="Times New Roman"/>
        </w:rPr>
      </w:pPr>
      <w:r w:rsidRPr="00326B3B">
        <w:rPr>
          <w:rFonts w:cs="Times New Roman"/>
        </w:rPr>
        <w:t>Wealth Concentration:  Even in a linear specification, there is an observable positive correlation between debt levels and the Elite Capture Ratio in emerging economies.</w:t>
      </w:r>
    </w:p>
    <w:p w14:paraId="65857C3A" w14:textId="77777777" w:rsidR="004F244C" w:rsidRPr="00326B3B" w:rsidRDefault="00000000" w:rsidP="00326B3B">
      <w:pPr>
        <w:spacing w:after="0"/>
        <w:jc w:val="both"/>
        <w:rPr>
          <w:rFonts w:cs="Times New Roman"/>
        </w:rPr>
      </w:pPr>
      <w:r w:rsidRPr="00326B3B">
        <w:rPr>
          <w:rFonts w:cs="Times New Roman"/>
        </w:rPr>
        <w:t>The Stimulus Paradox:  While debt failed to produce statistically significant short-term GDP "sparks," it demonstrated a persistent ability to maintain the wealth share of the Top 10%, particularly in the BRICS nations.</w:t>
      </w:r>
    </w:p>
    <w:p w14:paraId="4CFBB69B" w14:textId="77777777" w:rsidR="004F244C" w:rsidRPr="00326B3B" w:rsidRDefault="00000000" w:rsidP="00326B3B">
      <w:pPr>
        <w:spacing w:after="0"/>
        <w:jc w:val="both"/>
        <w:rPr>
          <w:rFonts w:cs="Times New Roman"/>
        </w:rPr>
      </w:pPr>
      <w:r w:rsidRPr="00326B3B">
        <w:rPr>
          <w:rFonts w:cs="Times New Roman"/>
        </w:rPr>
        <w:t>This suggests that the "Keynesian-stimulus" compromise may be functioning more as a wealth preservation tool for asset-owners than a job-market stimulator.</w:t>
      </w:r>
    </w:p>
    <w:p w14:paraId="6F99239C" w14:textId="77777777" w:rsidR="004F244C" w:rsidRPr="00326B3B" w:rsidRDefault="00000000" w:rsidP="00326B3B">
      <w:pPr>
        <w:spacing w:after="0"/>
        <w:jc w:val="both"/>
        <w:rPr>
          <w:rFonts w:cs="Times New Roman"/>
        </w:rPr>
      </w:pPr>
      <w:r w:rsidRPr="00326B3B">
        <w:rPr>
          <w:rFonts w:cs="Times New Roman"/>
        </w:rPr>
        <w:t>[Place Table 4.1: Baseline GDP Regressions (Fixed Effects) here]</w:t>
      </w:r>
    </w:p>
    <w:p w14:paraId="60F80690" w14:textId="77777777" w:rsidR="004F244C" w:rsidRPr="00326B3B" w:rsidRDefault="00000000" w:rsidP="00326B3B">
      <w:pPr>
        <w:spacing w:after="0"/>
        <w:jc w:val="both"/>
        <w:rPr>
          <w:rFonts w:cs="Times New Roman"/>
        </w:rPr>
      </w:pPr>
      <w:r w:rsidRPr="00326B3B">
        <w:rPr>
          <w:rFonts w:cs="Times New Roman"/>
        </w:rPr>
        <w:t>[Place Table 4.2: Baseline Wealth Ratio Regressions (Random/Fixed Effects) here]</w:t>
      </w:r>
    </w:p>
    <w:p w14:paraId="2620BBEC" w14:textId="77777777" w:rsidR="004F244C" w:rsidRPr="00326B3B" w:rsidRDefault="00000000" w:rsidP="00326B3B">
      <w:pPr>
        <w:spacing w:after="0"/>
        <w:rPr>
          <w:rFonts w:cs="Times New Roman"/>
          <w:b/>
        </w:rPr>
      </w:pPr>
      <w:r w:rsidRPr="00326B3B">
        <w:rPr>
          <w:rFonts w:cs="Times New Roman"/>
          <w:b/>
        </w:rPr>
        <w:t>4.3 Causal Inference: Addressing Endogeneity via Difference GMM</w:t>
      </w:r>
    </w:p>
    <w:p w14:paraId="50D61F01" w14:textId="77777777" w:rsidR="004F244C" w:rsidRPr="00326B3B" w:rsidRDefault="00000000" w:rsidP="00326B3B">
      <w:pPr>
        <w:spacing w:after="0"/>
        <w:jc w:val="both"/>
        <w:rPr>
          <w:rFonts w:cs="Times New Roman"/>
        </w:rPr>
      </w:pPr>
      <w:r w:rsidRPr="00326B3B">
        <w:rPr>
          <w:rFonts w:cs="Times New Roman"/>
        </w:rPr>
        <w:t>While baseline models establish correlations, they are often clouded by "simultaneity bias"—the fact that falling growth frequently forces governments to borrow more, creating a self-feeding loop that biases the results.</w:t>
      </w:r>
    </w:p>
    <w:p w14:paraId="41705423" w14:textId="77777777" w:rsidR="004F244C" w:rsidRPr="00326B3B" w:rsidRDefault="00000000" w:rsidP="00326B3B">
      <w:pPr>
        <w:spacing w:after="0"/>
        <w:jc w:val="both"/>
        <w:rPr>
          <w:rFonts w:cs="Times New Roman"/>
        </w:rPr>
      </w:pPr>
      <w:r w:rsidRPr="00326B3B">
        <w:rPr>
          <w:rFonts w:cs="Times New Roman"/>
        </w:rPr>
        <w:t>To isolate the purely exogenous "shock" of debt and establish a causal direction, we deployed the Arellano-Bond Difference GMM estimator.</w:t>
      </w:r>
    </w:p>
    <w:p w14:paraId="0D589657" w14:textId="77777777" w:rsidR="004F244C" w:rsidRPr="00326B3B" w:rsidRDefault="00000000" w:rsidP="00326B3B">
      <w:pPr>
        <w:spacing w:after="0"/>
        <w:rPr>
          <w:rFonts w:cs="Times New Roman"/>
          <w:b/>
        </w:rPr>
      </w:pPr>
      <w:r w:rsidRPr="00326B3B">
        <w:rPr>
          <w:rFonts w:cs="Times New Roman"/>
          <w:b/>
        </w:rPr>
        <w:t>4.3.1 GMM Results: The Macroeconomic Growth Failure</w:t>
      </w:r>
    </w:p>
    <w:p w14:paraId="1A8C2FFF" w14:textId="77777777" w:rsidR="004F244C" w:rsidRPr="00326B3B" w:rsidRDefault="00000000" w:rsidP="00326B3B">
      <w:pPr>
        <w:spacing w:after="0"/>
        <w:jc w:val="both"/>
        <w:rPr>
          <w:rFonts w:cs="Times New Roman"/>
        </w:rPr>
      </w:pPr>
      <w:r w:rsidRPr="00326B3B">
        <w:rPr>
          <w:rFonts w:cs="Times New Roman"/>
        </w:rPr>
        <w:t>The results for the GDP Growth panel provide the first hard evidence supporting the diminishing returns hypothesis.</w:t>
      </w:r>
    </w:p>
    <w:p w14:paraId="0F19F972" w14:textId="77777777" w:rsidR="004F244C" w:rsidRPr="00326B3B" w:rsidRDefault="00000000" w:rsidP="00326B3B">
      <w:pPr>
        <w:spacing w:after="0"/>
        <w:jc w:val="both"/>
        <w:rPr>
          <w:rFonts w:cs="Times New Roman"/>
        </w:rPr>
      </w:pPr>
      <w:r w:rsidRPr="00326B3B">
        <w:rPr>
          <w:rFonts w:cs="Times New Roman"/>
        </w:rPr>
        <w:t>Instrument Validity:  The Hansen J-Test confirmed the mathematical integrity of our instrument matrix.</w:t>
      </w:r>
    </w:p>
    <w:p w14:paraId="7283398B" w14:textId="77777777" w:rsidR="004F244C" w:rsidRPr="00326B3B" w:rsidRDefault="00000000" w:rsidP="00326B3B">
      <w:pPr>
        <w:spacing w:after="0"/>
        <w:jc w:val="both"/>
        <w:rPr>
          <w:rFonts w:cs="Times New Roman"/>
        </w:rPr>
      </w:pPr>
      <w:r w:rsidRPr="00326B3B">
        <w:rPr>
          <w:rFonts w:cs="Times New Roman"/>
        </w:rPr>
        <w:t>The Findings:  Across all economic blocs, the coefficient for the change in General Government Debt was found to be statistically insignificant.</w:t>
      </w:r>
    </w:p>
    <w:p w14:paraId="2F436D01" w14:textId="77777777" w:rsidR="004F244C" w:rsidRPr="00326B3B" w:rsidRDefault="00000000" w:rsidP="00326B3B">
      <w:pPr>
        <w:spacing w:after="0"/>
        <w:jc w:val="both"/>
        <w:rPr>
          <w:rFonts w:cs="Times New Roman"/>
        </w:rPr>
      </w:pPr>
      <w:r w:rsidRPr="00326B3B">
        <w:rPr>
          <w:rFonts w:cs="Times New Roman"/>
        </w:rPr>
        <w:t>Interpretation:  When the feedback loop between debt and growth is removed, short-term borrowing fails to spark any dynamic economic momentum. In contrast, Gross Capital Formation remained a robust causal driver, suggesting that real physical investment, rather than credit-based liquidity, is the only reliable engine of growth in the modern era.</w:t>
      </w:r>
    </w:p>
    <w:p w14:paraId="48B97B3B" w14:textId="77777777" w:rsidR="004F244C" w:rsidRPr="00326B3B" w:rsidRDefault="00000000" w:rsidP="00326B3B">
      <w:pPr>
        <w:spacing w:after="0"/>
        <w:rPr>
          <w:rFonts w:cs="Times New Roman"/>
          <w:b/>
        </w:rPr>
      </w:pPr>
      <w:r w:rsidRPr="00326B3B">
        <w:rPr>
          <w:rFonts w:cs="Times New Roman"/>
          <w:b/>
        </w:rPr>
        <w:t>4.3.2 GMM Results: The Social Cost of Borrowing</w:t>
      </w:r>
    </w:p>
    <w:p w14:paraId="0EB9654C" w14:textId="77777777" w:rsidR="004F244C" w:rsidRPr="00326B3B" w:rsidRDefault="00000000" w:rsidP="00326B3B">
      <w:pPr>
        <w:spacing w:after="0"/>
        <w:jc w:val="both"/>
        <w:rPr>
          <w:rFonts w:cs="Times New Roman"/>
        </w:rPr>
      </w:pPr>
      <w:r w:rsidRPr="00326B3B">
        <w:rPr>
          <w:rFonts w:cs="Times New Roman"/>
        </w:rPr>
        <w:lastRenderedPageBreak/>
        <w:t>The results for the Elite Capture Ratio (Wealth Inequality) reinforce the narrative described in Chapter 1.</w:t>
      </w:r>
    </w:p>
    <w:p w14:paraId="796FC66F" w14:textId="77777777" w:rsidR="004F244C" w:rsidRPr="00326B3B" w:rsidRDefault="00000000" w:rsidP="00326B3B">
      <w:pPr>
        <w:spacing w:after="0"/>
        <w:jc w:val="both"/>
        <w:rPr>
          <w:rFonts w:cs="Times New Roman"/>
        </w:rPr>
      </w:pPr>
      <w:r w:rsidRPr="00326B3B">
        <w:rPr>
          <w:rFonts w:cs="Times New Roman"/>
        </w:rPr>
        <w:t>The Findings:  Similar to the growth models, the immediate causal impact of a debt shock on the wealth ratio was statistically insignificant in the short term.</w:t>
      </w:r>
    </w:p>
    <w:p w14:paraId="501C8882" w14:textId="77777777" w:rsidR="004F244C" w:rsidRPr="00326B3B" w:rsidRDefault="00000000" w:rsidP="00326B3B">
      <w:pPr>
        <w:spacing w:after="0"/>
        <w:jc w:val="both"/>
        <w:rPr>
          <w:rFonts w:cs="Times New Roman"/>
        </w:rPr>
      </w:pPr>
      <w:r w:rsidRPr="00326B3B">
        <w:rPr>
          <w:rFonts w:cs="Times New Roman"/>
        </w:rPr>
        <w:t>Interpretation:  This suggests that wealth redistribution is a structural, long-term process. While debt shocks do not immediately spike the Elite Capture Ratio from one year to the next, the "stickiness" of the lagged dependent variable implies that once debt creates a distributive shift, the effect persists. Debt doesn't just "spike" inequality; it structurally locks it in.</w:t>
      </w:r>
    </w:p>
    <w:p w14:paraId="71ADCA8D" w14:textId="77777777" w:rsidR="004F244C" w:rsidRPr="00326B3B" w:rsidRDefault="00000000" w:rsidP="00326B3B">
      <w:pPr>
        <w:spacing w:after="0"/>
        <w:jc w:val="both"/>
        <w:rPr>
          <w:rFonts w:cs="Times New Roman"/>
        </w:rPr>
      </w:pPr>
      <w:r w:rsidRPr="00326B3B">
        <w:rPr>
          <w:rFonts w:cs="Times New Roman"/>
        </w:rPr>
        <w:t>[Place Table 4.3: Difference GMM Results (GDP Growth) here]</w:t>
      </w:r>
    </w:p>
    <w:p w14:paraId="33406F92" w14:textId="77777777" w:rsidR="004F244C" w:rsidRPr="00326B3B" w:rsidRDefault="00000000" w:rsidP="00326B3B">
      <w:pPr>
        <w:spacing w:after="0"/>
        <w:jc w:val="both"/>
        <w:rPr>
          <w:rFonts w:cs="Times New Roman"/>
        </w:rPr>
      </w:pPr>
      <w:r w:rsidRPr="00326B3B">
        <w:rPr>
          <w:rFonts w:cs="Times New Roman"/>
        </w:rPr>
        <w:t>[Place Table 4.4: Difference GMM Results (Elite Capture Ratio) here]</w:t>
      </w:r>
    </w:p>
    <w:p w14:paraId="4A05008A" w14:textId="77777777" w:rsidR="004F244C" w:rsidRPr="00326B3B" w:rsidRDefault="00000000" w:rsidP="00326B3B">
      <w:pPr>
        <w:spacing w:after="0"/>
        <w:rPr>
          <w:rFonts w:cs="Times New Roman"/>
          <w:b/>
        </w:rPr>
      </w:pPr>
      <w:r w:rsidRPr="00326B3B">
        <w:rPr>
          <w:rFonts w:cs="Times New Roman"/>
          <w:b/>
        </w:rPr>
        <w:t>4.4 Identifying the Tipping Points: Panel Threshold Regression</w:t>
      </w:r>
    </w:p>
    <w:p w14:paraId="3CF2996E" w14:textId="77777777" w:rsidR="004F244C" w:rsidRPr="00326B3B" w:rsidRDefault="00000000" w:rsidP="00326B3B">
      <w:pPr>
        <w:spacing w:after="0"/>
        <w:jc w:val="both"/>
        <w:rPr>
          <w:rFonts w:cs="Times New Roman"/>
        </w:rPr>
      </w:pPr>
      <w:r w:rsidRPr="00326B3B">
        <w:rPr>
          <w:rFonts w:cs="Times New Roman"/>
        </w:rPr>
        <w:t>The previous GMM analysis proved that short-term, year-over-year debt "shocks" do not provide stimulative momentum.</w:t>
      </w:r>
    </w:p>
    <w:p w14:paraId="41F4EEFF" w14:textId="77777777" w:rsidR="004F244C" w:rsidRPr="00326B3B" w:rsidRDefault="00000000" w:rsidP="00326B3B">
      <w:pPr>
        <w:spacing w:after="0"/>
        <w:jc w:val="both"/>
        <w:rPr>
          <w:rFonts w:cs="Times New Roman"/>
        </w:rPr>
      </w:pPr>
      <w:r w:rsidRPr="00326B3B">
        <w:rPr>
          <w:rFonts w:cs="Times New Roman"/>
        </w:rPr>
        <w:t>However, to address the core hypothesis of this thesis—the diminishing marginal utility of debt—we must move beyond linear models.</w:t>
      </w:r>
    </w:p>
    <w:p w14:paraId="6C8184E6" w14:textId="77777777" w:rsidR="004F244C" w:rsidRPr="00326B3B" w:rsidRDefault="00000000" w:rsidP="00326B3B">
      <w:pPr>
        <w:spacing w:after="0"/>
        <w:jc w:val="both"/>
        <w:rPr>
          <w:rFonts w:cs="Times New Roman"/>
        </w:rPr>
      </w:pPr>
      <w:r w:rsidRPr="00326B3B">
        <w:rPr>
          <w:rFonts w:cs="Times New Roman"/>
        </w:rPr>
        <w:t>In this section, we apply the Hansen (1999) Panel Threshold Regression to identify the precise levels of "debt saturation".</w:t>
      </w:r>
    </w:p>
    <w:p w14:paraId="3FD46AB5" w14:textId="77777777" w:rsidR="004F244C" w:rsidRPr="00326B3B" w:rsidRDefault="00000000" w:rsidP="00326B3B">
      <w:pPr>
        <w:spacing w:after="0"/>
        <w:rPr>
          <w:rFonts w:cs="Times New Roman"/>
          <w:b/>
        </w:rPr>
      </w:pPr>
      <w:r w:rsidRPr="00326B3B">
        <w:rPr>
          <w:rFonts w:cs="Times New Roman"/>
          <w:b/>
        </w:rPr>
        <w:t>4.4.1 Macroeconomic Tipping Points: GDP Growth</w:t>
      </w:r>
    </w:p>
    <w:p w14:paraId="530E8508" w14:textId="77777777" w:rsidR="004F244C" w:rsidRPr="00326B3B" w:rsidRDefault="00000000" w:rsidP="00326B3B">
      <w:pPr>
        <w:spacing w:after="0"/>
        <w:jc w:val="both"/>
        <w:rPr>
          <w:rFonts w:cs="Times New Roman"/>
        </w:rPr>
      </w:pPr>
      <w:r w:rsidRPr="00326B3B">
        <w:rPr>
          <w:rFonts w:cs="Times New Roman"/>
        </w:rPr>
        <w:t>The grid search algorithm tested 1,000 potential thresholds per bloc to minimize the Sum of Squared Residuals (SSR).</w:t>
      </w:r>
    </w:p>
    <w:p w14:paraId="6F127798" w14:textId="77777777" w:rsidR="004F244C" w:rsidRPr="00326B3B" w:rsidRDefault="00000000" w:rsidP="00326B3B">
      <w:pPr>
        <w:spacing w:after="0"/>
        <w:jc w:val="both"/>
        <w:rPr>
          <w:rFonts w:cs="Times New Roman"/>
        </w:rPr>
      </w:pPr>
      <w:r w:rsidRPr="00326B3B">
        <w:rPr>
          <w:rFonts w:cs="Times New Roman"/>
        </w:rPr>
        <w:t>The results reveal a massive asymmetry in debt capacity between developed and developing regimes:</w:t>
      </w:r>
    </w:p>
    <w:p w14:paraId="3282ED71" w14:textId="77777777" w:rsidR="004F244C" w:rsidRPr="00326B3B" w:rsidRDefault="00000000" w:rsidP="00326B3B">
      <w:pPr>
        <w:spacing w:after="0"/>
        <w:jc w:val="both"/>
        <w:rPr>
          <w:rFonts w:cs="Times New Roman"/>
        </w:rPr>
      </w:pPr>
      <w:r w:rsidRPr="00326B3B">
        <w:rPr>
          <w:rFonts w:cs="Times New Roman"/>
        </w:rPr>
        <w:t>OECD (Advanced):  The model identified a tipping point at 65.78% debt-to-GDP. However, consistent with our earlier Central Bank narrative, the coefficient remained statistically insignificant even above this threshold. Mature economies do not suffer a "sudden death" of growth; they simply drift into a state of debt-saturated stagnation.</w:t>
      </w:r>
    </w:p>
    <w:p w14:paraId="63DBDF31" w14:textId="77777777" w:rsidR="004F244C" w:rsidRPr="00326B3B" w:rsidRDefault="00000000" w:rsidP="00326B3B">
      <w:pPr>
        <w:spacing w:after="0"/>
        <w:jc w:val="both"/>
        <w:rPr>
          <w:rFonts w:cs="Times New Roman"/>
        </w:rPr>
      </w:pPr>
      <w:r w:rsidRPr="00326B3B">
        <w:rPr>
          <w:rFonts w:cs="Times New Roman"/>
        </w:rPr>
        <w:t>OECD (Emerging):  The threshold was identified at 30.84%. While lower than the advanced bloc, the penalty for crossing it was less severe than in BRICS.</w:t>
      </w:r>
    </w:p>
    <w:p w14:paraId="050E3E29" w14:textId="77777777" w:rsidR="004F244C" w:rsidRPr="00326B3B" w:rsidRDefault="00000000" w:rsidP="00326B3B">
      <w:pPr>
        <w:spacing w:after="0"/>
        <w:jc w:val="both"/>
        <w:rPr>
          <w:rFonts w:cs="Times New Roman"/>
        </w:rPr>
      </w:pPr>
      <w:r w:rsidRPr="00326B3B">
        <w:rPr>
          <w:rFonts w:cs="Times New Roman"/>
        </w:rPr>
        <w:t xml:space="preserve">BRICS (Developing):  The most critical finding occurs here. The data endogenously revealed a tipping point at merely 22.73% debt-to-GDP. Crucially, while debt is stimulative (or neutral) at low levels, crossing the 22.7% mark triggers a highly negative </w:t>
      </w:r>
      <w:r w:rsidRPr="00326B3B">
        <w:rPr>
          <w:rFonts w:cs="Times New Roman"/>
        </w:rPr>
        <w:lastRenderedPageBreak/>
        <w:t>and statistically significant regime. For every 1% increase in debt beyond this point, annual growth is structurally eroded. This provides the empirical proof that developing nations hit a "debt anchor" much earlier than the Reinhart-Rogoff 90% assumption would suggest.</w:t>
      </w:r>
    </w:p>
    <w:p w14:paraId="0E7358D4" w14:textId="77777777" w:rsidR="004F244C" w:rsidRPr="00326B3B" w:rsidRDefault="00000000" w:rsidP="00326B3B">
      <w:pPr>
        <w:spacing w:after="0"/>
        <w:rPr>
          <w:rFonts w:cs="Times New Roman"/>
          <w:b/>
        </w:rPr>
      </w:pPr>
      <w:r w:rsidRPr="00326B3B">
        <w:rPr>
          <w:rFonts w:cs="Times New Roman"/>
          <w:b/>
        </w:rPr>
        <w:t>4.4.2 Social Tipping Points: Elite Capture Ratio</w:t>
      </w:r>
    </w:p>
    <w:p w14:paraId="7A237DC0" w14:textId="77777777" w:rsidR="004F244C" w:rsidRPr="00326B3B" w:rsidRDefault="00000000" w:rsidP="00326B3B">
      <w:pPr>
        <w:spacing w:after="0"/>
        <w:jc w:val="both"/>
        <w:rPr>
          <w:rFonts w:cs="Times New Roman"/>
        </w:rPr>
      </w:pPr>
      <w:r w:rsidRPr="00326B3B">
        <w:rPr>
          <w:rFonts w:cs="Times New Roman"/>
        </w:rPr>
        <w:t>By re-running the threshold search with the Elite Capture Ratio (ECR) as the dependent variable, we can see exactly at what level of borrowing the unequal distribution begins to boil over:</w:t>
      </w:r>
    </w:p>
    <w:p w14:paraId="3E9C2C8E" w14:textId="77777777" w:rsidR="004F244C" w:rsidRPr="00326B3B" w:rsidRDefault="00000000" w:rsidP="00326B3B">
      <w:pPr>
        <w:spacing w:after="0"/>
        <w:jc w:val="both"/>
        <w:rPr>
          <w:rFonts w:cs="Times New Roman"/>
        </w:rPr>
      </w:pPr>
      <w:r w:rsidRPr="00326B3B">
        <w:rPr>
          <w:rFonts w:cs="Times New Roman"/>
        </w:rPr>
        <w:t>BRICS (Developing):  The inequality tipping point was found at 19.20% debt-to-GDP. Strikingly, this almost perfectly mirrors the GDP growth threshold (22.73%). Below 19.2%, borrowing significantly expands the wealth gap. This suggests that the "initial" debt a developing nation takes on is almost entirely captured by the Top 10% through asset inflation and procurement contracts, while the "stimulation" phase never reaches the bottom 50%.</w:t>
      </w:r>
    </w:p>
    <w:p w14:paraId="08661C88" w14:textId="77777777" w:rsidR="004F244C" w:rsidRPr="00326B3B" w:rsidRDefault="00000000" w:rsidP="00326B3B">
      <w:pPr>
        <w:spacing w:after="0"/>
        <w:jc w:val="both"/>
        <w:rPr>
          <w:rFonts w:cs="Times New Roman"/>
        </w:rPr>
      </w:pPr>
      <w:r w:rsidRPr="00326B3B">
        <w:rPr>
          <w:rFonts w:cs="Times New Roman"/>
        </w:rPr>
        <w:t>OECD (Advanced):  The tipping point for elite capture is much higher, at 102.50%. This suggests that advanced nations have the institutional buffer to prevent borrowing from immediately stripping wealth from the working class.</w:t>
      </w:r>
    </w:p>
    <w:p w14:paraId="506131D2" w14:textId="77777777" w:rsidR="004F244C" w:rsidRPr="00326B3B" w:rsidRDefault="00000000" w:rsidP="00326B3B">
      <w:pPr>
        <w:spacing w:after="0"/>
        <w:jc w:val="both"/>
        <w:rPr>
          <w:rFonts w:cs="Times New Roman"/>
        </w:rPr>
      </w:pPr>
      <w:r w:rsidRPr="00326B3B">
        <w:rPr>
          <w:rFonts w:cs="Times New Roman"/>
        </w:rPr>
        <w:t>[Place Figure 4.3: Hansen SSR Curve - BRICS GDP Growth (Threshold: 22.73%) here]</w:t>
      </w:r>
    </w:p>
    <w:p w14:paraId="3BC129C5" w14:textId="77777777" w:rsidR="004F244C" w:rsidRPr="00326B3B" w:rsidRDefault="00000000" w:rsidP="00326B3B">
      <w:pPr>
        <w:spacing w:after="0"/>
        <w:jc w:val="both"/>
        <w:rPr>
          <w:rFonts w:cs="Times New Roman"/>
        </w:rPr>
      </w:pPr>
      <w:r w:rsidRPr="00326B3B">
        <w:rPr>
          <w:rFonts w:cs="Times New Roman"/>
        </w:rPr>
        <w:t>[Place Figure 4.4: Hansen SSR Curve - BRICS Elite Capture (Threshold: 19.20%) here]</w:t>
      </w:r>
    </w:p>
    <w:p w14:paraId="7C6C344B" w14:textId="77777777" w:rsidR="004F244C" w:rsidRPr="00326B3B" w:rsidRDefault="00000000" w:rsidP="00326B3B">
      <w:pPr>
        <w:spacing w:after="0"/>
        <w:rPr>
          <w:rFonts w:cs="Times New Roman"/>
          <w:b/>
        </w:rPr>
      </w:pPr>
      <w:r w:rsidRPr="00326B3B">
        <w:rPr>
          <w:rFonts w:cs="Times New Roman"/>
          <w:b/>
        </w:rPr>
        <w:t>4.5 Dynamic Regime Windows and Exposure Analysis</w:t>
      </w:r>
    </w:p>
    <w:p w14:paraId="5E1F1742" w14:textId="77777777" w:rsidR="004F244C" w:rsidRPr="00326B3B" w:rsidRDefault="00000000" w:rsidP="00326B3B">
      <w:pPr>
        <w:spacing w:after="0"/>
        <w:jc w:val="both"/>
        <w:rPr>
          <w:rFonts w:cs="Times New Roman"/>
        </w:rPr>
      </w:pPr>
      <w:r w:rsidRPr="00326B3B">
        <w:rPr>
          <w:rFonts w:cs="Times New Roman"/>
        </w:rPr>
        <w:t>The final stage of the empirical analysis moves from identifying static numbers to mapping Dynamic Regime Windows.</w:t>
      </w:r>
    </w:p>
    <w:p w14:paraId="69CC1C1C" w14:textId="77777777" w:rsidR="004F244C" w:rsidRPr="00326B3B" w:rsidRDefault="00000000" w:rsidP="00326B3B">
      <w:pPr>
        <w:spacing w:after="0"/>
        <w:jc w:val="both"/>
        <w:rPr>
          <w:rFonts w:cs="Times New Roman"/>
        </w:rPr>
      </w:pPr>
      <w:r w:rsidRPr="00326B3B">
        <w:rPr>
          <w:rFonts w:cs="Times New Roman"/>
        </w:rPr>
        <w:t>As hypothesized, the "window of opportunity" for debt stimulus is not a fixed physical constant; it is an elastic boundary that expands during global liquidity gluts (forgiving regimes) and contracts during periods of monetary tightening (strict regimes).</w:t>
      </w:r>
    </w:p>
    <w:p w14:paraId="565F55E8" w14:textId="77777777" w:rsidR="004F244C" w:rsidRPr="00326B3B" w:rsidRDefault="00000000" w:rsidP="00326B3B">
      <w:pPr>
        <w:spacing w:after="0"/>
        <w:rPr>
          <w:rFonts w:cs="Times New Roman"/>
          <w:b/>
        </w:rPr>
      </w:pPr>
      <w:r w:rsidRPr="00326B3B">
        <w:rPr>
          <w:rFonts w:cs="Times New Roman"/>
          <w:b/>
        </w:rPr>
        <w:t>4.5.1 GDP Growth Regimes: Elasticity vs. Fragility</w:t>
      </w:r>
    </w:p>
    <w:p w14:paraId="226F892A" w14:textId="77777777" w:rsidR="004F244C" w:rsidRPr="00326B3B" w:rsidRDefault="00000000" w:rsidP="00326B3B">
      <w:pPr>
        <w:spacing w:after="0"/>
        <w:jc w:val="both"/>
        <w:rPr>
          <w:rFonts w:cs="Times New Roman"/>
        </w:rPr>
      </w:pPr>
      <w:r w:rsidRPr="00326B3B">
        <w:rPr>
          <w:rFonts w:cs="Times New Roman"/>
        </w:rPr>
        <w:t>The multi-regime analysis reveals that advanced economies possess a "cushion" that developing nations lacks:</w:t>
      </w:r>
    </w:p>
    <w:p w14:paraId="2BEDC89B" w14:textId="77777777" w:rsidR="004F244C" w:rsidRPr="00326B3B" w:rsidRDefault="00000000" w:rsidP="00326B3B">
      <w:pPr>
        <w:spacing w:after="0"/>
        <w:jc w:val="both"/>
        <w:rPr>
          <w:rFonts w:cs="Times New Roman"/>
        </w:rPr>
      </w:pPr>
      <w:r w:rsidRPr="00326B3B">
        <w:rPr>
          <w:rFonts w:cs="Times New Roman"/>
        </w:rPr>
        <w:t>OECD (Advanced):  While the Absolute Minimum Threshold is 65.7%, the model identifies a "Max Local" threshold within the 3σ boundary at 77.7%. This 12-point spread represents the Keynesian Safety Net. During the post-2008 era, advanced nations were able to operate in this forgiving zone without immediate structural decay.</w:t>
      </w:r>
    </w:p>
    <w:p w14:paraId="5C35AC90" w14:textId="77777777" w:rsidR="004F244C" w:rsidRPr="00326B3B" w:rsidRDefault="00000000" w:rsidP="00326B3B">
      <w:pPr>
        <w:spacing w:after="0"/>
        <w:jc w:val="both"/>
        <w:rPr>
          <w:rFonts w:cs="Times New Roman"/>
        </w:rPr>
      </w:pPr>
      <w:r w:rsidRPr="00326B3B">
        <w:rPr>
          <w:rFonts w:cs="Times New Roman"/>
        </w:rPr>
        <w:lastRenderedPageBreak/>
        <w:t>BRICS (Developing):  The BRICS bloc exhibits extreme fragility. The Absolute Minimum is a restrictive 23.0%. While a crisis-driven peak threshold was identified at 79.8%, the SSR curve rises much more violently outside the absolute minimum than in the OECD panel.</w:t>
      </w:r>
    </w:p>
    <w:p w14:paraId="1229EA61" w14:textId="77777777" w:rsidR="004F244C" w:rsidRPr="00326B3B" w:rsidRDefault="00000000" w:rsidP="00326B3B">
      <w:pPr>
        <w:spacing w:after="0"/>
        <w:rPr>
          <w:rFonts w:cs="Times New Roman"/>
          <w:b/>
        </w:rPr>
      </w:pPr>
      <w:r w:rsidRPr="00326B3B">
        <w:rPr>
          <w:rFonts w:cs="Times New Roman"/>
          <w:b/>
        </w:rPr>
        <w:t>4.5.2 Elite Capture Regimes: The Inequality Trap</w:t>
      </w:r>
    </w:p>
    <w:p w14:paraId="6D114B73" w14:textId="77777777" w:rsidR="004F244C" w:rsidRPr="00326B3B" w:rsidRDefault="00000000" w:rsidP="00326B3B">
      <w:pPr>
        <w:spacing w:after="0"/>
        <w:jc w:val="both"/>
        <w:rPr>
          <w:rFonts w:cs="Times New Roman"/>
        </w:rPr>
      </w:pPr>
      <w:r w:rsidRPr="00326B3B">
        <w:rPr>
          <w:rFonts w:cs="Times New Roman"/>
        </w:rPr>
        <w:t>When mapping the regimes for the Elite Capture Ratio, the "Social Breaking Point" of debt is revealed to be even narrower than the growth breaking point:</w:t>
      </w:r>
    </w:p>
    <w:p w14:paraId="4B886E2B" w14:textId="77777777" w:rsidR="004F244C" w:rsidRPr="00326B3B" w:rsidRDefault="00000000" w:rsidP="00326B3B">
      <w:pPr>
        <w:spacing w:after="0"/>
        <w:jc w:val="both"/>
        <w:rPr>
          <w:rFonts w:cs="Times New Roman"/>
        </w:rPr>
      </w:pPr>
      <w:r w:rsidRPr="00326B3B">
        <w:rPr>
          <w:rFonts w:cs="Times New Roman"/>
        </w:rPr>
        <w:t>BRICS Fragility:  The strict social threshold is identified at merely 19.4%. Even under the most expansive +3σ crisis regime, the threshold for wealth concentration only reaches 47.0%.</w:t>
      </w:r>
    </w:p>
    <w:p w14:paraId="4BF736F8" w14:textId="77777777" w:rsidR="004F244C" w:rsidRPr="00326B3B" w:rsidRDefault="00000000" w:rsidP="00326B3B">
      <w:pPr>
        <w:spacing w:after="0"/>
        <w:jc w:val="both"/>
        <w:rPr>
          <w:rFonts w:cs="Times New Roman"/>
        </w:rPr>
      </w:pPr>
      <w:r w:rsidRPr="00326B3B">
        <w:rPr>
          <w:rFonts w:cs="Times New Roman"/>
        </w:rPr>
        <w:t>The Result:  This means that for BRICS nations, debt-to-GDP levels above 47% represent a zone where debt has zero stimulative value and is exclusively a mechanism for wealth concentration.</w:t>
      </w:r>
    </w:p>
    <w:p w14:paraId="6604AFA5" w14:textId="77777777" w:rsidR="004F244C" w:rsidRPr="00326B3B" w:rsidRDefault="00000000" w:rsidP="00326B3B">
      <w:pPr>
        <w:spacing w:after="0"/>
        <w:rPr>
          <w:rFonts w:cs="Times New Roman"/>
          <w:b/>
        </w:rPr>
      </w:pPr>
      <w:r w:rsidRPr="00326B3B">
        <w:rPr>
          <w:rFonts w:cs="Times New Roman"/>
          <w:b/>
        </w:rPr>
        <w:t>4.5.3 Global Exposure Analysis: Who is Structurally Trapped?</w:t>
      </w:r>
    </w:p>
    <w:p w14:paraId="5CD327D4" w14:textId="77777777" w:rsidR="004F244C" w:rsidRPr="00326B3B" w:rsidRDefault="00000000" w:rsidP="00326B3B">
      <w:pPr>
        <w:spacing w:after="0"/>
        <w:jc w:val="both"/>
        <w:rPr>
          <w:rFonts w:cs="Times New Roman"/>
        </w:rPr>
      </w:pPr>
      <w:r w:rsidRPr="00326B3B">
        <w:rPr>
          <w:rFonts w:cs="Times New Roman"/>
        </w:rPr>
        <w:t>By mapping average debt levels from the Post-Crisis Era (2009–2022) against our endogenously identified thresholds, we can determine which sovereign entities are currently operating beyond the mathematical limits of debt efficiency.</w:t>
      </w:r>
    </w:p>
    <w:p w14:paraId="2BABD685" w14:textId="77777777" w:rsidR="004F244C" w:rsidRPr="00326B3B" w:rsidRDefault="00000000" w:rsidP="00326B3B">
      <w:pPr>
        <w:spacing w:after="0"/>
        <w:jc w:val="both"/>
        <w:rPr>
          <w:rFonts w:cs="Times New Roman"/>
        </w:rPr>
      </w:pPr>
      <w:r w:rsidRPr="00326B3B">
        <w:rPr>
          <w:rFonts w:cs="Times New Roman"/>
        </w:rPr>
        <w:t>The BRICS Fragility: As identified, the BRICS nations face a restrictive structural baseline of 23.0%.</w:t>
      </w:r>
    </w:p>
    <w:p w14:paraId="7A51725F" w14:textId="77777777" w:rsidR="004F244C" w:rsidRPr="00326B3B" w:rsidRDefault="00000000" w:rsidP="00326B3B">
      <w:pPr>
        <w:spacing w:after="0"/>
        <w:jc w:val="both"/>
        <w:rPr>
          <w:rFonts w:cs="Times New Roman"/>
        </w:rPr>
      </w:pPr>
      <w:r w:rsidRPr="00326B3B">
        <w:rPr>
          <w:rFonts w:cs="Times New Roman"/>
        </w:rPr>
        <w:t>Egypt (82.02% Avg Debt):  Currently "Trapped." Egypt is the only BRICS nation in our panel operating entirely beyond the absolute maximum +3σ threshold.</w:t>
      </w:r>
    </w:p>
    <w:p w14:paraId="219DA059" w14:textId="77777777" w:rsidR="004F244C" w:rsidRPr="00326B3B" w:rsidRDefault="00000000" w:rsidP="00326B3B">
      <w:pPr>
        <w:spacing w:after="0"/>
        <w:jc w:val="both"/>
        <w:rPr>
          <w:rFonts w:cs="Times New Roman"/>
        </w:rPr>
      </w:pPr>
      <w:r w:rsidRPr="00326B3B">
        <w:rPr>
          <w:rFonts w:cs="Times New Roman"/>
        </w:rPr>
        <w:t>Brazil (74.52%) and India (72.79%):  Both nations are "Near the Breaking Point."</w:t>
      </w:r>
    </w:p>
    <w:p w14:paraId="371D3725" w14:textId="77777777" w:rsidR="004F244C" w:rsidRPr="00326B3B" w:rsidRDefault="00000000" w:rsidP="00326B3B">
      <w:pPr>
        <w:spacing w:after="0"/>
        <w:jc w:val="both"/>
        <w:rPr>
          <w:rFonts w:cs="Times New Roman"/>
        </w:rPr>
      </w:pPr>
      <w:r w:rsidRPr="00326B3B">
        <w:rPr>
          <w:rFonts w:cs="Times New Roman"/>
        </w:rPr>
        <w:t>The OECD Overhang: The Advanced OECD bloc possesses a much higher "forgiving" window.</w:t>
      </w:r>
    </w:p>
    <w:p w14:paraId="76D964D9" w14:textId="77777777" w:rsidR="004F244C" w:rsidRPr="00326B3B" w:rsidRDefault="00000000" w:rsidP="00326B3B">
      <w:pPr>
        <w:spacing w:after="0"/>
        <w:jc w:val="both"/>
        <w:rPr>
          <w:rFonts w:cs="Times New Roman"/>
        </w:rPr>
      </w:pPr>
      <w:r w:rsidRPr="00326B3B">
        <w:rPr>
          <w:rFonts w:cs="Times New Roman"/>
        </w:rPr>
        <w:t>Japan (230.98%) and Italy (132.57%):  These nations are "Deeply Saturated." They are operating orders of magnitude above even their most forgiving regimes.</w:t>
      </w:r>
    </w:p>
    <w:p w14:paraId="0CFED3F1" w14:textId="77777777" w:rsidR="004F244C" w:rsidRPr="00326B3B" w:rsidRDefault="00000000" w:rsidP="00326B3B">
      <w:pPr>
        <w:spacing w:after="0"/>
        <w:jc w:val="both"/>
        <w:rPr>
          <w:rFonts w:cs="Times New Roman"/>
        </w:rPr>
      </w:pPr>
      <w:r w:rsidRPr="00326B3B">
        <w:rPr>
          <w:rFonts w:cs="Times New Roman"/>
        </w:rPr>
        <w:t>France (97.94%) and Belgium (103.68%):  These core European economies are now "Structurally Trapped," having crossed the +3σ threshold of 77.7%.</w:t>
      </w:r>
    </w:p>
    <w:p w14:paraId="271588D0" w14:textId="77777777" w:rsidR="004F244C" w:rsidRPr="00326B3B" w:rsidRDefault="00000000" w:rsidP="00326B3B">
      <w:pPr>
        <w:spacing w:after="0"/>
        <w:jc w:val="both"/>
        <w:rPr>
          <w:rFonts w:cs="Times New Roman"/>
        </w:rPr>
      </w:pPr>
      <w:r w:rsidRPr="00326B3B">
        <w:rPr>
          <w:rFonts w:cs="Times New Roman"/>
        </w:rPr>
        <w:t>Germany (70.55%):  Germany remains the "Anchor of Stability." While it has crossed its absolute minimum (65.7%), it remains firmly within its forgiving regime.</w:t>
      </w:r>
    </w:p>
    <w:p w14:paraId="002E5940" w14:textId="77777777" w:rsidR="004F244C" w:rsidRPr="00326B3B" w:rsidRDefault="00000000" w:rsidP="00326B3B">
      <w:pPr>
        <w:spacing w:after="0"/>
        <w:jc w:val="both"/>
        <w:rPr>
          <w:rFonts w:cs="Times New Roman"/>
        </w:rPr>
      </w:pPr>
      <w:r w:rsidRPr="00326B3B">
        <w:rPr>
          <w:rFonts w:cs="Times New Roman"/>
        </w:rPr>
        <w:t>Table 2. Global Debt Exposure and Regime Status (2009–2022)</w:t>
      </w:r>
    </w:p>
    <w:tbl>
      <w:tblPr>
        <w:tblStyle w:val="TableGrid"/>
        <w:tblW w:w="0" w:type="auto"/>
        <w:tblLook w:val="04A0" w:firstRow="1" w:lastRow="0" w:firstColumn="1" w:lastColumn="0" w:noHBand="0" w:noVBand="1"/>
      </w:tblPr>
      <w:tblGrid>
        <w:gridCol w:w="1728"/>
        <w:gridCol w:w="1728"/>
        <w:gridCol w:w="1728"/>
        <w:gridCol w:w="1728"/>
        <w:gridCol w:w="1728"/>
      </w:tblGrid>
      <w:tr w:rsidR="004F244C" w:rsidRPr="00326B3B" w14:paraId="27C776A6" w14:textId="77777777">
        <w:tc>
          <w:tcPr>
            <w:tcW w:w="1728" w:type="dxa"/>
          </w:tcPr>
          <w:p w14:paraId="0D229CE2" w14:textId="77777777" w:rsidR="004F244C" w:rsidRPr="00326B3B" w:rsidRDefault="00000000" w:rsidP="00326B3B">
            <w:pPr>
              <w:jc w:val="both"/>
              <w:rPr>
                <w:rFonts w:cs="Times New Roman"/>
              </w:rPr>
            </w:pPr>
            <w:r w:rsidRPr="00326B3B">
              <w:rPr>
                <w:rFonts w:cs="Times New Roman"/>
              </w:rPr>
              <w:t>Economic Bloc</w:t>
            </w:r>
          </w:p>
        </w:tc>
        <w:tc>
          <w:tcPr>
            <w:tcW w:w="1728" w:type="dxa"/>
          </w:tcPr>
          <w:p w14:paraId="03E93929" w14:textId="77777777" w:rsidR="004F244C" w:rsidRPr="00326B3B" w:rsidRDefault="00000000" w:rsidP="00326B3B">
            <w:pPr>
              <w:jc w:val="both"/>
              <w:rPr>
                <w:rFonts w:cs="Times New Roman"/>
              </w:rPr>
            </w:pPr>
            <w:r w:rsidRPr="00326B3B">
              <w:rPr>
                <w:rFonts w:cs="Times New Roman"/>
              </w:rPr>
              <w:t>Country</w:t>
            </w:r>
          </w:p>
        </w:tc>
        <w:tc>
          <w:tcPr>
            <w:tcW w:w="1728" w:type="dxa"/>
          </w:tcPr>
          <w:p w14:paraId="25429E72" w14:textId="77777777" w:rsidR="004F244C" w:rsidRPr="00326B3B" w:rsidRDefault="00000000" w:rsidP="00326B3B">
            <w:pPr>
              <w:jc w:val="both"/>
              <w:rPr>
                <w:rFonts w:cs="Times New Roman"/>
              </w:rPr>
            </w:pPr>
            <w:r w:rsidRPr="00326B3B">
              <w:rPr>
                <w:rFonts w:cs="Times New Roman"/>
              </w:rPr>
              <w:t>Avg. Debt (%)</w:t>
            </w:r>
          </w:p>
        </w:tc>
        <w:tc>
          <w:tcPr>
            <w:tcW w:w="1728" w:type="dxa"/>
          </w:tcPr>
          <w:p w14:paraId="07C54DB8" w14:textId="77777777" w:rsidR="004F244C" w:rsidRPr="00326B3B" w:rsidRDefault="00000000" w:rsidP="00326B3B">
            <w:pPr>
              <w:jc w:val="both"/>
              <w:rPr>
                <w:rFonts w:cs="Times New Roman"/>
              </w:rPr>
            </w:pPr>
            <w:r w:rsidRPr="00326B3B">
              <w:rPr>
                <w:rFonts w:cs="Times New Roman"/>
              </w:rPr>
              <w:t xml:space="preserve">Status vs. Abs </w:t>
            </w:r>
            <w:r w:rsidRPr="00326B3B">
              <w:rPr>
                <w:rFonts w:cs="Times New Roman"/>
              </w:rPr>
              <w:lastRenderedPageBreak/>
              <w:t>Min</w:t>
            </w:r>
          </w:p>
        </w:tc>
        <w:tc>
          <w:tcPr>
            <w:tcW w:w="1728" w:type="dxa"/>
          </w:tcPr>
          <w:p w14:paraId="3743314F" w14:textId="77777777" w:rsidR="004F244C" w:rsidRPr="00326B3B" w:rsidRDefault="00000000" w:rsidP="00326B3B">
            <w:pPr>
              <w:jc w:val="both"/>
              <w:rPr>
                <w:rFonts w:cs="Times New Roman"/>
              </w:rPr>
            </w:pPr>
            <w:r w:rsidRPr="00326B3B">
              <w:rPr>
                <w:rFonts w:cs="Times New Roman"/>
              </w:rPr>
              <w:lastRenderedPageBreak/>
              <w:t xml:space="preserve">Status vs. Max </w:t>
            </w:r>
            <w:r w:rsidRPr="00326B3B">
              <w:rPr>
                <w:rFonts w:cs="Times New Roman"/>
              </w:rPr>
              <w:lastRenderedPageBreak/>
              <w:t>+3σ</w:t>
            </w:r>
          </w:p>
        </w:tc>
      </w:tr>
      <w:tr w:rsidR="004F244C" w:rsidRPr="00326B3B" w14:paraId="198B5C84" w14:textId="77777777">
        <w:tc>
          <w:tcPr>
            <w:tcW w:w="1728" w:type="dxa"/>
          </w:tcPr>
          <w:p w14:paraId="2A1F74B4" w14:textId="77777777" w:rsidR="004F244C" w:rsidRPr="00326B3B" w:rsidRDefault="00000000" w:rsidP="00326B3B">
            <w:pPr>
              <w:jc w:val="both"/>
              <w:rPr>
                <w:rFonts w:cs="Times New Roman"/>
              </w:rPr>
            </w:pPr>
            <w:r w:rsidRPr="00326B3B">
              <w:rPr>
                <w:rFonts w:cs="Times New Roman"/>
              </w:rPr>
              <w:lastRenderedPageBreak/>
              <w:t>BRICS</w:t>
            </w:r>
          </w:p>
        </w:tc>
        <w:tc>
          <w:tcPr>
            <w:tcW w:w="1728" w:type="dxa"/>
          </w:tcPr>
          <w:p w14:paraId="13CCF24A" w14:textId="77777777" w:rsidR="004F244C" w:rsidRPr="00326B3B" w:rsidRDefault="00000000" w:rsidP="00326B3B">
            <w:pPr>
              <w:jc w:val="both"/>
              <w:rPr>
                <w:rFonts w:cs="Times New Roman"/>
              </w:rPr>
            </w:pPr>
            <w:r w:rsidRPr="00326B3B">
              <w:rPr>
                <w:rFonts w:cs="Times New Roman"/>
              </w:rPr>
              <w:t>Egypt</w:t>
            </w:r>
          </w:p>
        </w:tc>
        <w:tc>
          <w:tcPr>
            <w:tcW w:w="1728" w:type="dxa"/>
          </w:tcPr>
          <w:p w14:paraId="3877ACA4" w14:textId="77777777" w:rsidR="004F244C" w:rsidRPr="00326B3B" w:rsidRDefault="00000000" w:rsidP="00326B3B">
            <w:pPr>
              <w:jc w:val="both"/>
              <w:rPr>
                <w:rFonts w:cs="Times New Roman"/>
              </w:rPr>
            </w:pPr>
            <w:r w:rsidRPr="00326B3B">
              <w:rPr>
                <w:rFonts w:cs="Times New Roman"/>
              </w:rPr>
              <w:t>82.02%</w:t>
            </w:r>
          </w:p>
        </w:tc>
        <w:tc>
          <w:tcPr>
            <w:tcW w:w="1728" w:type="dxa"/>
          </w:tcPr>
          <w:p w14:paraId="6226EC6A" w14:textId="77777777" w:rsidR="004F244C" w:rsidRPr="00326B3B" w:rsidRDefault="00000000" w:rsidP="00326B3B">
            <w:pPr>
              <w:jc w:val="both"/>
              <w:rPr>
                <w:rFonts w:cs="Times New Roman"/>
              </w:rPr>
            </w:pPr>
            <w:r w:rsidRPr="00326B3B">
              <w:rPr>
                <w:rFonts w:cs="Times New Roman"/>
              </w:rPr>
              <w:t>YES</w:t>
            </w:r>
          </w:p>
        </w:tc>
        <w:tc>
          <w:tcPr>
            <w:tcW w:w="1728" w:type="dxa"/>
          </w:tcPr>
          <w:p w14:paraId="0A487A60" w14:textId="77777777" w:rsidR="004F244C" w:rsidRPr="00326B3B" w:rsidRDefault="00000000" w:rsidP="00326B3B">
            <w:pPr>
              <w:jc w:val="both"/>
              <w:rPr>
                <w:rFonts w:cs="Times New Roman"/>
              </w:rPr>
            </w:pPr>
            <w:r w:rsidRPr="00326B3B">
              <w:rPr>
                <w:rFonts w:cs="Times New Roman"/>
              </w:rPr>
              <w:t>TRAPPED</w:t>
            </w:r>
          </w:p>
        </w:tc>
      </w:tr>
      <w:tr w:rsidR="004F244C" w:rsidRPr="00326B3B" w14:paraId="672FA080" w14:textId="77777777">
        <w:tc>
          <w:tcPr>
            <w:tcW w:w="1728" w:type="dxa"/>
          </w:tcPr>
          <w:p w14:paraId="1268EACE" w14:textId="77777777" w:rsidR="004F244C" w:rsidRPr="00326B3B" w:rsidRDefault="00000000" w:rsidP="00326B3B">
            <w:pPr>
              <w:jc w:val="both"/>
              <w:rPr>
                <w:rFonts w:cs="Times New Roman"/>
              </w:rPr>
            </w:pPr>
            <w:r w:rsidRPr="00326B3B">
              <w:rPr>
                <w:rFonts w:cs="Times New Roman"/>
              </w:rPr>
              <w:t>BRICS</w:t>
            </w:r>
          </w:p>
        </w:tc>
        <w:tc>
          <w:tcPr>
            <w:tcW w:w="1728" w:type="dxa"/>
          </w:tcPr>
          <w:p w14:paraId="5E0492D0" w14:textId="77777777" w:rsidR="004F244C" w:rsidRPr="00326B3B" w:rsidRDefault="00000000" w:rsidP="00326B3B">
            <w:pPr>
              <w:jc w:val="both"/>
              <w:rPr>
                <w:rFonts w:cs="Times New Roman"/>
              </w:rPr>
            </w:pPr>
            <w:r w:rsidRPr="00326B3B">
              <w:rPr>
                <w:rFonts w:cs="Times New Roman"/>
              </w:rPr>
              <w:t>Brazil</w:t>
            </w:r>
          </w:p>
        </w:tc>
        <w:tc>
          <w:tcPr>
            <w:tcW w:w="1728" w:type="dxa"/>
          </w:tcPr>
          <w:p w14:paraId="70811551" w14:textId="77777777" w:rsidR="004F244C" w:rsidRPr="00326B3B" w:rsidRDefault="00000000" w:rsidP="00326B3B">
            <w:pPr>
              <w:jc w:val="both"/>
              <w:rPr>
                <w:rFonts w:cs="Times New Roman"/>
              </w:rPr>
            </w:pPr>
            <w:r w:rsidRPr="00326B3B">
              <w:rPr>
                <w:rFonts w:cs="Times New Roman"/>
              </w:rPr>
              <w:t>74.52%</w:t>
            </w:r>
          </w:p>
        </w:tc>
        <w:tc>
          <w:tcPr>
            <w:tcW w:w="1728" w:type="dxa"/>
          </w:tcPr>
          <w:p w14:paraId="231BC9E0" w14:textId="77777777" w:rsidR="004F244C" w:rsidRPr="00326B3B" w:rsidRDefault="00000000" w:rsidP="00326B3B">
            <w:pPr>
              <w:jc w:val="both"/>
              <w:rPr>
                <w:rFonts w:cs="Times New Roman"/>
              </w:rPr>
            </w:pPr>
            <w:r w:rsidRPr="00326B3B">
              <w:rPr>
                <w:rFonts w:cs="Times New Roman"/>
              </w:rPr>
              <w:t>YES</w:t>
            </w:r>
          </w:p>
        </w:tc>
        <w:tc>
          <w:tcPr>
            <w:tcW w:w="1728" w:type="dxa"/>
          </w:tcPr>
          <w:p w14:paraId="7C1C5D2E" w14:textId="77777777" w:rsidR="004F244C" w:rsidRPr="00326B3B" w:rsidRDefault="00000000" w:rsidP="00326B3B">
            <w:pPr>
              <w:jc w:val="center"/>
              <w:rPr>
                <w:rFonts w:cs="Times New Roman"/>
                <w:b/>
                <w:sz w:val="32"/>
              </w:rPr>
            </w:pPr>
            <w:r w:rsidRPr="00326B3B">
              <w:rPr>
                <w:rFonts w:cs="Times New Roman"/>
                <w:b/>
                <w:sz w:val="32"/>
              </w:rPr>
              <w:t>NEAR LIMIT</w:t>
            </w:r>
          </w:p>
        </w:tc>
      </w:tr>
      <w:tr w:rsidR="004F244C" w:rsidRPr="00326B3B" w14:paraId="3FD8C873" w14:textId="77777777">
        <w:tc>
          <w:tcPr>
            <w:tcW w:w="1728" w:type="dxa"/>
          </w:tcPr>
          <w:p w14:paraId="292D32D5" w14:textId="77777777" w:rsidR="004F244C" w:rsidRPr="00326B3B" w:rsidRDefault="00000000" w:rsidP="00326B3B">
            <w:pPr>
              <w:jc w:val="both"/>
              <w:rPr>
                <w:rFonts w:cs="Times New Roman"/>
              </w:rPr>
            </w:pPr>
            <w:r w:rsidRPr="00326B3B">
              <w:rPr>
                <w:rFonts w:cs="Times New Roman"/>
              </w:rPr>
              <w:t>Advanced OECD</w:t>
            </w:r>
          </w:p>
        </w:tc>
        <w:tc>
          <w:tcPr>
            <w:tcW w:w="1728" w:type="dxa"/>
          </w:tcPr>
          <w:p w14:paraId="4603D12C" w14:textId="77777777" w:rsidR="004F244C" w:rsidRPr="00326B3B" w:rsidRDefault="00000000" w:rsidP="00326B3B">
            <w:pPr>
              <w:jc w:val="both"/>
              <w:rPr>
                <w:rFonts w:cs="Times New Roman"/>
              </w:rPr>
            </w:pPr>
            <w:r w:rsidRPr="00326B3B">
              <w:rPr>
                <w:rFonts w:cs="Times New Roman"/>
              </w:rPr>
              <w:t>Japan</w:t>
            </w:r>
          </w:p>
        </w:tc>
        <w:tc>
          <w:tcPr>
            <w:tcW w:w="1728" w:type="dxa"/>
          </w:tcPr>
          <w:p w14:paraId="1B7C5CE1" w14:textId="77777777" w:rsidR="004F244C" w:rsidRPr="00326B3B" w:rsidRDefault="00000000" w:rsidP="00326B3B">
            <w:pPr>
              <w:jc w:val="both"/>
              <w:rPr>
                <w:rFonts w:cs="Times New Roman"/>
              </w:rPr>
            </w:pPr>
            <w:r w:rsidRPr="00326B3B">
              <w:rPr>
                <w:rFonts w:cs="Times New Roman"/>
              </w:rPr>
              <w:t>230.98%</w:t>
            </w:r>
          </w:p>
        </w:tc>
        <w:tc>
          <w:tcPr>
            <w:tcW w:w="1728" w:type="dxa"/>
          </w:tcPr>
          <w:p w14:paraId="0D03D9B1" w14:textId="77777777" w:rsidR="004F244C" w:rsidRPr="00326B3B" w:rsidRDefault="00000000" w:rsidP="00326B3B">
            <w:pPr>
              <w:jc w:val="both"/>
              <w:rPr>
                <w:rFonts w:cs="Times New Roman"/>
              </w:rPr>
            </w:pPr>
            <w:r w:rsidRPr="00326B3B">
              <w:rPr>
                <w:rFonts w:cs="Times New Roman"/>
              </w:rPr>
              <w:t>YES</w:t>
            </w:r>
          </w:p>
        </w:tc>
        <w:tc>
          <w:tcPr>
            <w:tcW w:w="1728" w:type="dxa"/>
          </w:tcPr>
          <w:p w14:paraId="67C30662" w14:textId="77777777" w:rsidR="004F244C" w:rsidRPr="00326B3B" w:rsidRDefault="00000000" w:rsidP="00326B3B">
            <w:pPr>
              <w:jc w:val="both"/>
              <w:rPr>
                <w:rFonts w:cs="Times New Roman"/>
              </w:rPr>
            </w:pPr>
            <w:r w:rsidRPr="00326B3B">
              <w:rPr>
                <w:rFonts w:cs="Times New Roman"/>
              </w:rPr>
              <w:t>TRAPPED</w:t>
            </w:r>
          </w:p>
        </w:tc>
      </w:tr>
      <w:tr w:rsidR="004F244C" w:rsidRPr="00326B3B" w14:paraId="7A242557" w14:textId="77777777">
        <w:tc>
          <w:tcPr>
            <w:tcW w:w="1728" w:type="dxa"/>
          </w:tcPr>
          <w:p w14:paraId="7A8EBE5D" w14:textId="77777777" w:rsidR="004F244C" w:rsidRPr="00326B3B" w:rsidRDefault="00000000" w:rsidP="00326B3B">
            <w:pPr>
              <w:jc w:val="both"/>
              <w:rPr>
                <w:rFonts w:cs="Times New Roman"/>
              </w:rPr>
            </w:pPr>
            <w:r w:rsidRPr="00326B3B">
              <w:rPr>
                <w:rFonts w:cs="Times New Roman"/>
              </w:rPr>
              <w:t>Advanced OECD</w:t>
            </w:r>
          </w:p>
        </w:tc>
        <w:tc>
          <w:tcPr>
            <w:tcW w:w="1728" w:type="dxa"/>
          </w:tcPr>
          <w:p w14:paraId="5129E6C7" w14:textId="77777777" w:rsidR="004F244C" w:rsidRPr="00326B3B" w:rsidRDefault="00000000" w:rsidP="00326B3B">
            <w:pPr>
              <w:jc w:val="both"/>
              <w:rPr>
                <w:rFonts w:cs="Times New Roman"/>
              </w:rPr>
            </w:pPr>
            <w:r w:rsidRPr="00326B3B">
              <w:rPr>
                <w:rFonts w:cs="Times New Roman"/>
              </w:rPr>
              <w:t>France</w:t>
            </w:r>
          </w:p>
        </w:tc>
        <w:tc>
          <w:tcPr>
            <w:tcW w:w="1728" w:type="dxa"/>
          </w:tcPr>
          <w:p w14:paraId="4F8736D6" w14:textId="77777777" w:rsidR="004F244C" w:rsidRPr="00326B3B" w:rsidRDefault="00000000" w:rsidP="00326B3B">
            <w:pPr>
              <w:jc w:val="both"/>
              <w:rPr>
                <w:rFonts w:cs="Times New Roman"/>
              </w:rPr>
            </w:pPr>
            <w:r w:rsidRPr="00326B3B">
              <w:rPr>
                <w:rFonts w:cs="Times New Roman"/>
              </w:rPr>
              <w:t>97.94%</w:t>
            </w:r>
          </w:p>
        </w:tc>
        <w:tc>
          <w:tcPr>
            <w:tcW w:w="1728" w:type="dxa"/>
          </w:tcPr>
          <w:p w14:paraId="114F81B8" w14:textId="77777777" w:rsidR="004F244C" w:rsidRPr="00326B3B" w:rsidRDefault="00000000" w:rsidP="00326B3B">
            <w:pPr>
              <w:jc w:val="both"/>
              <w:rPr>
                <w:rFonts w:cs="Times New Roman"/>
              </w:rPr>
            </w:pPr>
            <w:r w:rsidRPr="00326B3B">
              <w:rPr>
                <w:rFonts w:cs="Times New Roman"/>
              </w:rPr>
              <w:t>YES</w:t>
            </w:r>
          </w:p>
        </w:tc>
        <w:tc>
          <w:tcPr>
            <w:tcW w:w="1728" w:type="dxa"/>
          </w:tcPr>
          <w:p w14:paraId="32301862" w14:textId="77777777" w:rsidR="004F244C" w:rsidRPr="00326B3B" w:rsidRDefault="00000000" w:rsidP="00326B3B">
            <w:pPr>
              <w:jc w:val="both"/>
              <w:rPr>
                <w:rFonts w:cs="Times New Roman"/>
              </w:rPr>
            </w:pPr>
            <w:r w:rsidRPr="00326B3B">
              <w:rPr>
                <w:rFonts w:cs="Times New Roman"/>
              </w:rPr>
              <w:t>TRAPPED</w:t>
            </w:r>
          </w:p>
        </w:tc>
      </w:tr>
      <w:tr w:rsidR="004F244C" w:rsidRPr="00326B3B" w14:paraId="557C7999" w14:textId="77777777">
        <w:tc>
          <w:tcPr>
            <w:tcW w:w="1728" w:type="dxa"/>
          </w:tcPr>
          <w:p w14:paraId="57B96E38" w14:textId="77777777" w:rsidR="004F244C" w:rsidRPr="00326B3B" w:rsidRDefault="00000000" w:rsidP="00326B3B">
            <w:pPr>
              <w:jc w:val="both"/>
              <w:rPr>
                <w:rFonts w:cs="Times New Roman"/>
              </w:rPr>
            </w:pPr>
            <w:r w:rsidRPr="00326B3B">
              <w:rPr>
                <w:rFonts w:cs="Times New Roman"/>
              </w:rPr>
              <w:t>Advanced OECD</w:t>
            </w:r>
          </w:p>
        </w:tc>
        <w:tc>
          <w:tcPr>
            <w:tcW w:w="1728" w:type="dxa"/>
          </w:tcPr>
          <w:p w14:paraId="7FC63EAB" w14:textId="77777777" w:rsidR="004F244C" w:rsidRPr="00326B3B" w:rsidRDefault="00000000" w:rsidP="00326B3B">
            <w:pPr>
              <w:jc w:val="both"/>
              <w:rPr>
                <w:rFonts w:cs="Times New Roman"/>
              </w:rPr>
            </w:pPr>
            <w:r w:rsidRPr="00326B3B">
              <w:rPr>
                <w:rFonts w:cs="Times New Roman"/>
              </w:rPr>
              <w:t>Germany</w:t>
            </w:r>
          </w:p>
        </w:tc>
        <w:tc>
          <w:tcPr>
            <w:tcW w:w="1728" w:type="dxa"/>
          </w:tcPr>
          <w:p w14:paraId="735F2EA3" w14:textId="77777777" w:rsidR="004F244C" w:rsidRPr="00326B3B" w:rsidRDefault="00000000" w:rsidP="00326B3B">
            <w:pPr>
              <w:jc w:val="both"/>
              <w:rPr>
                <w:rFonts w:cs="Times New Roman"/>
              </w:rPr>
            </w:pPr>
            <w:r w:rsidRPr="00326B3B">
              <w:rPr>
                <w:rFonts w:cs="Times New Roman"/>
              </w:rPr>
              <w:t>70.55%</w:t>
            </w:r>
          </w:p>
        </w:tc>
        <w:tc>
          <w:tcPr>
            <w:tcW w:w="1728" w:type="dxa"/>
          </w:tcPr>
          <w:p w14:paraId="258D2179" w14:textId="77777777" w:rsidR="004F244C" w:rsidRPr="00326B3B" w:rsidRDefault="00000000" w:rsidP="00326B3B">
            <w:pPr>
              <w:jc w:val="both"/>
              <w:rPr>
                <w:rFonts w:cs="Times New Roman"/>
              </w:rPr>
            </w:pPr>
            <w:r w:rsidRPr="00326B3B">
              <w:rPr>
                <w:rFonts w:cs="Times New Roman"/>
              </w:rPr>
              <w:t>YES</w:t>
            </w:r>
          </w:p>
        </w:tc>
        <w:tc>
          <w:tcPr>
            <w:tcW w:w="1728" w:type="dxa"/>
          </w:tcPr>
          <w:p w14:paraId="3249D4FB" w14:textId="77777777" w:rsidR="004F244C" w:rsidRPr="00326B3B" w:rsidRDefault="00000000" w:rsidP="00326B3B">
            <w:pPr>
              <w:jc w:val="both"/>
              <w:rPr>
                <w:rFonts w:cs="Times New Roman"/>
              </w:rPr>
            </w:pPr>
            <w:r w:rsidRPr="00326B3B">
              <w:rPr>
                <w:rFonts w:cs="Times New Roman"/>
              </w:rPr>
              <w:t>SAFE (Crisis Regime)</w:t>
            </w:r>
          </w:p>
        </w:tc>
      </w:tr>
      <w:tr w:rsidR="004F244C" w:rsidRPr="00326B3B" w14:paraId="3883A8F9" w14:textId="77777777">
        <w:tc>
          <w:tcPr>
            <w:tcW w:w="1728" w:type="dxa"/>
          </w:tcPr>
          <w:p w14:paraId="2351C950" w14:textId="77777777" w:rsidR="004F244C" w:rsidRPr="00326B3B" w:rsidRDefault="00000000" w:rsidP="00326B3B">
            <w:pPr>
              <w:jc w:val="both"/>
              <w:rPr>
                <w:rFonts w:cs="Times New Roman"/>
              </w:rPr>
            </w:pPr>
            <w:r w:rsidRPr="00326B3B">
              <w:rPr>
                <w:rFonts w:cs="Times New Roman"/>
              </w:rPr>
              <w:t>Emerging OECD</w:t>
            </w:r>
          </w:p>
        </w:tc>
        <w:tc>
          <w:tcPr>
            <w:tcW w:w="1728" w:type="dxa"/>
          </w:tcPr>
          <w:p w14:paraId="13A4B6AA" w14:textId="77777777" w:rsidR="004F244C" w:rsidRPr="00326B3B" w:rsidRDefault="00000000" w:rsidP="00326B3B">
            <w:pPr>
              <w:jc w:val="both"/>
              <w:rPr>
                <w:rFonts w:cs="Times New Roman"/>
              </w:rPr>
            </w:pPr>
            <w:r w:rsidRPr="00326B3B">
              <w:rPr>
                <w:rFonts w:cs="Times New Roman"/>
              </w:rPr>
              <w:t>Hungary</w:t>
            </w:r>
          </w:p>
        </w:tc>
        <w:tc>
          <w:tcPr>
            <w:tcW w:w="1728" w:type="dxa"/>
          </w:tcPr>
          <w:p w14:paraId="31005EDE" w14:textId="77777777" w:rsidR="004F244C" w:rsidRPr="00326B3B" w:rsidRDefault="00000000" w:rsidP="00326B3B">
            <w:pPr>
              <w:jc w:val="both"/>
              <w:rPr>
                <w:rFonts w:cs="Times New Roman"/>
              </w:rPr>
            </w:pPr>
            <w:r w:rsidRPr="00326B3B">
              <w:rPr>
                <w:rFonts w:cs="Times New Roman"/>
              </w:rPr>
              <w:t>75.42%</w:t>
            </w:r>
          </w:p>
        </w:tc>
        <w:tc>
          <w:tcPr>
            <w:tcW w:w="1728" w:type="dxa"/>
          </w:tcPr>
          <w:p w14:paraId="76442C95" w14:textId="77777777" w:rsidR="004F244C" w:rsidRPr="00326B3B" w:rsidRDefault="00000000" w:rsidP="00326B3B">
            <w:pPr>
              <w:jc w:val="both"/>
              <w:rPr>
                <w:rFonts w:cs="Times New Roman"/>
              </w:rPr>
            </w:pPr>
            <w:r w:rsidRPr="00326B3B">
              <w:rPr>
                <w:rFonts w:cs="Times New Roman"/>
              </w:rPr>
              <w:t>YES</w:t>
            </w:r>
          </w:p>
        </w:tc>
        <w:tc>
          <w:tcPr>
            <w:tcW w:w="1728" w:type="dxa"/>
          </w:tcPr>
          <w:p w14:paraId="306F4A57" w14:textId="77777777" w:rsidR="004F244C" w:rsidRPr="00326B3B" w:rsidRDefault="00000000" w:rsidP="00326B3B">
            <w:pPr>
              <w:jc w:val="both"/>
              <w:rPr>
                <w:rFonts w:cs="Times New Roman"/>
              </w:rPr>
            </w:pPr>
            <w:r w:rsidRPr="00326B3B">
              <w:rPr>
                <w:rFonts w:cs="Times New Roman"/>
              </w:rPr>
              <w:t>TRAPPED</w:t>
            </w:r>
          </w:p>
        </w:tc>
      </w:tr>
      <w:tr w:rsidR="004F244C" w:rsidRPr="00326B3B" w14:paraId="7A8AB5AE" w14:textId="77777777">
        <w:tc>
          <w:tcPr>
            <w:tcW w:w="1728" w:type="dxa"/>
          </w:tcPr>
          <w:p w14:paraId="2DF6293B" w14:textId="77777777" w:rsidR="004F244C" w:rsidRPr="00326B3B" w:rsidRDefault="00000000" w:rsidP="00326B3B">
            <w:pPr>
              <w:jc w:val="both"/>
              <w:rPr>
                <w:rFonts w:cs="Times New Roman"/>
              </w:rPr>
            </w:pPr>
            <w:r w:rsidRPr="00326B3B">
              <w:rPr>
                <w:rFonts w:cs="Times New Roman"/>
              </w:rPr>
              <w:t>Emerging OECD</w:t>
            </w:r>
          </w:p>
        </w:tc>
        <w:tc>
          <w:tcPr>
            <w:tcW w:w="1728" w:type="dxa"/>
          </w:tcPr>
          <w:p w14:paraId="57988EEE" w14:textId="77777777" w:rsidR="004F244C" w:rsidRPr="00326B3B" w:rsidRDefault="00000000" w:rsidP="00326B3B">
            <w:pPr>
              <w:jc w:val="both"/>
              <w:rPr>
                <w:rFonts w:cs="Times New Roman"/>
              </w:rPr>
            </w:pPr>
            <w:r w:rsidRPr="00326B3B">
              <w:rPr>
                <w:rFonts w:cs="Times New Roman"/>
              </w:rPr>
              <w:t>Colombia</w:t>
            </w:r>
          </w:p>
        </w:tc>
        <w:tc>
          <w:tcPr>
            <w:tcW w:w="1728" w:type="dxa"/>
          </w:tcPr>
          <w:p w14:paraId="12B019C7" w14:textId="77777777" w:rsidR="004F244C" w:rsidRPr="00326B3B" w:rsidRDefault="00000000" w:rsidP="00326B3B">
            <w:pPr>
              <w:jc w:val="both"/>
              <w:rPr>
                <w:rFonts w:cs="Times New Roman"/>
              </w:rPr>
            </w:pPr>
            <w:r w:rsidRPr="00326B3B">
              <w:rPr>
                <w:rFonts w:cs="Times New Roman"/>
              </w:rPr>
              <w:t>47.57%</w:t>
            </w:r>
          </w:p>
        </w:tc>
        <w:tc>
          <w:tcPr>
            <w:tcW w:w="1728" w:type="dxa"/>
          </w:tcPr>
          <w:p w14:paraId="08D9AE8E" w14:textId="77777777" w:rsidR="004F244C" w:rsidRPr="00326B3B" w:rsidRDefault="00000000" w:rsidP="00326B3B">
            <w:pPr>
              <w:jc w:val="both"/>
              <w:rPr>
                <w:rFonts w:cs="Times New Roman"/>
              </w:rPr>
            </w:pPr>
            <w:r w:rsidRPr="00326B3B">
              <w:rPr>
                <w:rFonts w:cs="Times New Roman"/>
              </w:rPr>
              <w:t>YES</w:t>
            </w:r>
          </w:p>
        </w:tc>
        <w:tc>
          <w:tcPr>
            <w:tcW w:w="1728" w:type="dxa"/>
          </w:tcPr>
          <w:p w14:paraId="220A2719" w14:textId="77777777" w:rsidR="004F244C" w:rsidRPr="00326B3B" w:rsidRDefault="00000000" w:rsidP="00326B3B">
            <w:pPr>
              <w:jc w:val="center"/>
              <w:rPr>
                <w:rFonts w:cs="Times New Roman"/>
                <w:b/>
                <w:sz w:val="32"/>
              </w:rPr>
            </w:pPr>
            <w:r w:rsidRPr="00326B3B">
              <w:rPr>
                <w:rFonts w:cs="Times New Roman"/>
                <w:b/>
                <w:sz w:val="32"/>
              </w:rPr>
              <w:t>NEAR LIMIT</w:t>
            </w:r>
          </w:p>
        </w:tc>
      </w:tr>
    </w:tbl>
    <w:p w14:paraId="3668DEFB" w14:textId="77777777" w:rsidR="004F244C" w:rsidRPr="00326B3B" w:rsidRDefault="00000000" w:rsidP="00326B3B">
      <w:pPr>
        <w:spacing w:after="0"/>
        <w:jc w:val="both"/>
        <w:rPr>
          <w:rFonts w:cs="Times New Roman"/>
        </w:rPr>
      </w:pPr>
      <w:r w:rsidRPr="00326B3B">
        <w:rPr>
          <w:rFonts w:cs="Times New Roman"/>
        </w:rPr>
        <w:t>Data source: World Bank WDI and Author's Calculations</w:t>
      </w:r>
    </w:p>
    <w:p w14:paraId="703F05F1" w14:textId="7578D4E2" w:rsidR="004F244C" w:rsidRPr="00326B3B" w:rsidRDefault="00326B3B" w:rsidP="00326B3B">
      <w:pPr>
        <w:spacing w:after="0"/>
        <w:rPr>
          <w:rFonts w:cs="Times New Roman"/>
          <w:b/>
          <w:sz w:val="28"/>
        </w:rPr>
      </w:pPr>
      <w:r>
        <w:rPr>
          <w:rFonts w:cs="Times New Roman"/>
          <w:b/>
          <w:sz w:val="28"/>
        </w:rPr>
        <w:br/>
      </w:r>
      <w:r>
        <w:rPr>
          <w:rFonts w:cs="Times New Roman"/>
          <w:b/>
          <w:sz w:val="28"/>
        </w:rPr>
        <w:br/>
      </w:r>
      <w:r w:rsidR="00000000" w:rsidRPr="00326B3B">
        <w:rPr>
          <w:rFonts w:cs="Times New Roman"/>
          <w:b/>
          <w:sz w:val="28"/>
        </w:rPr>
        <w:t>5. Conclusion and Policy Implications</w:t>
      </w:r>
    </w:p>
    <w:p w14:paraId="3CD3E8AF" w14:textId="77777777" w:rsidR="004F244C" w:rsidRPr="00326B3B" w:rsidRDefault="00000000" w:rsidP="00326B3B">
      <w:pPr>
        <w:spacing w:after="0"/>
        <w:rPr>
          <w:rFonts w:cs="Times New Roman"/>
          <w:b/>
        </w:rPr>
      </w:pPr>
      <w:r w:rsidRPr="00326B3B">
        <w:rPr>
          <w:rFonts w:cs="Times New Roman"/>
          <w:b/>
        </w:rPr>
        <w:t>5.1 Synthesis of the Research</w:t>
      </w:r>
    </w:p>
    <w:p w14:paraId="28925E43" w14:textId="77777777" w:rsidR="004F244C" w:rsidRPr="00326B3B" w:rsidRDefault="00000000" w:rsidP="00326B3B">
      <w:pPr>
        <w:spacing w:after="0"/>
        <w:jc w:val="both"/>
        <w:rPr>
          <w:rFonts w:cs="Times New Roman"/>
        </w:rPr>
      </w:pPr>
      <w:r w:rsidRPr="00326B3B">
        <w:rPr>
          <w:rFonts w:cs="Times New Roman"/>
        </w:rPr>
        <w:t>The empirical evidence presented in this thesis leads to a singular, inescapable conclusion: the era of debt as a friction-less economic stimulus is over.</w:t>
      </w:r>
    </w:p>
    <w:p w14:paraId="1236FE45" w14:textId="77777777" w:rsidR="004F244C" w:rsidRPr="00326B3B" w:rsidRDefault="00000000" w:rsidP="00326B3B">
      <w:pPr>
        <w:spacing w:after="0"/>
        <w:jc w:val="both"/>
        <w:rPr>
          <w:rFonts w:cs="Times New Roman"/>
        </w:rPr>
      </w:pPr>
      <w:r w:rsidRPr="00326B3B">
        <w:rPr>
          <w:rFonts w:cs="Times New Roman"/>
        </w:rPr>
        <w:t>Our threshold models in Chapter 4 demonstrated that BRICS nations are anchored by a 23% debt-to-GDP ceiling, while Advanced OECD nations are sliding into a high-leverage stagnation trap.</w:t>
      </w:r>
    </w:p>
    <w:p w14:paraId="62C54CF2" w14:textId="77777777" w:rsidR="004F244C" w:rsidRPr="00326B3B" w:rsidRDefault="00000000" w:rsidP="00326B3B">
      <w:pPr>
        <w:spacing w:after="0"/>
        <w:jc w:val="both"/>
        <w:rPr>
          <w:rFonts w:cs="Times New Roman"/>
        </w:rPr>
      </w:pPr>
      <w:r w:rsidRPr="00326B3B">
        <w:rPr>
          <w:rFonts w:cs="Times New Roman"/>
        </w:rPr>
        <w:t>This study confirms that sovereign borrowing in the 21st century has become a primary driver of the  Cantillon Effect —a phenomenon where the proximity to the source of new money supply allows asset-owning elites to capture value before inflationary pressures erode the purchasing power of the broader populace (Cantillon, 1755; Hayek, 1931).</w:t>
      </w:r>
    </w:p>
    <w:p w14:paraId="4625BC60" w14:textId="77777777" w:rsidR="004F244C" w:rsidRPr="00326B3B" w:rsidRDefault="00000000" w:rsidP="00326B3B">
      <w:pPr>
        <w:spacing w:after="0"/>
        <w:rPr>
          <w:rFonts w:cs="Times New Roman"/>
          <w:b/>
        </w:rPr>
      </w:pPr>
      <w:r w:rsidRPr="00326B3B">
        <w:rPr>
          <w:rFonts w:cs="Times New Roman"/>
          <w:b/>
        </w:rPr>
        <w:t>5.2 Structural Policy Recommendations</w:t>
      </w:r>
    </w:p>
    <w:p w14:paraId="30B88E43" w14:textId="77777777" w:rsidR="004F244C" w:rsidRPr="00326B3B" w:rsidRDefault="00000000" w:rsidP="00326B3B">
      <w:pPr>
        <w:spacing w:after="0"/>
        <w:rPr>
          <w:rFonts w:cs="Times New Roman"/>
          <w:b/>
        </w:rPr>
      </w:pPr>
      <w:r w:rsidRPr="00326B3B">
        <w:rPr>
          <w:rFonts w:cs="Times New Roman"/>
          <w:b/>
        </w:rPr>
        <w:t>5.2.1 The Sovereign Debt Management Authority (SDMA)</w:t>
      </w:r>
    </w:p>
    <w:p w14:paraId="33365C95" w14:textId="77777777" w:rsidR="004F244C" w:rsidRPr="00326B3B" w:rsidRDefault="00000000" w:rsidP="00326B3B">
      <w:pPr>
        <w:spacing w:after="0"/>
        <w:jc w:val="both"/>
        <w:rPr>
          <w:rFonts w:cs="Times New Roman"/>
        </w:rPr>
      </w:pPr>
      <w:r w:rsidRPr="00326B3B">
        <w:rPr>
          <w:rFonts w:cs="Times New Roman"/>
        </w:rPr>
        <w:lastRenderedPageBreak/>
        <w:t>To resolve the "three-handed god" trilemma facing modern central banks, this study proposes the establishment of an independent  Sovereign Debt Management Authority (SDMA) .</w:t>
      </w:r>
    </w:p>
    <w:p w14:paraId="478A9B77" w14:textId="77777777" w:rsidR="004F244C" w:rsidRPr="00326B3B" w:rsidRDefault="00000000" w:rsidP="00326B3B">
      <w:pPr>
        <w:spacing w:after="0"/>
        <w:jc w:val="both"/>
        <w:rPr>
          <w:rFonts w:cs="Times New Roman"/>
        </w:rPr>
      </w:pPr>
      <w:r w:rsidRPr="00326B3B">
        <w:rPr>
          <w:rFonts w:cs="Times New Roman"/>
        </w:rPr>
        <w:t>Functioning with the same mandate-autonomy as a Central Bank, the SDMA would decouple fiscal survival from political cycles.</w:t>
      </w:r>
    </w:p>
    <w:p w14:paraId="2B7B0E2E" w14:textId="77777777" w:rsidR="004F244C" w:rsidRPr="00326B3B" w:rsidRDefault="00000000" w:rsidP="00326B3B">
      <w:pPr>
        <w:spacing w:after="0"/>
        <w:jc w:val="both"/>
        <w:rPr>
          <w:rFonts w:cs="Times New Roman"/>
        </w:rPr>
      </w:pPr>
      <w:r w:rsidRPr="00326B3B">
        <w:rPr>
          <w:rFonts w:cs="Times New Roman"/>
        </w:rPr>
        <w:t>Counter-Cyclical Debt Retirement:  The SDMA should be legally mandated to harvest a percentage of excessive state income during growth phases to proactively payout high-interest sovereign bonds ahead of schedule.</w:t>
      </w:r>
    </w:p>
    <w:p w14:paraId="2ADBCE68" w14:textId="77777777" w:rsidR="004F244C" w:rsidRPr="00326B3B" w:rsidRDefault="00000000" w:rsidP="00326B3B">
      <w:pPr>
        <w:spacing w:after="0"/>
        <w:jc w:val="both"/>
        <w:rPr>
          <w:rFonts w:cs="Times New Roman"/>
        </w:rPr>
      </w:pPr>
      <w:r w:rsidRPr="00326B3B">
        <w:rPr>
          <w:rFonts w:cs="Times New Roman"/>
        </w:rPr>
        <w:t>Strategic Liquidity Control:  By prioritizing the retirement of high-yield debt vehicles, the SDMA can reduce the long-term interest burden that currently threatens to eclipse national defense and social insurance budgets (Peterson Foundation, 2026).</w:t>
      </w:r>
    </w:p>
    <w:p w14:paraId="4D8A4180" w14:textId="77777777" w:rsidR="004F244C" w:rsidRPr="00326B3B" w:rsidRDefault="00000000" w:rsidP="00326B3B">
      <w:pPr>
        <w:spacing w:after="0"/>
        <w:jc w:val="both"/>
        <w:rPr>
          <w:rFonts w:cs="Times New Roman"/>
        </w:rPr>
      </w:pPr>
      <w:r w:rsidRPr="00326B3B">
        <w:rPr>
          <w:rFonts w:cs="Times New Roman"/>
        </w:rPr>
        <w:t>Independent Debt Caps:  The SDMA would have the authority to set a "Hard Saturation Cap" on Debt-to-GDP ratios (e.g., the 23% identified for BRICS).</w:t>
      </w:r>
    </w:p>
    <w:p w14:paraId="4BFF9D8C" w14:textId="77777777" w:rsidR="004F244C" w:rsidRPr="00326B3B" w:rsidRDefault="00000000" w:rsidP="00326B3B">
      <w:pPr>
        <w:spacing w:after="0"/>
        <w:rPr>
          <w:rFonts w:cs="Times New Roman"/>
          <w:b/>
        </w:rPr>
      </w:pPr>
      <w:r w:rsidRPr="00326B3B">
        <w:rPr>
          <w:rFonts w:cs="Times New Roman"/>
          <w:b/>
        </w:rPr>
        <w:t>5.2.2 Addressing Elite Capture: The "Public Equity Fund"</w:t>
      </w:r>
    </w:p>
    <w:p w14:paraId="284BD9BB" w14:textId="77777777" w:rsidR="004F244C" w:rsidRPr="00326B3B" w:rsidRDefault="00000000" w:rsidP="00326B3B">
      <w:pPr>
        <w:spacing w:after="0"/>
        <w:jc w:val="both"/>
        <w:rPr>
          <w:rFonts w:cs="Times New Roman"/>
        </w:rPr>
      </w:pPr>
      <w:r w:rsidRPr="00326B3B">
        <w:rPr>
          <w:rFonts w:cs="Times New Roman"/>
        </w:rPr>
        <w:t>As documented by Piketty (2014) and verified by our  Elite Capture Ratio  results, debt stimulus disproportionately benefits the Top 10%.</w:t>
      </w:r>
    </w:p>
    <w:p w14:paraId="00EC948F" w14:textId="77777777" w:rsidR="004F244C" w:rsidRPr="00326B3B" w:rsidRDefault="00000000" w:rsidP="00326B3B">
      <w:pPr>
        <w:spacing w:after="0"/>
        <w:jc w:val="both"/>
        <w:rPr>
          <w:rFonts w:cs="Times New Roman"/>
        </w:rPr>
      </w:pPr>
      <w:r w:rsidRPr="00326B3B">
        <w:rPr>
          <w:rFonts w:cs="Times New Roman"/>
        </w:rPr>
        <w:t>To mitigate this, this study proposes a revolutionary shift in taxation:  Equity-Based Asset Recovery.</w:t>
      </w:r>
    </w:p>
    <w:p w14:paraId="0F0BD937" w14:textId="77777777" w:rsidR="004F244C" w:rsidRPr="00326B3B" w:rsidRDefault="00000000" w:rsidP="00326B3B">
      <w:pPr>
        <w:spacing w:after="0"/>
        <w:jc w:val="both"/>
        <w:rPr>
          <w:rFonts w:cs="Times New Roman"/>
        </w:rPr>
      </w:pPr>
      <w:r w:rsidRPr="00326B3B">
        <w:rPr>
          <w:rFonts w:cs="Times New Roman"/>
        </w:rPr>
        <w:t>Since taxing unrealized gains in cash is an accounting impossibility, the state should instead claim a percentage of  voting and non-voting shares  and debt instruments directly from top-tier asset holders.</w:t>
      </w:r>
    </w:p>
    <w:p w14:paraId="5498CD5A" w14:textId="77777777" w:rsidR="004F244C" w:rsidRPr="00326B3B" w:rsidRDefault="00000000" w:rsidP="00326B3B">
      <w:pPr>
        <w:spacing w:after="0"/>
        <w:jc w:val="both"/>
        <w:rPr>
          <w:rFonts w:cs="Times New Roman"/>
        </w:rPr>
      </w:pPr>
      <w:r w:rsidRPr="00326B3B">
        <w:rPr>
          <w:rFonts w:cs="Times New Roman"/>
        </w:rPr>
        <w:t>The Stimulus Cashback:  This "nationalization of instruments" ensures that if sovereign debt is used to inflate the markets, the public, via a State-owned Sovereign Wealth Fund, receives a "cashback" in the form of equity dividends.</w:t>
      </w:r>
    </w:p>
    <w:p w14:paraId="050AC7C8" w14:textId="77777777" w:rsidR="004F244C" w:rsidRPr="00326B3B" w:rsidRDefault="00000000" w:rsidP="00326B3B">
      <w:pPr>
        <w:spacing w:after="0"/>
        <w:rPr>
          <w:rFonts w:cs="Times New Roman"/>
          <w:b/>
        </w:rPr>
      </w:pPr>
      <w:r w:rsidRPr="00326B3B">
        <w:rPr>
          <w:rFonts w:cs="Times New Roman"/>
          <w:b/>
        </w:rPr>
        <w:t>5.2.3 Competitive Devaluation and the "Exorbitant Privilege"</w:t>
      </w:r>
    </w:p>
    <w:p w14:paraId="099F09DE" w14:textId="77777777" w:rsidR="004F244C" w:rsidRPr="00326B3B" w:rsidRDefault="00000000" w:rsidP="00326B3B">
      <w:pPr>
        <w:spacing w:after="0"/>
        <w:jc w:val="both"/>
        <w:rPr>
          <w:rFonts w:cs="Times New Roman"/>
        </w:rPr>
      </w:pPr>
      <w:r w:rsidRPr="00326B3B">
        <w:rPr>
          <w:rFonts w:cs="Times New Roman"/>
        </w:rPr>
        <w:t>For developed economies, particularly those outside the U.S. dollar's immediate shield, the study recommends a cautious  Competitive Devaluation.</w:t>
      </w:r>
    </w:p>
    <w:p w14:paraId="354A44B1" w14:textId="77777777" w:rsidR="004F244C" w:rsidRPr="00326B3B" w:rsidRDefault="00000000" w:rsidP="00326B3B">
      <w:pPr>
        <w:spacing w:after="0"/>
        <w:jc w:val="both"/>
        <w:rPr>
          <w:rFonts w:cs="Times New Roman"/>
        </w:rPr>
      </w:pPr>
      <w:r w:rsidRPr="00326B3B">
        <w:rPr>
          <w:rFonts w:cs="Times New Roman"/>
        </w:rPr>
        <w:t>To maintain a competitive industrial base amidst a global trade war, a slightly weaker currency serves as a vent for high debt pressures (Eichengreen, 2011).</w:t>
      </w:r>
    </w:p>
    <w:p w14:paraId="7D3A193B" w14:textId="77777777" w:rsidR="004F244C" w:rsidRPr="00326B3B" w:rsidRDefault="00000000" w:rsidP="00326B3B">
      <w:pPr>
        <w:spacing w:after="0"/>
        <w:rPr>
          <w:rFonts w:cs="Times New Roman"/>
          <w:b/>
        </w:rPr>
      </w:pPr>
      <w:r w:rsidRPr="00326B3B">
        <w:rPr>
          <w:rFonts w:cs="Times New Roman"/>
          <w:b/>
        </w:rPr>
        <w:t>5.3 Global Trade and New Capital Allocators</w:t>
      </w:r>
    </w:p>
    <w:p w14:paraId="38E6F1F5" w14:textId="77777777" w:rsidR="004F244C" w:rsidRPr="00326B3B" w:rsidRDefault="00000000" w:rsidP="00326B3B">
      <w:pPr>
        <w:spacing w:after="0"/>
        <w:jc w:val="both"/>
        <w:rPr>
          <w:rFonts w:cs="Times New Roman"/>
        </w:rPr>
      </w:pPr>
      <w:r w:rsidRPr="00326B3B">
        <w:rPr>
          <w:rFonts w:cs="Times New Roman"/>
        </w:rPr>
        <w:t>Within the framework of  International Economics and Trade , the current system relies too heavily on a few over-leveraged reserve currencies.</w:t>
      </w:r>
    </w:p>
    <w:p w14:paraId="0EDD11B5" w14:textId="77777777" w:rsidR="004F244C" w:rsidRPr="00326B3B" w:rsidRDefault="00000000" w:rsidP="00326B3B">
      <w:pPr>
        <w:spacing w:after="0"/>
        <w:jc w:val="both"/>
        <w:rPr>
          <w:rFonts w:cs="Times New Roman"/>
        </w:rPr>
      </w:pPr>
      <w:r w:rsidRPr="00326B3B">
        <w:rPr>
          <w:rFonts w:cs="Times New Roman"/>
        </w:rPr>
        <w:lastRenderedPageBreak/>
        <w:t>Institutional Multipolarity:  Stronger economies with sustainable growth-to-debt profiles, most notably China, must accelerate institutional reforms to become new centers of global capital allocation.</w:t>
      </w:r>
    </w:p>
    <w:p w14:paraId="51FD0E17" w14:textId="77777777" w:rsidR="004F244C" w:rsidRPr="00326B3B" w:rsidRDefault="00000000" w:rsidP="00326B3B">
      <w:pPr>
        <w:spacing w:after="0"/>
        <w:jc w:val="both"/>
        <w:rPr>
          <w:rFonts w:cs="Times New Roman"/>
        </w:rPr>
      </w:pPr>
      <w:r w:rsidRPr="00326B3B">
        <w:rPr>
          <w:rFonts w:cs="Times New Roman"/>
        </w:rPr>
        <w:t>De-Risking Trade:  By developing alternative financial architectures that do not rely on the indebted "old-liberal" anchors, the global trade system can insulate itself from the inevitable "interest rate choke out" of the Western financial system.</w:t>
      </w:r>
    </w:p>
    <w:p w14:paraId="7412712D" w14:textId="77777777" w:rsidR="004F244C" w:rsidRPr="00326B3B" w:rsidRDefault="00000000" w:rsidP="00326B3B">
      <w:pPr>
        <w:spacing w:after="0"/>
        <w:rPr>
          <w:rFonts w:cs="Times New Roman"/>
          <w:b/>
        </w:rPr>
      </w:pPr>
      <w:r w:rsidRPr="00326B3B">
        <w:rPr>
          <w:rFonts w:cs="Times New Roman"/>
          <w:b/>
        </w:rPr>
        <w:t>5.4 Directions for Further Research: Toward "Debt Studies"</w:t>
      </w:r>
    </w:p>
    <w:p w14:paraId="028CCFFA" w14:textId="77777777" w:rsidR="004F244C" w:rsidRPr="00326B3B" w:rsidRDefault="00000000" w:rsidP="00326B3B">
      <w:pPr>
        <w:spacing w:after="0"/>
        <w:jc w:val="both"/>
        <w:rPr>
          <w:rFonts w:cs="Times New Roman"/>
        </w:rPr>
      </w:pPr>
      <w:r w:rsidRPr="00326B3B">
        <w:rPr>
          <w:rFonts w:cs="Times New Roman"/>
        </w:rPr>
        <w:t>This thesis advocates for the formalization of  "Debt Studies"  as a self-standing interdisciplinary field.</w:t>
      </w:r>
    </w:p>
    <w:p w14:paraId="6F134A43" w14:textId="77777777" w:rsidR="004F244C" w:rsidRPr="00326B3B" w:rsidRDefault="00000000" w:rsidP="00326B3B">
      <w:pPr>
        <w:spacing w:after="0"/>
        <w:jc w:val="both"/>
        <w:rPr>
          <w:rFonts w:cs="Times New Roman"/>
        </w:rPr>
      </w:pPr>
      <w:r w:rsidRPr="00326B3B">
        <w:rPr>
          <w:rFonts w:cs="Times New Roman"/>
        </w:rPr>
        <w:t>Sovereign debt is no longer a mere variable in a GDP equation; it is a complex system that dictates the survival of the social contract.</w:t>
      </w:r>
    </w:p>
    <w:p w14:paraId="5214DF22" w14:textId="77777777" w:rsidR="004F244C" w:rsidRPr="00326B3B" w:rsidRDefault="00000000" w:rsidP="00326B3B">
      <w:pPr>
        <w:spacing w:after="0"/>
        <w:jc w:val="both"/>
        <w:rPr>
          <w:rFonts w:cs="Times New Roman"/>
        </w:rPr>
      </w:pPr>
      <w:r w:rsidRPr="00326B3B">
        <w:rPr>
          <w:rFonts w:cs="Times New Roman"/>
        </w:rPr>
        <w:t>Further research should focus on the "Complexity" of debt-interconnectivity—how a default in a developing trade partner triggers a non-linear collapse in the equity-recovery funds of a developed nation.</w:t>
      </w:r>
    </w:p>
    <w:p w14:paraId="05C0F040" w14:textId="0CBA98FB" w:rsidR="004F244C" w:rsidRPr="00326B3B" w:rsidRDefault="00326B3B" w:rsidP="00326B3B">
      <w:pPr>
        <w:spacing w:after="0"/>
        <w:rPr>
          <w:rFonts w:cs="Times New Roman"/>
          <w:b/>
          <w:sz w:val="28"/>
        </w:rPr>
      </w:pPr>
      <w:r>
        <w:rPr>
          <w:rFonts w:cs="Times New Roman"/>
          <w:b/>
          <w:sz w:val="28"/>
        </w:rPr>
        <w:br/>
      </w:r>
      <w:r>
        <w:rPr>
          <w:rFonts w:cs="Times New Roman"/>
          <w:b/>
          <w:sz w:val="28"/>
        </w:rPr>
        <w:br/>
      </w:r>
      <w:r w:rsidR="00000000" w:rsidRPr="00326B3B">
        <w:rPr>
          <w:rFonts w:cs="Times New Roman"/>
          <w:b/>
          <w:sz w:val="28"/>
        </w:rPr>
        <w:t>6. Unanswered Questions and the "Debt Studies" Roadmap</w:t>
      </w:r>
    </w:p>
    <w:p w14:paraId="55CD7302" w14:textId="77777777" w:rsidR="004F244C" w:rsidRPr="00326B3B" w:rsidRDefault="00000000" w:rsidP="00326B3B">
      <w:pPr>
        <w:spacing w:after="0"/>
        <w:rPr>
          <w:rFonts w:cs="Times New Roman"/>
          <w:b/>
        </w:rPr>
      </w:pPr>
      <w:r w:rsidRPr="00326B3B">
        <w:rPr>
          <w:rFonts w:cs="Times New Roman"/>
          <w:b/>
        </w:rPr>
        <w:t>6.1 The Quest for Real-Time Multiplier Measurement</w:t>
      </w:r>
    </w:p>
    <w:p w14:paraId="45C1F090" w14:textId="77777777" w:rsidR="004F244C" w:rsidRPr="00326B3B" w:rsidRDefault="00000000" w:rsidP="00326B3B">
      <w:pPr>
        <w:spacing w:after="0"/>
        <w:jc w:val="both"/>
        <w:rPr>
          <w:rFonts w:cs="Times New Roman"/>
        </w:rPr>
      </w:pPr>
      <w:r w:rsidRPr="00326B3B">
        <w:rPr>
          <w:rFonts w:cs="Times New Roman"/>
        </w:rPr>
        <w:t>A primary limitation of current macroeconomics is the "aggregation lag."</w:t>
      </w:r>
    </w:p>
    <w:p w14:paraId="3C36A02D" w14:textId="77777777" w:rsidR="004F244C" w:rsidRPr="00326B3B" w:rsidRDefault="00000000" w:rsidP="00326B3B">
      <w:pPr>
        <w:spacing w:after="0"/>
        <w:jc w:val="both"/>
        <w:rPr>
          <w:rFonts w:cs="Times New Roman"/>
        </w:rPr>
      </w:pPr>
      <w:r w:rsidRPr="00326B3B">
        <w:rPr>
          <w:rFonts w:cs="Times New Roman"/>
        </w:rPr>
        <w:t>Traditional fiscal multipliers are calculated using annual or quarterly data, often reported months after the stimulus has been deployed.</w:t>
      </w:r>
    </w:p>
    <w:p w14:paraId="16ABAC5A" w14:textId="77777777" w:rsidR="004F244C" w:rsidRPr="00326B3B" w:rsidRDefault="00000000" w:rsidP="00326B3B">
      <w:pPr>
        <w:spacing w:after="0"/>
        <w:jc w:val="both"/>
        <w:rPr>
          <w:rFonts w:cs="Times New Roman"/>
        </w:rPr>
      </w:pPr>
      <w:r w:rsidRPr="00326B3B">
        <w:rPr>
          <w:rFonts w:cs="Times New Roman"/>
        </w:rPr>
        <w:t>However, in the high-frequency environment of modern asset management, the efficiency of a debt-financed shock can change within days.</w:t>
      </w:r>
    </w:p>
    <w:p w14:paraId="52FFAF8B" w14:textId="77777777" w:rsidR="004F244C" w:rsidRPr="00326B3B" w:rsidRDefault="00000000" w:rsidP="00326B3B">
      <w:pPr>
        <w:spacing w:after="0"/>
        <w:jc w:val="both"/>
        <w:rPr>
          <w:rFonts w:cs="Times New Roman"/>
        </w:rPr>
      </w:pPr>
      <w:r w:rsidRPr="00326B3B">
        <w:rPr>
          <w:rFonts w:cs="Times New Roman"/>
        </w:rPr>
        <w:t>Further Research Question:   Can we move from historical estimation to active, constant measurement of the multiplier effect using high-frequency data and Artificial Intelligence?</w:t>
      </w:r>
    </w:p>
    <w:p w14:paraId="35FE3FD6" w14:textId="77777777" w:rsidR="004F244C" w:rsidRPr="00326B3B" w:rsidRDefault="00000000" w:rsidP="00326B3B">
      <w:pPr>
        <w:spacing w:after="0"/>
        <w:jc w:val="both"/>
        <w:rPr>
          <w:rFonts w:cs="Times New Roman"/>
        </w:rPr>
      </w:pPr>
      <w:r w:rsidRPr="00326B3B">
        <w:rPr>
          <w:rFonts w:cs="Times New Roman"/>
        </w:rPr>
        <w:t>Recent breakthroughs in computational economics suggest this is possible. Mazlish (2026) demonstrates that Large Language Models (LLMs) can be utilized to identify "high-frequency fiscal shocks" by analyzing daily policy expectations and interest rate future surprises.</w:t>
      </w:r>
    </w:p>
    <w:p w14:paraId="75E3D47F" w14:textId="77777777" w:rsidR="004F244C" w:rsidRPr="00326B3B" w:rsidRDefault="00000000" w:rsidP="00326B3B">
      <w:pPr>
        <w:spacing w:after="0"/>
        <w:rPr>
          <w:rFonts w:cs="Times New Roman"/>
          <w:b/>
        </w:rPr>
      </w:pPr>
      <w:r w:rsidRPr="00326B3B">
        <w:rPr>
          <w:rFonts w:cs="Times New Roman"/>
          <w:b/>
        </w:rPr>
        <w:t>6.2 Mapping the "Cantillon Tree": From 0th to Nth Beneficiaries</w:t>
      </w:r>
    </w:p>
    <w:p w14:paraId="405C1196" w14:textId="77777777" w:rsidR="004F244C" w:rsidRPr="00326B3B" w:rsidRDefault="00000000" w:rsidP="00326B3B">
      <w:pPr>
        <w:spacing w:after="0"/>
        <w:jc w:val="both"/>
        <w:rPr>
          <w:rFonts w:cs="Times New Roman"/>
        </w:rPr>
      </w:pPr>
      <w:r w:rsidRPr="00326B3B">
        <w:rPr>
          <w:rFonts w:cs="Times New Roman"/>
        </w:rPr>
        <w:lastRenderedPageBreak/>
        <w:t>This thesis verified the existence of  Elite Capture , but it did not map the exact biological "tree" of money flow.</w:t>
      </w:r>
    </w:p>
    <w:p w14:paraId="271B6E4D" w14:textId="77777777" w:rsidR="004F244C" w:rsidRPr="00326B3B" w:rsidRDefault="00000000" w:rsidP="00326B3B">
      <w:pPr>
        <w:spacing w:after="0"/>
        <w:jc w:val="both"/>
        <w:rPr>
          <w:rFonts w:cs="Times New Roman"/>
        </w:rPr>
      </w:pPr>
      <w:r w:rsidRPr="00326B3B">
        <w:rPr>
          <w:rFonts w:cs="Times New Roman"/>
        </w:rPr>
        <w:t>When a government (the 0th beneficiary) issues debt to stimulate the economy, the capital enters the system at specific injection points—usually Tier-1 financial institutions or large government contractors.</w:t>
      </w:r>
    </w:p>
    <w:p w14:paraId="62634C66" w14:textId="77777777" w:rsidR="004F244C" w:rsidRPr="00326B3B" w:rsidRDefault="00000000" w:rsidP="00326B3B">
      <w:pPr>
        <w:spacing w:after="0"/>
        <w:jc w:val="both"/>
        <w:rPr>
          <w:rFonts w:cs="Times New Roman"/>
        </w:rPr>
      </w:pPr>
      <w:r w:rsidRPr="00326B3B">
        <w:rPr>
          <w:rFonts w:cs="Times New Roman"/>
        </w:rPr>
        <w:t>Further Research Question:   Can we construct a granular graph of entities inlined for debt stimulus to identify the first, second, and last-term beneficiaries across different institutional regimes?</w:t>
      </w:r>
    </w:p>
    <w:p w14:paraId="1676C963" w14:textId="77777777" w:rsidR="004F244C" w:rsidRPr="00326B3B" w:rsidRDefault="00000000" w:rsidP="00326B3B">
      <w:pPr>
        <w:spacing w:after="0"/>
        <w:jc w:val="both"/>
        <w:rPr>
          <w:rFonts w:cs="Times New Roman"/>
        </w:rPr>
      </w:pPr>
      <w:r w:rsidRPr="00326B3B">
        <w:rPr>
          <w:rFonts w:cs="Times New Roman"/>
        </w:rPr>
        <w:t>Constructing such a  "Cantillon Tree"  would be a revolutionary tool for International Economics and Trade.</w:t>
      </w:r>
    </w:p>
    <w:p w14:paraId="661896C1" w14:textId="77777777" w:rsidR="004F244C" w:rsidRPr="00326B3B" w:rsidRDefault="00000000" w:rsidP="00326B3B">
      <w:pPr>
        <w:spacing w:after="0"/>
        <w:rPr>
          <w:rFonts w:cs="Times New Roman"/>
          <w:b/>
        </w:rPr>
      </w:pPr>
      <w:r w:rsidRPr="00326B3B">
        <w:rPr>
          <w:rFonts w:cs="Times New Roman"/>
          <w:b/>
        </w:rPr>
        <w:t>6.3 Creative Destruction vs. "Zombie" Survival</w:t>
      </w:r>
    </w:p>
    <w:p w14:paraId="585C685E" w14:textId="77777777" w:rsidR="004F244C" w:rsidRPr="00326B3B" w:rsidRDefault="00000000" w:rsidP="00326B3B">
      <w:pPr>
        <w:spacing w:after="0"/>
        <w:jc w:val="both"/>
        <w:rPr>
          <w:rFonts w:cs="Times New Roman"/>
        </w:rPr>
      </w:pPr>
      <w:r w:rsidRPr="00326B3B">
        <w:rPr>
          <w:rFonts w:cs="Times New Roman"/>
        </w:rPr>
        <w:t>The "Too Big To Fail" (TBTF) doctrine was born from the fear that the collapse of a systemic entity would trigger a "worse now."</w:t>
      </w:r>
    </w:p>
    <w:p w14:paraId="6C1CBA75" w14:textId="77777777" w:rsidR="004F244C" w:rsidRPr="00326B3B" w:rsidRDefault="00000000" w:rsidP="00326B3B">
      <w:pPr>
        <w:spacing w:after="0"/>
        <w:jc w:val="both"/>
        <w:rPr>
          <w:rFonts w:cs="Times New Roman"/>
        </w:rPr>
      </w:pPr>
      <w:r w:rsidRPr="00326B3B">
        <w:rPr>
          <w:rFonts w:cs="Times New Roman"/>
        </w:rPr>
        <w:t>However, the results of this study suggest that by throwing money into  zombie companies —entities that remain operational only through continued credit injections—we are merely subsidizing an "unbearable tomorrow."</w:t>
      </w:r>
    </w:p>
    <w:p w14:paraId="252A1251" w14:textId="77777777" w:rsidR="004F244C" w:rsidRPr="00326B3B" w:rsidRDefault="00000000" w:rsidP="00326B3B">
      <w:pPr>
        <w:spacing w:after="0"/>
        <w:jc w:val="both"/>
        <w:rPr>
          <w:rFonts w:cs="Times New Roman"/>
        </w:rPr>
      </w:pPr>
      <w:r w:rsidRPr="00326B3B">
        <w:rPr>
          <w:rFonts w:cs="Times New Roman"/>
        </w:rPr>
        <w:t>Further Research Question:   What is the long-term structural trade-off between market correction (current pain) and prolonged debt-fueled stagnation (future collapse)?</w:t>
      </w:r>
    </w:p>
    <w:p w14:paraId="5A0D71FC" w14:textId="77777777" w:rsidR="004F244C" w:rsidRPr="00326B3B" w:rsidRDefault="00000000" w:rsidP="00326B3B">
      <w:pPr>
        <w:spacing w:after="0"/>
        <w:rPr>
          <w:rFonts w:cs="Times New Roman"/>
          <w:b/>
        </w:rPr>
      </w:pPr>
      <w:r w:rsidRPr="00326B3B">
        <w:rPr>
          <w:rFonts w:cs="Times New Roman"/>
          <w:b/>
        </w:rPr>
        <w:t>6.4 Establishing "Debt Studies" as a Standalone Field</w:t>
      </w:r>
    </w:p>
    <w:p w14:paraId="50DAB21A" w14:textId="77777777" w:rsidR="004F244C" w:rsidRPr="00326B3B" w:rsidRDefault="00000000" w:rsidP="00326B3B">
      <w:pPr>
        <w:spacing w:after="0"/>
        <w:jc w:val="both"/>
        <w:rPr>
          <w:rFonts w:cs="Times New Roman"/>
        </w:rPr>
      </w:pPr>
      <w:r w:rsidRPr="00326B3B">
        <w:rPr>
          <w:rFonts w:cs="Times New Roman"/>
        </w:rPr>
        <w:t>Just as  Complexity Studies  transformed computer science by treating interconnected systems as a unique discipline, the global economy now requires a dedicated field of  "Debt Studies."</w:t>
      </w:r>
    </w:p>
    <w:p w14:paraId="70EF7C50" w14:textId="77777777" w:rsidR="004F244C" w:rsidRPr="00326B3B" w:rsidRDefault="00000000" w:rsidP="00326B3B">
      <w:pPr>
        <w:spacing w:after="0"/>
        <w:jc w:val="both"/>
        <w:rPr>
          <w:rFonts w:cs="Times New Roman"/>
        </w:rPr>
      </w:pPr>
      <w:r w:rsidRPr="00326B3B">
        <w:rPr>
          <w:rFonts w:cs="Times New Roman"/>
        </w:rPr>
        <w:t>Sovereign debt is no longer a localized fiscal variable; it is the "determining economic and social relation" (Lazzarato, 2012).</w:t>
      </w:r>
    </w:p>
    <w:p w14:paraId="2E810658" w14:textId="77777777" w:rsidR="004F244C" w:rsidRPr="00326B3B" w:rsidRDefault="00000000" w:rsidP="00326B3B">
      <w:pPr>
        <w:spacing w:after="0"/>
        <w:jc w:val="both"/>
        <w:rPr>
          <w:rFonts w:cs="Times New Roman"/>
        </w:rPr>
      </w:pPr>
      <w:r w:rsidRPr="00326B3B">
        <w:rPr>
          <w:rFonts w:cs="Times New Roman"/>
        </w:rPr>
        <w:t>It dictates the survival of trade routes, the stability of the social contract, and the psychological well-being of entire generations.</w:t>
      </w:r>
    </w:p>
    <w:p w14:paraId="26DD2C6C" w14:textId="206D85E2" w:rsidR="004F244C" w:rsidRPr="00326B3B" w:rsidRDefault="00326B3B" w:rsidP="00326B3B">
      <w:pPr>
        <w:spacing w:after="0"/>
        <w:rPr>
          <w:rFonts w:cs="Times New Roman"/>
          <w:b/>
          <w:sz w:val="28"/>
        </w:rPr>
      </w:pPr>
      <w:r>
        <w:rPr>
          <w:rFonts w:cs="Times New Roman"/>
          <w:b/>
          <w:sz w:val="28"/>
        </w:rPr>
        <w:br/>
      </w:r>
      <w:r>
        <w:rPr>
          <w:rFonts w:cs="Times New Roman"/>
          <w:b/>
          <w:sz w:val="28"/>
        </w:rPr>
        <w:br/>
      </w:r>
      <w:r w:rsidR="00000000" w:rsidRPr="00326B3B">
        <w:rPr>
          <w:rFonts w:cs="Times New Roman"/>
          <w:b/>
          <w:sz w:val="28"/>
        </w:rPr>
        <w:t>7. The Role of Artificial Intelligence in Economic Research</w:t>
      </w:r>
    </w:p>
    <w:p w14:paraId="0DFDE588" w14:textId="77777777" w:rsidR="004F244C" w:rsidRPr="00326B3B" w:rsidRDefault="00000000" w:rsidP="00326B3B">
      <w:pPr>
        <w:spacing w:after="0"/>
        <w:rPr>
          <w:rFonts w:cs="Times New Roman"/>
          <w:b/>
        </w:rPr>
      </w:pPr>
      <w:r w:rsidRPr="00326B3B">
        <w:rPr>
          <w:rFonts w:cs="Times New Roman"/>
          <w:b/>
        </w:rPr>
        <w:t>7.1 From Spreadsheet Constraints to AI-Driven Python</w:t>
      </w:r>
    </w:p>
    <w:p w14:paraId="605B5205" w14:textId="77777777" w:rsidR="004F244C" w:rsidRPr="00326B3B" w:rsidRDefault="00000000" w:rsidP="00326B3B">
      <w:pPr>
        <w:spacing w:after="0"/>
        <w:jc w:val="both"/>
        <w:rPr>
          <w:rFonts w:cs="Times New Roman"/>
        </w:rPr>
      </w:pPr>
      <w:r w:rsidRPr="00326B3B">
        <w:rPr>
          <w:rFonts w:cs="Times New Roman"/>
        </w:rPr>
        <w:t>The technical execution of this thesis represents a fundamental shift in research methodology.</w:t>
      </w:r>
    </w:p>
    <w:p w14:paraId="2A666BD3" w14:textId="77777777" w:rsidR="004F244C" w:rsidRPr="00326B3B" w:rsidRDefault="00000000" w:rsidP="00326B3B">
      <w:pPr>
        <w:spacing w:after="0"/>
        <w:jc w:val="both"/>
        <w:rPr>
          <w:rFonts w:cs="Times New Roman"/>
        </w:rPr>
      </w:pPr>
      <w:r w:rsidRPr="00326B3B">
        <w:rPr>
          <w:rFonts w:cs="Times New Roman"/>
        </w:rPr>
        <w:lastRenderedPageBreak/>
        <w:t>Traditionally, undergraduate economic research is often confined to the linear capabilities of Microsoft Excel.</w:t>
      </w:r>
    </w:p>
    <w:p w14:paraId="3643479C" w14:textId="77777777" w:rsidR="004F244C" w:rsidRPr="00326B3B" w:rsidRDefault="00000000" w:rsidP="00326B3B">
      <w:pPr>
        <w:spacing w:after="0"/>
        <w:jc w:val="both"/>
        <w:rPr>
          <w:rFonts w:cs="Times New Roman"/>
        </w:rPr>
      </w:pPr>
      <w:r w:rsidRPr="00326B3B">
        <w:rPr>
          <w:rFonts w:cs="Times New Roman"/>
        </w:rPr>
        <w:t>While the author maintains a high level of expertise in spreadsheet modeling, the multi-dimensional requirements of this study—specifically the handling of unbalanced panels, the execution of Difference GMM, and the custom grid-search for Hansen Thresholds—surpassed the structural limits of traditional tools.</w:t>
      </w:r>
    </w:p>
    <w:p w14:paraId="4E1EE9DD" w14:textId="77777777" w:rsidR="004F244C" w:rsidRPr="00326B3B" w:rsidRDefault="00000000" w:rsidP="00326B3B">
      <w:pPr>
        <w:spacing w:after="0"/>
        <w:jc w:val="both"/>
        <w:rPr>
          <w:rFonts w:cs="Times New Roman"/>
        </w:rPr>
      </w:pPr>
      <w:r w:rsidRPr="00326B3B">
        <w:rPr>
          <w:rFonts w:cs="Times New Roman"/>
        </w:rPr>
        <w:t>Rather than adopting the niche, steep learning curves of R or Stata, this research utilized AI as a primary "Co-Pilot" for Python-based econometric modeling.</w:t>
      </w:r>
    </w:p>
    <w:p w14:paraId="12FE93FC" w14:textId="77777777" w:rsidR="004F244C" w:rsidRPr="00326B3B" w:rsidRDefault="00000000" w:rsidP="00326B3B">
      <w:pPr>
        <w:spacing w:after="0"/>
        <w:rPr>
          <w:rFonts w:cs="Times New Roman"/>
          <w:b/>
        </w:rPr>
      </w:pPr>
      <w:r w:rsidRPr="00326B3B">
        <w:rPr>
          <w:rFonts w:cs="Times New Roman"/>
          <w:b/>
        </w:rPr>
        <w:t>7.2 The "Vibecoding" Methodology</w:t>
      </w:r>
    </w:p>
    <w:p w14:paraId="4B7FF613" w14:textId="77777777" w:rsidR="004F244C" w:rsidRPr="00326B3B" w:rsidRDefault="00000000" w:rsidP="00326B3B">
      <w:pPr>
        <w:spacing w:after="0"/>
        <w:jc w:val="both"/>
        <w:rPr>
          <w:rFonts w:cs="Times New Roman"/>
        </w:rPr>
      </w:pPr>
      <w:r w:rsidRPr="00326B3B">
        <w:rPr>
          <w:rFonts w:cs="Times New Roman"/>
        </w:rPr>
        <w:t>The author defines the computational process of this thesis as  "Vibecoding."</w:t>
      </w:r>
    </w:p>
    <w:p w14:paraId="07101457" w14:textId="77777777" w:rsidR="004F244C" w:rsidRPr="00326B3B" w:rsidRDefault="00000000" w:rsidP="00326B3B">
      <w:pPr>
        <w:spacing w:after="0"/>
        <w:jc w:val="both"/>
        <w:rPr>
          <w:rFonts w:cs="Times New Roman"/>
        </w:rPr>
      </w:pPr>
      <w:r w:rsidRPr="00326B3B">
        <w:rPr>
          <w:rFonts w:cs="Times New Roman"/>
        </w:rPr>
        <w:t>This is not merely the automation of code generation, but a synergistic workflow where the human researcher provides the "econometric vibe"—the theoretical intuition, the selection of control variables, and the interpretation of statistical significance—while the AI manages the boilerplate complexity and the rigorous matrix mathematics required for panel data inversion.</w:t>
      </w:r>
    </w:p>
    <w:p w14:paraId="0EE9147E" w14:textId="77777777" w:rsidR="004F244C" w:rsidRPr="00326B3B" w:rsidRDefault="00000000" w:rsidP="00326B3B">
      <w:pPr>
        <w:spacing w:after="0"/>
        <w:rPr>
          <w:rFonts w:cs="Times New Roman"/>
          <w:b/>
        </w:rPr>
      </w:pPr>
      <w:r w:rsidRPr="00326B3B">
        <w:rPr>
          <w:rFonts w:cs="Times New Roman"/>
          <w:b/>
        </w:rPr>
        <w:t>7.3 The Academic Paradox: Productivity vs. Integrity</w:t>
      </w:r>
    </w:p>
    <w:p w14:paraId="1EC3D2CF" w14:textId="77777777" w:rsidR="004F244C" w:rsidRPr="00326B3B" w:rsidRDefault="00000000" w:rsidP="00326B3B">
      <w:pPr>
        <w:spacing w:after="0"/>
        <w:jc w:val="both"/>
        <w:rPr>
          <w:rFonts w:cs="Times New Roman"/>
        </w:rPr>
      </w:pPr>
      <w:r w:rsidRPr="00326B3B">
        <w:rPr>
          <w:rFonts w:cs="Times New Roman"/>
        </w:rPr>
        <w:t>The use of AI in academia is often met with apprehension, primarily regarding the risk of academic dishonesty.</w:t>
      </w:r>
    </w:p>
    <w:p w14:paraId="597B090B" w14:textId="77777777" w:rsidR="004F244C" w:rsidRPr="00326B3B" w:rsidRDefault="00000000" w:rsidP="00326B3B">
      <w:pPr>
        <w:spacing w:after="0"/>
        <w:jc w:val="both"/>
        <w:rPr>
          <w:rFonts w:cs="Times New Roman"/>
        </w:rPr>
      </w:pPr>
      <w:r w:rsidRPr="00326B3B">
        <w:rPr>
          <w:rFonts w:cs="Times New Roman"/>
        </w:rPr>
        <w:t>However, this study posits that there is a critical distinction between "cheating" and "technological leverage."</w:t>
      </w:r>
    </w:p>
    <w:p w14:paraId="6016CD86" w14:textId="77777777" w:rsidR="004F244C" w:rsidRPr="00326B3B" w:rsidRDefault="00000000" w:rsidP="00326B3B">
      <w:pPr>
        <w:spacing w:after="0"/>
        <w:jc w:val="both"/>
        <w:rPr>
          <w:rFonts w:cs="Times New Roman"/>
        </w:rPr>
      </w:pPr>
      <w:r w:rsidRPr="00326B3B">
        <w:rPr>
          <w:rFonts w:cs="Times New Roman"/>
        </w:rPr>
        <w:t>If global economic institutions and central banks are expected to adopt AI to increase productivity, it is counter-intuitive for academia to fear the same tools.</w:t>
      </w:r>
    </w:p>
    <w:p w14:paraId="65D78869" w14:textId="77777777" w:rsidR="004F244C" w:rsidRPr="00326B3B" w:rsidRDefault="00000000" w:rsidP="00326B3B">
      <w:pPr>
        <w:spacing w:after="0"/>
        <w:jc w:val="both"/>
        <w:rPr>
          <w:rFonts w:cs="Times New Roman"/>
        </w:rPr>
      </w:pPr>
      <w:r w:rsidRPr="00326B3B">
        <w:rPr>
          <w:rFonts w:cs="Times New Roman"/>
        </w:rPr>
        <w:t>This work argues for a new academic standard: the "Proper Use of Leverage."</w:t>
      </w:r>
    </w:p>
    <w:p w14:paraId="18991238" w14:textId="77777777" w:rsidR="004F244C" w:rsidRPr="00326B3B" w:rsidRDefault="00000000" w:rsidP="00326B3B">
      <w:pPr>
        <w:spacing w:after="0"/>
        <w:jc w:val="both"/>
        <w:rPr>
          <w:rFonts w:cs="Times New Roman"/>
        </w:rPr>
      </w:pPr>
      <w:r w:rsidRPr="00326B3B">
        <w:rPr>
          <w:rFonts w:cs="Times New Roman"/>
        </w:rPr>
        <w:t>By using AI to handle the manual labor of data cleaning and syntax, the researcher was able to focus on the truly intellectual tasks: policy speculation, regime identification, and the deconstruction of the Keynesian paradigm.</w:t>
      </w:r>
    </w:p>
    <w:p w14:paraId="435C9B4D" w14:textId="77777777" w:rsidR="004F244C" w:rsidRPr="00326B3B" w:rsidRDefault="00000000" w:rsidP="00326B3B">
      <w:pPr>
        <w:spacing w:after="0"/>
        <w:rPr>
          <w:rFonts w:cs="Times New Roman"/>
          <w:b/>
        </w:rPr>
      </w:pPr>
      <w:r w:rsidRPr="00326B3B">
        <w:rPr>
          <w:rFonts w:cs="Times New Roman"/>
          <w:b/>
        </w:rPr>
        <w:t>7.4 Self-Citation: AI and the Transformation of Labor</w:t>
      </w:r>
    </w:p>
    <w:p w14:paraId="52BEB236" w14:textId="77777777" w:rsidR="004F244C" w:rsidRPr="00326B3B" w:rsidRDefault="00000000" w:rsidP="00326B3B">
      <w:pPr>
        <w:spacing w:after="0"/>
        <w:jc w:val="both"/>
        <w:rPr>
          <w:rFonts w:cs="Times New Roman"/>
        </w:rPr>
      </w:pPr>
      <w:r w:rsidRPr="00326B3B">
        <w:rPr>
          <w:rFonts w:cs="Times New Roman"/>
        </w:rPr>
        <w:t>In  AI and the Transformation of Labor  (Zorenko, 2026), the author notes that "the duality of AI discourse has matured."</w:t>
      </w:r>
    </w:p>
    <w:p w14:paraId="78C7A844" w14:textId="77777777" w:rsidR="004F244C" w:rsidRPr="00326B3B" w:rsidRDefault="00000000" w:rsidP="00326B3B">
      <w:pPr>
        <w:spacing w:after="0"/>
        <w:jc w:val="both"/>
        <w:rPr>
          <w:rFonts w:cs="Times New Roman"/>
        </w:rPr>
      </w:pPr>
      <w:r w:rsidRPr="00326B3B">
        <w:rPr>
          <w:rFonts w:cs="Times New Roman"/>
        </w:rPr>
        <w:t>We are no longer joking about the "nonsense" AI generates; we are now witnessing its ability to exert pressure on labor markets and stock valuations.</w:t>
      </w:r>
    </w:p>
    <w:p w14:paraId="1E8F3310" w14:textId="77777777" w:rsidR="004F244C" w:rsidRPr="00326B3B" w:rsidRDefault="00000000" w:rsidP="00326B3B">
      <w:pPr>
        <w:spacing w:after="0"/>
        <w:jc w:val="both"/>
        <w:rPr>
          <w:rFonts w:cs="Times New Roman"/>
        </w:rPr>
      </w:pPr>
      <w:r w:rsidRPr="00326B3B">
        <w:rPr>
          <w:rFonts w:cs="Times New Roman"/>
        </w:rPr>
        <w:lastRenderedPageBreak/>
        <w:t>This thesis is a living proof of that transition. It demonstrates that with AI support, a researcher can maintain a full-time professional career in asset management while simultaneously producing a mathematically complex econometric study.</w:t>
      </w:r>
    </w:p>
    <w:p w14:paraId="76A6B81D" w14:textId="77777777" w:rsidR="004F244C" w:rsidRPr="00326B3B" w:rsidRDefault="00000000" w:rsidP="00326B3B">
      <w:pPr>
        <w:spacing w:after="0"/>
        <w:jc w:val="both"/>
        <w:rPr>
          <w:rFonts w:cs="Times New Roman"/>
        </w:rPr>
      </w:pPr>
      <w:r w:rsidRPr="00326B3B">
        <w:rPr>
          <w:rFonts w:cs="Times New Roman"/>
        </w:rPr>
        <w:br w:type="page"/>
      </w:r>
    </w:p>
    <w:p w14:paraId="74F21F6D" w14:textId="77777777" w:rsidR="004F244C" w:rsidRPr="00326B3B" w:rsidRDefault="00000000" w:rsidP="00326B3B">
      <w:pPr>
        <w:spacing w:after="0"/>
        <w:jc w:val="both"/>
        <w:rPr>
          <w:rFonts w:cs="Times New Roman"/>
        </w:rPr>
      </w:pPr>
      <w:r w:rsidRPr="00326B3B">
        <w:rPr>
          <w:rFonts w:cs="Times New Roman"/>
        </w:rPr>
        <w:lastRenderedPageBreak/>
        <w:t>References</w:t>
      </w:r>
    </w:p>
    <w:p w14:paraId="07AC9236" w14:textId="77777777" w:rsidR="004F244C" w:rsidRPr="00326B3B" w:rsidRDefault="00000000" w:rsidP="00326B3B">
      <w:pPr>
        <w:spacing w:after="0"/>
        <w:rPr>
          <w:rFonts w:cs="Times New Roman"/>
          <w:bCs/>
          <w:sz w:val="28"/>
          <w:szCs w:val="28"/>
        </w:rPr>
      </w:pPr>
      <w:r w:rsidRPr="00326B3B">
        <w:rPr>
          <w:rFonts w:cs="Times New Roman"/>
          <w:bCs/>
          <w:sz w:val="28"/>
          <w:szCs w:val="28"/>
        </w:rPr>
        <w:t>1. Acemoglu, D., &amp; Robinson, J. A. Why Nations Fail: The Origins of Power, Prosperity, and Poverty[M]. Crown Business, New York. 2012.</w:t>
      </w:r>
    </w:p>
    <w:p w14:paraId="0271CD9B" w14:textId="77777777" w:rsidR="004F244C" w:rsidRPr="00326B3B" w:rsidRDefault="00000000" w:rsidP="00326B3B">
      <w:pPr>
        <w:spacing w:after="0"/>
        <w:rPr>
          <w:rFonts w:cs="Times New Roman"/>
          <w:bCs/>
          <w:sz w:val="28"/>
          <w:szCs w:val="28"/>
        </w:rPr>
      </w:pPr>
      <w:r w:rsidRPr="00326B3B">
        <w:rPr>
          <w:rFonts w:cs="Times New Roman"/>
          <w:bCs/>
          <w:sz w:val="28"/>
          <w:szCs w:val="28"/>
        </w:rPr>
        <w:t>2. Arellano, M., &amp; Bond, S. Some tests of specification for panel data[J]. The Review of Economic Studies, 1991.</w:t>
      </w:r>
    </w:p>
    <w:p w14:paraId="62E95852" w14:textId="77777777" w:rsidR="004F244C" w:rsidRPr="00326B3B" w:rsidRDefault="00000000" w:rsidP="00326B3B">
      <w:pPr>
        <w:spacing w:after="0"/>
        <w:rPr>
          <w:rFonts w:cs="Times New Roman"/>
          <w:bCs/>
          <w:sz w:val="28"/>
          <w:szCs w:val="28"/>
        </w:rPr>
      </w:pPr>
      <w:r w:rsidRPr="00326B3B">
        <w:rPr>
          <w:rFonts w:cs="Times New Roman"/>
          <w:bCs/>
          <w:sz w:val="28"/>
          <w:szCs w:val="28"/>
        </w:rPr>
        <w:t xml:space="preserve">3. Bown, C. P. China no longer buys US </w:t>
      </w:r>
      <w:proofErr w:type="gramStart"/>
      <w:r w:rsidRPr="00326B3B">
        <w:rPr>
          <w:rFonts w:cs="Times New Roman"/>
          <w:bCs/>
          <w:sz w:val="28"/>
          <w:szCs w:val="28"/>
        </w:rPr>
        <w:t>exports[</w:t>
      </w:r>
      <w:proofErr w:type="gramEnd"/>
      <w:r w:rsidRPr="00326B3B">
        <w:rPr>
          <w:rFonts w:cs="Times New Roman"/>
          <w:bCs/>
          <w:sz w:val="28"/>
          <w:szCs w:val="28"/>
        </w:rPr>
        <w:t>EB/OL]. Peterson Institute for International Economics. [2026-05-05].</w:t>
      </w:r>
    </w:p>
    <w:p w14:paraId="2CEE37A8" w14:textId="77777777" w:rsidR="004F244C" w:rsidRPr="00326B3B" w:rsidRDefault="00000000" w:rsidP="00326B3B">
      <w:pPr>
        <w:spacing w:after="0"/>
        <w:rPr>
          <w:rFonts w:cs="Times New Roman"/>
          <w:bCs/>
          <w:sz w:val="28"/>
          <w:szCs w:val="28"/>
        </w:rPr>
      </w:pPr>
      <w:r w:rsidRPr="00326B3B">
        <w:rPr>
          <w:rFonts w:cs="Times New Roman"/>
          <w:bCs/>
          <w:sz w:val="28"/>
          <w:szCs w:val="28"/>
        </w:rPr>
        <w:t>4. Caballero, R. J., Hoshi, T., &amp; Kashyap, A. K. Zombie Lending and Depressed Restructuring in Japan[J]. American Economic Review, 2008.</w:t>
      </w:r>
    </w:p>
    <w:p w14:paraId="49D9E7CC" w14:textId="77777777" w:rsidR="004F244C" w:rsidRPr="00326B3B" w:rsidRDefault="00000000" w:rsidP="00326B3B">
      <w:pPr>
        <w:spacing w:after="0"/>
        <w:rPr>
          <w:rFonts w:cs="Times New Roman"/>
          <w:bCs/>
          <w:sz w:val="28"/>
          <w:szCs w:val="28"/>
        </w:rPr>
      </w:pPr>
      <w:r w:rsidRPr="00326B3B">
        <w:rPr>
          <w:rFonts w:cs="Times New Roman"/>
          <w:bCs/>
          <w:sz w:val="28"/>
          <w:szCs w:val="28"/>
        </w:rPr>
        <w:t>5. Cantillon, R. Essai sur la Nature du Commerce en Général[M]. 1755.</w:t>
      </w:r>
    </w:p>
    <w:p w14:paraId="479E46B0" w14:textId="77777777" w:rsidR="004F244C" w:rsidRPr="00326B3B" w:rsidRDefault="00000000" w:rsidP="00326B3B">
      <w:pPr>
        <w:spacing w:after="0"/>
        <w:rPr>
          <w:rFonts w:cs="Times New Roman"/>
          <w:bCs/>
          <w:sz w:val="28"/>
          <w:szCs w:val="28"/>
        </w:rPr>
      </w:pPr>
      <w:r w:rsidRPr="00326B3B">
        <w:rPr>
          <w:rFonts w:cs="Times New Roman"/>
          <w:bCs/>
          <w:sz w:val="28"/>
          <w:szCs w:val="28"/>
        </w:rPr>
        <w:t>6. Eichengreen, B. Exorbitant Privilege: The Rise and Fall of the Dollar and the Future of the International Monetary System[M]. Oxford University Press, Oxford. 2011.</w:t>
      </w:r>
    </w:p>
    <w:p w14:paraId="1E0AB604" w14:textId="77777777" w:rsidR="004F244C" w:rsidRPr="00326B3B" w:rsidRDefault="00000000" w:rsidP="00326B3B">
      <w:pPr>
        <w:spacing w:after="0"/>
        <w:rPr>
          <w:rFonts w:cs="Times New Roman"/>
          <w:bCs/>
          <w:sz w:val="28"/>
          <w:szCs w:val="28"/>
        </w:rPr>
      </w:pPr>
      <w:r w:rsidRPr="00326B3B">
        <w:rPr>
          <w:rFonts w:cs="Times New Roman"/>
          <w:bCs/>
          <w:sz w:val="28"/>
          <w:szCs w:val="28"/>
        </w:rPr>
        <w:t>7. Friedman, M. The Role of Monetary Policy[J]. The American Economic Review, 58(1), 1968, 1-17.</w:t>
      </w:r>
    </w:p>
    <w:p w14:paraId="1BF57665" w14:textId="77777777" w:rsidR="004F244C" w:rsidRPr="00326B3B" w:rsidRDefault="00000000" w:rsidP="00326B3B">
      <w:pPr>
        <w:spacing w:after="0"/>
        <w:rPr>
          <w:rFonts w:cs="Times New Roman"/>
          <w:bCs/>
          <w:sz w:val="28"/>
          <w:szCs w:val="28"/>
        </w:rPr>
      </w:pPr>
      <w:r w:rsidRPr="00326B3B">
        <w:rPr>
          <w:rFonts w:cs="Times New Roman"/>
          <w:bCs/>
          <w:sz w:val="28"/>
          <w:szCs w:val="28"/>
        </w:rPr>
        <w:t>8. Goodhart, C., &amp; Pradhan, M. The Great Demographic Reversal: Ageing Societies, Waning Inequality, and an Inflation Revival[M]. Palgrave Macmillan, London. 2020.</w:t>
      </w:r>
    </w:p>
    <w:p w14:paraId="32CBCA59" w14:textId="77777777" w:rsidR="004F244C" w:rsidRPr="00326B3B" w:rsidRDefault="00000000" w:rsidP="00326B3B">
      <w:pPr>
        <w:spacing w:after="0"/>
        <w:rPr>
          <w:rFonts w:cs="Times New Roman"/>
          <w:bCs/>
          <w:sz w:val="28"/>
          <w:szCs w:val="28"/>
        </w:rPr>
      </w:pPr>
      <w:r w:rsidRPr="00326B3B">
        <w:rPr>
          <w:rFonts w:cs="Times New Roman"/>
          <w:bCs/>
          <w:sz w:val="28"/>
          <w:szCs w:val="28"/>
        </w:rPr>
        <w:t>9. Hansen, B. E. Threshold effects in non-dynamic panels[J]. Journal of Econometrics, 1999.</w:t>
      </w:r>
    </w:p>
    <w:p w14:paraId="4F1E8103" w14:textId="77777777" w:rsidR="004F244C" w:rsidRPr="00326B3B" w:rsidRDefault="00000000" w:rsidP="00326B3B">
      <w:pPr>
        <w:spacing w:after="0"/>
        <w:rPr>
          <w:rFonts w:cs="Times New Roman"/>
          <w:bCs/>
          <w:sz w:val="28"/>
          <w:szCs w:val="28"/>
        </w:rPr>
      </w:pPr>
      <w:r w:rsidRPr="00326B3B">
        <w:rPr>
          <w:rFonts w:cs="Times New Roman"/>
          <w:bCs/>
          <w:sz w:val="28"/>
          <w:szCs w:val="28"/>
        </w:rPr>
        <w:t>10. Hayek, F. A. Prices and Production[M]. Routledge, London. 1931.</w:t>
      </w:r>
    </w:p>
    <w:p w14:paraId="60483145" w14:textId="77777777" w:rsidR="004F244C" w:rsidRPr="00326B3B" w:rsidRDefault="00000000" w:rsidP="00326B3B">
      <w:pPr>
        <w:spacing w:after="0"/>
        <w:rPr>
          <w:rFonts w:cs="Times New Roman"/>
          <w:bCs/>
          <w:sz w:val="28"/>
          <w:szCs w:val="28"/>
        </w:rPr>
      </w:pPr>
      <w:r w:rsidRPr="00326B3B">
        <w:rPr>
          <w:rFonts w:cs="Times New Roman"/>
          <w:bCs/>
          <w:sz w:val="28"/>
          <w:szCs w:val="28"/>
        </w:rPr>
        <w:t>11. IMF. AI Meets Fiscal Policy: Mapping Government Spending Actions Across 64 Countries[R]. IMF eLibrary, 2026.</w:t>
      </w:r>
    </w:p>
    <w:p w14:paraId="4C971475" w14:textId="77777777" w:rsidR="004F244C" w:rsidRPr="00326B3B" w:rsidRDefault="00000000" w:rsidP="00326B3B">
      <w:pPr>
        <w:spacing w:after="0"/>
        <w:rPr>
          <w:rFonts w:cs="Times New Roman"/>
          <w:bCs/>
          <w:sz w:val="28"/>
          <w:szCs w:val="28"/>
        </w:rPr>
      </w:pPr>
      <w:r w:rsidRPr="00326B3B">
        <w:rPr>
          <w:rFonts w:cs="Times New Roman"/>
          <w:bCs/>
          <w:sz w:val="28"/>
          <w:szCs w:val="28"/>
        </w:rPr>
        <w:t>12. IMF. Global Debt Database: Largest surge since WWII[R]. IMF Fiscal Monitor, 2021.</w:t>
      </w:r>
    </w:p>
    <w:p w14:paraId="5AF8B806" w14:textId="77777777" w:rsidR="004F244C" w:rsidRPr="00326B3B" w:rsidRDefault="00000000" w:rsidP="00326B3B">
      <w:pPr>
        <w:spacing w:after="0"/>
        <w:rPr>
          <w:rFonts w:cs="Times New Roman"/>
          <w:bCs/>
          <w:sz w:val="28"/>
          <w:szCs w:val="28"/>
        </w:rPr>
      </w:pPr>
      <w:r w:rsidRPr="00326B3B">
        <w:rPr>
          <w:rFonts w:cs="Times New Roman"/>
          <w:bCs/>
          <w:sz w:val="28"/>
          <w:szCs w:val="28"/>
        </w:rPr>
        <w:t>13. IPCC. Climate Change 2023: Synthesis Report[R]. 2023.</w:t>
      </w:r>
    </w:p>
    <w:p w14:paraId="12B8B11F" w14:textId="77777777" w:rsidR="004F244C" w:rsidRPr="00326B3B" w:rsidRDefault="00000000" w:rsidP="00326B3B">
      <w:pPr>
        <w:spacing w:after="0"/>
        <w:rPr>
          <w:rFonts w:cs="Times New Roman"/>
          <w:bCs/>
          <w:sz w:val="28"/>
          <w:szCs w:val="28"/>
        </w:rPr>
      </w:pPr>
      <w:r w:rsidRPr="00326B3B">
        <w:rPr>
          <w:rFonts w:cs="Times New Roman"/>
          <w:bCs/>
          <w:sz w:val="28"/>
          <w:szCs w:val="28"/>
        </w:rPr>
        <w:t>14. Keynes, J. M. The General Theory of Employment, Interest, and Money[M]. Palgrave Macmillan, London. 1936.</w:t>
      </w:r>
    </w:p>
    <w:p w14:paraId="526FBE2A" w14:textId="77777777" w:rsidR="004F244C" w:rsidRPr="00326B3B" w:rsidRDefault="00000000" w:rsidP="00326B3B">
      <w:pPr>
        <w:spacing w:after="0"/>
        <w:rPr>
          <w:rFonts w:cs="Times New Roman"/>
          <w:bCs/>
          <w:sz w:val="28"/>
          <w:szCs w:val="28"/>
        </w:rPr>
      </w:pPr>
      <w:r w:rsidRPr="00326B3B">
        <w:rPr>
          <w:rFonts w:cs="Times New Roman"/>
          <w:bCs/>
          <w:sz w:val="28"/>
          <w:szCs w:val="28"/>
        </w:rPr>
        <w:t>15. Krugman, P. Financing vs. Forgiving a Debt Overhang[J]. Journal of Development Economics, 29(3), 1988, 253-268.</w:t>
      </w:r>
    </w:p>
    <w:p w14:paraId="23DF2B2C" w14:textId="77777777" w:rsidR="004F244C" w:rsidRPr="00326B3B" w:rsidRDefault="00000000" w:rsidP="00326B3B">
      <w:pPr>
        <w:spacing w:after="0"/>
        <w:rPr>
          <w:rFonts w:cs="Times New Roman"/>
          <w:bCs/>
          <w:sz w:val="28"/>
          <w:szCs w:val="28"/>
        </w:rPr>
      </w:pPr>
      <w:r w:rsidRPr="00326B3B">
        <w:rPr>
          <w:rFonts w:cs="Times New Roman"/>
          <w:bCs/>
          <w:sz w:val="28"/>
          <w:szCs w:val="28"/>
        </w:rPr>
        <w:t>16. Lazzarato, M. The Making of the Indebted Man[M]. Semiotext(e). 2012.</w:t>
      </w:r>
    </w:p>
    <w:p w14:paraId="43880FA0" w14:textId="77777777" w:rsidR="004F244C" w:rsidRPr="00326B3B" w:rsidRDefault="00000000" w:rsidP="00326B3B">
      <w:pPr>
        <w:spacing w:after="0"/>
        <w:rPr>
          <w:rFonts w:cs="Times New Roman"/>
          <w:bCs/>
          <w:sz w:val="28"/>
          <w:szCs w:val="28"/>
        </w:rPr>
      </w:pPr>
      <w:r w:rsidRPr="00326B3B">
        <w:rPr>
          <w:rFonts w:cs="Times New Roman"/>
          <w:bCs/>
          <w:sz w:val="28"/>
          <w:szCs w:val="28"/>
        </w:rPr>
        <w:lastRenderedPageBreak/>
        <w:t>17. Mazlish, J. Z. High-Frequency Fiscal Shocks: LLM-Based Identification and Macroeconomic Impacts[R]. 2026.</w:t>
      </w:r>
    </w:p>
    <w:p w14:paraId="55CC4264" w14:textId="77777777" w:rsidR="004F244C" w:rsidRPr="00326B3B" w:rsidRDefault="00000000" w:rsidP="00326B3B">
      <w:pPr>
        <w:spacing w:after="0"/>
        <w:rPr>
          <w:rFonts w:cs="Times New Roman"/>
          <w:bCs/>
          <w:sz w:val="28"/>
          <w:szCs w:val="28"/>
        </w:rPr>
      </w:pPr>
      <w:r w:rsidRPr="00326B3B">
        <w:rPr>
          <w:rFonts w:cs="Times New Roman"/>
          <w:bCs/>
          <w:sz w:val="28"/>
          <w:szCs w:val="28"/>
        </w:rPr>
        <w:t>18. McKinney, W. Data Structures for Statistical Computing in Python[C]. Proceedings of the 9th Python in Science Conference, 2010.</w:t>
      </w:r>
    </w:p>
    <w:p w14:paraId="181BEB4B" w14:textId="77777777" w:rsidR="004F244C" w:rsidRPr="00326B3B" w:rsidRDefault="00000000" w:rsidP="00326B3B">
      <w:pPr>
        <w:spacing w:after="0"/>
        <w:rPr>
          <w:rFonts w:cs="Times New Roman"/>
          <w:bCs/>
          <w:sz w:val="28"/>
          <w:szCs w:val="28"/>
        </w:rPr>
      </w:pPr>
      <w:r w:rsidRPr="00326B3B">
        <w:rPr>
          <w:rFonts w:cs="Times New Roman"/>
          <w:bCs/>
          <w:sz w:val="28"/>
          <w:szCs w:val="28"/>
        </w:rPr>
        <w:t>19. McKinsey Global Institute. Debt and (not much) deleveraging[R]. McKinsey &amp; Company, 2015.</w:t>
      </w:r>
    </w:p>
    <w:p w14:paraId="021E647B" w14:textId="77777777" w:rsidR="004F244C" w:rsidRPr="00326B3B" w:rsidRDefault="00000000" w:rsidP="00326B3B">
      <w:pPr>
        <w:spacing w:after="0"/>
        <w:rPr>
          <w:rFonts w:cs="Times New Roman"/>
          <w:bCs/>
          <w:sz w:val="28"/>
          <w:szCs w:val="28"/>
        </w:rPr>
      </w:pPr>
      <w:r w:rsidRPr="00326B3B">
        <w:rPr>
          <w:rFonts w:cs="Times New Roman"/>
          <w:bCs/>
          <w:sz w:val="28"/>
          <w:szCs w:val="28"/>
        </w:rPr>
        <w:t xml:space="preserve">20. Mississippi Government (MS.GOV). Debt Surpasses Defense: National security threats of federal </w:t>
      </w:r>
      <w:proofErr w:type="gramStart"/>
      <w:r w:rsidRPr="00326B3B">
        <w:rPr>
          <w:rFonts w:cs="Times New Roman"/>
          <w:bCs/>
          <w:sz w:val="28"/>
          <w:szCs w:val="28"/>
        </w:rPr>
        <w:t>spending[</w:t>
      </w:r>
      <w:proofErr w:type="gramEnd"/>
      <w:r w:rsidRPr="00326B3B">
        <w:rPr>
          <w:rFonts w:cs="Times New Roman"/>
          <w:bCs/>
          <w:sz w:val="28"/>
          <w:szCs w:val="28"/>
        </w:rPr>
        <w:t>EB/OL]. State Treasury of Mississippi. [2025-05-05].</w:t>
      </w:r>
    </w:p>
    <w:p w14:paraId="63017A0E" w14:textId="77777777" w:rsidR="004F244C" w:rsidRPr="00326B3B" w:rsidRDefault="00000000" w:rsidP="00326B3B">
      <w:pPr>
        <w:spacing w:after="0"/>
        <w:rPr>
          <w:rFonts w:cs="Times New Roman"/>
          <w:bCs/>
          <w:sz w:val="28"/>
          <w:szCs w:val="28"/>
        </w:rPr>
      </w:pPr>
      <w:r w:rsidRPr="00326B3B">
        <w:rPr>
          <w:rFonts w:cs="Times New Roman"/>
          <w:bCs/>
          <w:sz w:val="28"/>
          <w:szCs w:val="28"/>
        </w:rPr>
        <w:t>21. Ostry, J. D., Ghosh, A. R., Kim, J. I., &amp; Espinoza, M. S. Fiscal Space[R]. IMF Staff Position Note, 2010.</w:t>
      </w:r>
    </w:p>
    <w:p w14:paraId="4AB44DD8" w14:textId="77777777" w:rsidR="004F244C" w:rsidRPr="00326B3B" w:rsidRDefault="00000000" w:rsidP="00326B3B">
      <w:pPr>
        <w:spacing w:after="0"/>
        <w:rPr>
          <w:rFonts w:cs="Times New Roman"/>
          <w:bCs/>
          <w:sz w:val="28"/>
          <w:szCs w:val="28"/>
        </w:rPr>
      </w:pPr>
      <w:r w:rsidRPr="00326B3B">
        <w:rPr>
          <w:rFonts w:cs="Times New Roman"/>
          <w:bCs/>
          <w:sz w:val="28"/>
          <w:szCs w:val="28"/>
        </w:rPr>
        <w:t xml:space="preserve">22. Peterson Foundation. Interest Costs on the National Debt Are Reaching All-Time </w:t>
      </w:r>
      <w:proofErr w:type="gramStart"/>
      <w:r w:rsidRPr="00326B3B">
        <w:rPr>
          <w:rFonts w:cs="Times New Roman"/>
          <w:bCs/>
          <w:sz w:val="28"/>
          <w:szCs w:val="28"/>
        </w:rPr>
        <w:t>Highs[</w:t>
      </w:r>
      <w:proofErr w:type="gramEnd"/>
      <w:r w:rsidRPr="00326B3B">
        <w:rPr>
          <w:rFonts w:cs="Times New Roman"/>
          <w:bCs/>
          <w:sz w:val="28"/>
          <w:szCs w:val="28"/>
        </w:rPr>
        <w:t>EB/OL]. pgpf.org. [2026-05-05].</w:t>
      </w:r>
    </w:p>
    <w:p w14:paraId="021B3163" w14:textId="77777777" w:rsidR="004F244C" w:rsidRPr="00326B3B" w:rsidRDefault="00000000" w:rsidP="00326B3B">
      <w:pPr>
        <w:spacing w:after="0"/>
        <w:rPr>
          <w:rFonts w:cs="Times New Roman"/>
          <w:bCs/>
          <w:sz w:val="28"/>
          <w:szCs w:val="28"/>
        </w:rPr>
      </w:pPr>
      <w:r w:rsidRPr="00326B3B">
        <w:rPr>
          <w:rFonts w:cs="Times New Roman"/>
          <w:bCs/>
          <w:sz w:val="28"/>
          <w:szCs w:val="28"/>
        </w:rPr>
        <w:t>23. Piketty, T. Capital in the Twenty-First Century[M]. Harvard University Press, Cambridge. 2014.</w:t>
      </w:r>
    </w:p>
    <w:p w14:paraId="6842553D" w14:textId="77777777" w:rsidR="004F244C" w:rsidRPr="00326B3B" w:rsidRDefault="00000000" w:rsidP="00326B3B">
      <w:pPr>
        <w:spacing w:after="0"/>
        <w:rPr>
          <w:rFonts w:cs="Times New Roman"/>
          <w:bCs/>
          <w:sz w:val="28"/>
          <w:szCs w:val="28"/>
        </w:rPr>
      </w:pPr>
      <w:r w:rsidRPr="00326B3B">
        <w:rPr>
          <w:rFonts w:cs="Times New Roman"/>
          <w:bCs/>
          <w:sz w:val="28"/>
          <w:szCs w:val="28"/>
        </w:rPr>
        <w:t>24. Reinhart, C. M., &amp; Rogoff, K. S. Growth in a Time of Debt[J]. American Economic Review, 100(2), 2010, 573-78.</w:t>
      </w:r>
    </w:p>
    <w:p w14:paraId="53CD00CB" w14:textId="77777777" w:rsidR="004F244C" w:rsidRPr="00326B3B" w:rsidRDefault="00000000" w:rsidP="00326B3B">
      <w:pPr>
        <w:spacing w:after="0"/>
        <w:rPr>
          <w:rFonts w:cs="Times New Roman"/>
          <w:bCs/>
          <w:sz w:val="28"/>
          <w:szCs w:val="28"/>
        </w:rPr>
      </w:pPr>
      <w:r w:rsidRPr="00326B3B">
        <w:rPr>
          <w:rFonts w:cs="Times New Roman"/>
          <w:bCs/>
          <w:sz w:val="28"/>
          <w:szCs w:val="28"/>
        </w:rPr>
        <w:t>25. Saez, E., &amp; Zucman, G. Wealth Inequality in the United States since 1913: Evidence from Capitalized Income Tax Data[J]. The Quarterly Journal of Economics, 131(2), 2016, 519-578.</w:t>
      </w:r>
    </w:p>
    <w:p w14:paraId="7AA45158" w14:textId="77777777" w:rsidR="004F244C" w:rsidRPr="00326B3B" w:rsidRDefault="00000000" w:rsidP="00326B3B">
      <w:pPr>
        <w:spacing w:after="0"/>
        <w:rPr>
          <w:rFonts w:cs="Times New Roman"/>
          <w:bCs/>
          <w:sz w:val="28"/>
          <w:szCs w:val="28"/>
        </w:rPr>
      </w:pPr>
      <w:r w:rsidRPr="00326B3B">
        <w:rPr>
          <w:rFonts w:cs="Times New Roman"/>
          <w:bCs/>
          <w:sz w:val="28"/>
          <w:szCs w:val="28"/>
        </w:rPr>
        <w:t xml:space="preserve">26. Sheppard, K. Linearmodels: Linear Panel LM, Instrumental Variable, and GMM models in </w:t>
      </w:r>
      <w:proofErr w:type="gramStart"/>
      <w:r w:rsidRPr="00326B3B">
        <w:rPr>
          <w:rFonts w:cs="Times New Roman"/>
          <w:bCs/>
          <w:sz w:val="28"/>
          <w:szCs w:val="28"/>
        </w:rPr>
        <w:t>Python[</w:t>
      </w:r>
      <w:proofErr w:type="gramEnd"/>
      <w:r w:rsidRPr="00326B3B">
        <w:rPr>
          <w:rFonts w:cs="Times New Roman"/>
          <w:bCs/>
          <w:sz w:val="28"/>
          <w:szCs w:val="28"/>
        </w:rPr>
        <w:t>EB/OL]. [2021-05-05].</w:t>
      </w:r>
    </w:p>
    <w:p w14:paraId="0CD1A8DD" w14:textId="77777777" w:rsidR="004F244C" w:rsidRPr="00326B3B" w:rsidRDefault="00000000" w:rsidP="00326B3B">
      <w:pPr>
        <w:spacing w:after="0"/>
        <w:rPr>
          <w:rFonts w:cs="Times New Roman"/>
          <w:bCs/>
          <w:sz w:val="28"/>
          <w:szCs w:val="28"/>
        </w:rPr>
      </w:pPr>
      <w:r w:rsidRPr="00326B3B">
        <w:rPr>
          <w:rFonts w:cs="Times New Roman"/>
          <w:bCs/>
          <w:sz w:val="28"/>
          <w:szCs w:val="28"/>
        </w:rPr>
        <w:t>27. The Guardian. Global debt has grown by $57 trillion in seven years following the financial crisis[N]. Ami Sedghi, Datablog, 2015.</w:t>
      </w:r>
    </w:p>
    <w:p w14:paraId="6247DE8E" w14:textId="77777777" w:rsidR="004F244C" w:rsidRPr="00326B3B" w:rsidRDefault="00000000" w:rsidP="00326B3B">
      <w:pPr>
        <w:spacing w:after="0"/>
        <w:rPr>
          <w:rFonts w:cs="Times New Roman"/>
          <w:bCs/>
          <w:sz w:val="28"/>
          <w:szCs w:val="28"/>
        </w:rPr>
      </w:pPr>
      <w:r w:rsidRPr="00326B3B">
        <w:rPr>
          <w:rFonts w:cs="Times New Roman"/>
          <w:bCs/>
          <w:sz w:val="28"/>
          <w:szCs w:val="28"/>
        </w:rPr>
        <w:t xml:space="preserve">28. Trading Economics. United States US Treasuries Held by </w:t>
      </w:r>
      <w:proofErr w:type="gramStart"/>
      <w:r w:rsidRPr="00326B3B">
        <w:rPr>
          <w:rFonts w:cs="Times New Roman"/>
          <w:bCs/>
          <w:sz w:val="28"/>
          <w:szCs w:val="28"/>
        </w:rPr>
        <w:t>China[</w:t>
      </w:r>
      <w:proofErr w:type="gramEnd"/>
      <w:r w:rsidRPr="00326B3B">
        <w:rPr>
          <w:rFonts w:cs="Times New Roman"/>
          <w:bCs/>
          <w:sz w:val="28"/>
          <w:szCs w:val="28"/>
        </w:rPr>
        <w:t>EB/OL]. [2026-05-05].</w:t>
      </w:r>
    </w:p>
    <w:p w14:paraId="7A31D73B" w14:textId="77777777" w:rsidR="004F244C" w:rsidRPr="00326B3B" w:rsidRDefault="00000000" w:rsidP="00326B3B">
      <w:pPr>
        <w:spacing w:after="0"/>
        <w:rPr>
          <w:rFonts w:cs="Times New Roman"/>
          <w:bCs/>
          <w:sz w:val="28"/>
          <w:szCs w:val="28"/>
        </w:rPr>
      </w:pPr>
      <w:r w:rsidRPr="00326B3B">
        <w:rPr>
          <w:rFonts w:cs="Times New Roman"/>
          <w:bCs/>
          <w:sz w:val="28"/>
          <w:szCs w:val="28"/>
        </w:rPr>
        <w:t>29. Wooldridge, J. M. Econometric Analysis of Cross Section and Panel Data[M]. MIT Press, Cambridge. 2010.</w:t>
      </w:r>
    </w:p>
    <w:p w14:paraId="651AF6FB" w14:textId="77777777" w:rsidR="004F244C" w:rsidRPr="00326B3B" w:rsidRDefault="00000000" w:rsidP="00326B3B">
      <w:pPr>
        <w:spacing w:after="0"/>
        <w:rPr>
          <w:rFonts w:cs="Times New Roman"/>
          <w:bCs/>
          <w:sz w:val="28"/>
          <w:szCs w:val="28"/>
        </w:rPr>
      </w:pPr>
      <w:r w:rsidRPr="00326B3B">
        <w:rPr>
          <w:rFonts w:cs="Times New Roman"/>
          <w:bCs/>
          <w:sz w:val="28"/>
          <w:szCs w:val="28"/>
        </w:rPr>
        <w:t>30. World Economic Forum. The Global Risks Report 2025[R]. 2025.</w:t>
      </w:r>
    </w:p>
    <w:p w14:paraId="5681E176" w14:textId="77777777" w:rsidR="004F244C" w:rsidRPr="00326B3B" w:rsidRDefault="00000000" w:rsidP="00326B3B">
      <w:pPr>
        <w:spacing w:after="0"/>
        <w:rPr>
          <w:rFonts w:cs="Times New Roman"/>
          <w:bCs/>
          <w:sz w:val="28"/>
          <w:szCs w:val="28"/>
        </w:rPr>
      </w:pPr>
      <w:r w:rsidRPr="00326B3B">
        <w:rPr>
          <w:rFonts w:cs="Times New Roman"/>
          <w:bCs/>
          <w:sz w:val="28"/>
          <w:szCs w:val="28"/>
        </w:rPr>
        <w:t>31. Zorenko, R. AI and the Transformation of Labor[J]. 2026.</w:t>
      </w:r>
    </w:p>
    <w:p w14:paraId="4FB34362" w14:textId="77777777" w:rsidR="004F244C" w:rsidRPr="00326B3B" w:rsidRDefault="00000000" w:rsidP="00326B3B">
      <w:pPr>
        <w:spacing w:after="0"/>
        <w:jc w:val="both"/>
        <w:rPr>
          <w:rFonts w:cs="Times New Roman"/>
        </w:rPr>
      </w:pPr>
      <w:r w:rsidRPr="00326B3B">
        <w:rPr>
          <w:rFonts w:cs="Times New Roman"/>
        </w:rPr>
        <w:br w:type="page"/>
      </w:r>
    </w:p>
    <w:p w14:paraId="2B2CE670" w14:textId="77777777" w:rsidR="004F244C" w:rsidRPr="00326B3B" w:rsidRDefault="00000000" w:rsidP="00326B3B">
      <w:pPr>
        <w:spacing w:after="0"/>
        <w:jc w:val="both"/>
        <w:rPr>
          <w:rFonts w:cs="Times New Roman"/>
        </w:rPr>
      </w:pPr>
      <w:r w:rsidRPr="00326B3B">
        <w:rPr>
          <w:rFonts w:cs="Times New Roman"/>
        </w:rPr>
        <w:lastRenderedPageBreak/>
        <w:t>Acknowledgements</w:t>
      </w:r>
    </w:p>
    <w:p w14:paraId="74911660" w14:textId="77777777" w:rsidR="004F244C" w:rsidRPr="00326B3B" w:rsidRDefault="00000000" w:rsidP="00326B3B">
      <w:pPr>
        <w:spacing w:after="0"/>
        <w:jc w:val="both"/>
        <w:rPr>
          <w:rFonts w:cs="Times New Roman"/>
        </w:rPr>
      </w:pPr>
      <w:r w:rsidRPr="00326B3B">
        <w:rPr>
          <w:rFonts w:cs="Times New Roman"/>
        </w:rPr>
        <w:t>I would like to express my sincere gratitude to my advisor for their continuous support and guidance during the course of this research. Their expertise, patience, and encouragement have been invaluable. Additionally, I would like to extend my thanks to the faculty of the School of Economics for providing a rigorous academic environment.</w:t>
      </w:r>
    </w:p>
    <w:sectPr w:rsidR="004F244C" w:rsidRPr="00326B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0AC6" w14:textId="77777777" w:rsidR="00326B3B" w:rsidRDefault="00326B3B">
    <w:pPr>
      <w:pStyle w:val="Footer"/>
      <w:jc w:val="center"/>
    </w:pPr>
  </w:p>
  <w:p w14:paraId="275128D2" w14:textId="77777777" w:rsidR="00326B3B" w:rsidRDefault="00326B3B">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947074">
    <w:abstractNumId w:val="8"/>
  </w:num>
  <w:num w:numId="2" w16cid:durableId="1230916801">
    <w:abstractNumId w:val="6"/>
  </w:num>
  <w:num w:numId="3" w16cid:durableId="2146583116">
    <w:abstractNumId w:val="5"/>
  </w:num>
  <w:num w:numId="4" w16cid:durableId="1270813199">
    <w:abstractNumId w:val="4"/>
  </w:num>
  <w:num w:numId="5" w16cid:durableId="1997145265">
    <w:abstractNumId w:val="7"/>
  </w:num>
  <w:num w:numId="6" w16cid:durableId="1622222549">
    <w:abstractNumId w:val="3"/>
  </w:num>
  <w:num w:numId="7" w16cid:durableId="179053921">
    <w:abstractNumId w:val="2"/>
  </w:num>
  <w:num w:numId="8" w16cid:durableId="1204514313">
    <w:abstractNumId w:val="1"/>
  </w:num>
  <w:num w:numId="9" w16cid:durableId="140418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B3B"/>
    <w:rsid w:val="00326F90"/>
    <w:rsid w:val="003E7C13"/>
    <w:rsid w:val="004F244C"/>
    <w:rsid w:val="008A268F"/>
    <w:rsid w:val="00AA1D8D"/>
    <w:rsid w:val="00B47730"/>
    <w:rsid w:val="00CB0664"/>
    <w:rsid w:val="00EB16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6EBE6"/>
  <w14:defaultImageDpi w14:val="300"/>
  <w15:docId w15:val="{11C830B4-0A6C-FE4B-9C4E-03055189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0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qFormat/>
    <w:rsid w:val="008A268F"/>
    <w:pPr>
      <w:widowControl w:val="0"/>
      <w:spacing w:after="0" w:line="240" w:lineRule="auto"/>
      <w:jc w:val="both"/>
    </w:pPr>
    <w:rPr>
      <w:rFonts w:eastAsia="SimSun" w:cs="Times New Roman"/>
      <w:kern w:val="2"/>
      <w:sz w:val="21"/>
      <w:szCs w:val="24"/>
      <w:lang w:eastAsia="zh-CN"/>
    </w:rPr>
  </w:style>
  <w:style w:type="paragraph" w:customStyle="1" w:styleId="1">
    <w:name w:val="样式 标题 1 + 小二"/>
    <w:basedOn w:val="Heading1"/>
    <w:rsid w:val="00326B3B"/>
    <w:pPr>
      <w:keepNext w:val="0"/>
      <w:keepLines w:val="0"/>
      <w:widowControl w:val="0"/>
      <w:spacing w:before="0" w:line="240" w:lineRule="auto"/>
      <w:jc w:val="center"/>
    </w:pPr>
    <w:rPr>
      <w:rFonts w:ascii="Times New Roman" w:eastAsia="SimSun" w:hAnsi="Times New Roman" w:cs="Times New Roman"/>
      <w:color w:val="auto"/>
      <w:kern w:val="44"/>
      <w:sz w:val="52"/>
      <w:szCs w:val="5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11101</Words>
  <Characters>37192</Characters>
  <Application>Microsoft Office Word</Application>
  <DocSecurity>0</DocSecurity>
  <Lines>1328</Lines>
  <Paragraphs>731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 me</cp:lastModifiedBy>
  <cp:revision>2</cp:revision>
  <dcterms:created xsi:type="dcterms:W3CDTF">2026-05-06T02:17:00Z</dcterms:created>
  <dcterms:modified xsi:type="dcterms:W3CDTF">2026-05-06T02:17:00Z</dcterms:modified>
  <cp:category/>
</cp:coreProperties>
</file>