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</w:pPr>
      <w:r>
        <w:rPr>
          <w:rFonts w:ascii="Calibri" w:hAnsi="Calibri" w:eastAsia="Calibri"/>
          <w:b/>
          <w:i w:val="0"/>
          <w:color w:val="2E74B5"/>
          <w:sz w:val="20"/>
        </w:rPr>
        <w:t>ТЕХНИЧЕСКАЯ СПЕЦИФИКАЦИЯ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B2545"/>
          <w:sz w:val="50"/>
        </w:rPr>
        <w:t>Алгоритм расчёта формирования дейтронного хвоста</w:t>
      </w:r>
    </w:p>
    <w:p>
      <w:pPr>
        <w:spacing w:after="320"/>
      </w:pPr>
      <w:r>
        <w:rPr>
          <w:rFonts w:ascii="Calibri" w:hAnsi="Calibri" w:eastAsia="Calibri"/>
          <w:b w:val="0"/>
          <w:i w:val="0"/>
          <w:color w:val="5B6573"/>
          <w:sz w:val="26"/>
        </w:rPr>
        <w:t>Версия 2.0: замкнутый энергетический контур, ионный преобразователь и обратная связь от реакций синтеза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Параметр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Статус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Концептуальный проект спецификации; программная реализация ещё не создана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Авторский контур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Н. Н. Зобнин; развитие комплекса моделей редакции 10.08.2026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Дата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05.09.2026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Назначение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Формализация второго контура до начала программирования и регистрации новой редакции ПО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7365D"/>
              </w:rPr>
              <w:t xml:space="preserve">Ключевое решение. </w:t>
            </w:r>
            <w:r>
              <w:rPr>
                <w:rFonts w:ascii="Calibri" w:hAnsi="Calibri" w:eastAsia="Calibri"/>
                <w:b w:val="0"/>
                <w:i w:val="0"/>
              </w:rPr>
              <w:t>Версия 2.0 не заменяет и не переписывает исходную редакцию. Она создаётся как отдельная ветвь, в которой рассчитываются зарядка нелинейной моды, переключение энергии в ионный канал, формирование неравновесного хвоста, ядерный выход и возможная обратная энергетическая связь. Все неизвестные и квантово-космологические члены отключены по умолчанию.</w:t>
            </w:r>
          </w:p>
        </w:tc>
      </w:tr>
    </w:tbl>
    <w:p>
      <w:pPr>
        <w:spacing w:after="0"/>
      </w:pPr>
    </w:p>
    <w:p>
      <w:pPr>
        <w:pStyle w:val="Heading1"/>
      </w:pPr>
      <w:r>
        <w:t>1. Восстановленный контекст второго контура</w:t>
      </w:r>
    </w:p>
    <w:p>
      <w:r>
        <w:rPr>
          <w:rFonts w:ascii="Calibri" w:hAnsi="Calibri" w:eastAsia="Calibri"/>
          <w:b/>
          <w:i w:val="0"/>
        </w:rPr>
        <w:t xml:space="preserve">Первый контур </w:t>
      </w:r>
      <w:r>
        <w:rPr>
          <w:rFonts w:ascii="Calibri" w:hAnsi="Calibri" w:eastAsia="Calibri"/>
          <w:b w:val="0"/>
          <w:i w:val="0"/>
        </w:rPr>
        <w:t>проверял прямой открытый тракт: ВЧ-накачка → кавитон → кинетическая передача → дейтроны. Он подтвердил локализацию поля, но не подтвердил прямое получение дейтронов с энергией 1 кэВ.</w:t>
      </w:r>
    </w:p>
    <w:p>
      <w:r>
        <w:rPr>
          <w:rFonts w:ascii="Calibri" w:hAnsi="Calibri" w:eastAsia="Calibri"/>
          <w:b/>
          <w:i w:val="0"/>
        </w:rPr>
        <w:t xml:space="preserve">Второй контур </w:t>
      </w:r>
      <w:r>
        <w:rPr>
          <w:rFonts w:ascii="Calibri" w:hAnsi="Calibri" w:eastAsia="Calibri"/>
          <w:b w:val="0"/>
          <w:i w:val="0"/>
        </w:rPr>
        <w:t>возник из идеи, что слабый запуск может играть роль искры: не снабжать ионы всей энергией, а включать нелинейный процесс, который затем поддерживается частью энергии продуктов синтеза. Поэтому объектом расчёта становится замкнутая динамическая система, а не одиночный коллапс.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измеримый источник → нелинейная мода → кавитон → ионный преобразователь → f_D(E) → реакции D–D → перенос энергии продуктов → новая накачка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CEC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9B1C1C"/>
              </w:rPr>
              <w:t xml:space="preserve">Физическое ограничение. </w:t>
            </w:r>
            <w:r>
              <w:rPr>
                <w:rFonts w:ascii="Calibri" w:hAnsi="Calibri" w:eastAsia="Calibri"/>
                <w:b w:val="0"/>
                <w:i w:val="0"/>
              </w:rPr>
              <w:t>Аналогия с искрой допустима только при наличии рассчитанного положительного коэффициента обратной связи. Энергия продуктов синтеза должна физически поглощаться плазмой, возбуждать нужную моду и создавать новое поколение ускоренных дейтронов. Сам факт реакции синтеза цепного механизма не создаёт.</w:t>
            </w:r>
          </w:p>
        </w:tc>
      </w:tr>
    </w:tbl>
    <w:p>
      <w:pPr>
        <w:spacing w:after="0"/>
      </w:pPr>
    </w:p>
    <w:p>
      <w:pPr>
        <w:pStyle w:val="Heading1"/>
      </w:pPr>
      <w:r>
        <w:t>2. Отличия алгоритма 2.0 от исходного комплекса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400"/>
        <w:gridCol w:w="4210"/>
      </w:tblGrid>
      <w:tr>
        <w:trPr>
          <w:tblHeader w:val="true"/>
          <w:cantSplit/>
        </w:trPr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Признак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Редакция 1</w:t>
            </w:r>
          </w:p>
        </w:tc>
        <w:tc>
          <w:tcPr>
            <w:tcW w:type="dxa" w:w="42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Версия 2.0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Топология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Преимущественно прямой последовательный расчёт</w:t>
            </w:r>
          </w:p>
        </w:tc>
        <w:tc>
          <w:tcPr>
            <w:tcW w:type="dxa" w:w="4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Замкнутый энергетический и управляющий контур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Основная цель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Получить и проверить кавитон и дейтронный хвост</w:t>
            </w:r>
          </w:p>
        </w:tc>
        <w:tc>
          <w:tcPr>
            <w:tcW w:type="dxa" w:w="4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Рассчитать условия появления, устойчивости и самоподдержания хвоста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Поле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На отдельных уровнях предписанное</w:t>
            </w:r>
          </w:p>
        </w:tc>
        <w:tc>
          <w:tcPr>
            <w:tcW w:type="dxa" w:w="4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В доказательном режиме — самосогласованное; в скрининге — редуцированное с явной маркировкой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Синтез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Постобработка спектра</w:t>
            </w:r>
          </w:p>
        </w:tc>
        <w:tc>
          <w:tcPr>
            <w:tcW w:type="dxa" w:w="4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Динамический источник продуктов и обратной связи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Оптимизация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Поле, энергия отдельных частиц</w:t>
            </w:r>
          </w:p>
        </w:tc>
        <w:tc>
          <w:tcPr>
            <w:tcW w:type="dxa" w:w="4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Доля хвоста, время жизни, КПД передачи, петлевой коэффициент и энергобаланс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Управление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Заданный сценарий</w:t>
            </w:r>
          </w:p>
        </w:tc>
        <w:tc>
          <w:tcPr>
            <w:tcW w:type="dxa" w:w="4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Замкнутая диагностика → цифровой двойник → управляющее воздействие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Спекулятивные члены</w:t>
            </w:r>
          </w:p>
        </w:tc>
        <w:tc>
          <w:tcPr>
            <w:tcW w:type="dxa" w:w="3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Не являются частью ядра</w:t>
            </w:r>
          </w:p>
        </w:tc>
        <w:tc>
          <w:tcPr>
            <w:tcW w:type="dxa" w:w="4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Изолированная песочница, выключенная по умолчанию</w:t>
            </w:r>
          </w:p>
        </w:tc>
      </w:tr>
    </w:tbl>
    <w:p>
      <w:pPr>
        <w:spacing w:after="0"/>
      </w:pPr>
    </w:p>
    <w:p>
      <w:pPr>
        <w:pStyle w:val="Heading1"/>
      </w:pPr>
      <w:r>
        <w:t>3. Назначение и проверяемые гипотезы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H₀: после уменьшения или отключения внешней накачки дейтронный хвост затухает; обратная связь от D–D недостаточна для поддержания режима.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H₁: существует область классических параметров, в которой заряженные продукты и индуцированные ими волны компенсируют часть потерь и увеличивают время жизни хвоста.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H₂: существует порог, выше которого петлевой энергетический коэффициент достигает единицы и появляется устойчивое или пульсирующее самоподдержание.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H₃: при одинаковых энергии, спектре и классической форме сигнала его корреляционная организация изменяет вероятность плазменного перехода. Это отдельная высокорисковая гипотеза.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H₄: после полного учёта известных входов и потерь остаётся воспроизводимый энергетический остаток. До такого наблюдения принимается H₄ = ложь и P_unknown = 0.</w:t>
      </w:r>
    </w:p>
    <w:p>
      <w:pPr>
        <w:pStyle w:val="Heading1"/>
      </w:pPr>
      <w:r>
        <w:t>4. Область применимости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Входит в основное ядро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Не входит в основное ядро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Классическая электродинамика и плазменные волны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Передача энергии одной только запутанностью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Кинетика электронов и дейтронов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Недоступные секторы мультиверса как источник мощности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Столкновения, зарядовый обмен и граничные потери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Сознание как физический управляющий параметр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D–D реакции, транспорт и торможение продуктов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Отрицательное затухание без измеренного энергетического остатка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Классические коррелированные управляющие сигналы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Утверждение о самоподдержании без отключения внешнего источника</w:t>
            </w:r>
          </w:p>
        </w:tc>
      </w:tr>
    </w:tbl>
    <w:p>
      <w:pPr>
        <w:spacing w:after="0"/>
      </w:pPr>
    </w:p>
    <w:p>
      <w:pPr>
        <w:pStyle w:val="Heading1"/>
      </w:pPr>
      <w:r>
        <w:t>5. Функциональная архитектура</w:t>
      </w:r>
    </w:p>
    <w:p>
      <w:r>
        <w:drawing>
          <wp:inline xmlns:a="http://schemas.openxmlformats.org/drawingml/2006/main" xmlns:pic="http://schemas.openxmlformats.org/drawingml/2006/picture">
            <wp:extent cx="5943600" cy="3819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тоговая_архитектура_дейтронного_хвоста(2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rPr>
          <w:rFonts w:ascii="Calibri" w:hAnsi="Calibri" w:eastAsia="Calibri"/>
          <w:b w:val="0"/>
          <w:i/>
          <w:color w:val="5B6573"/>
          <w:sz w:val="18"/>
        </w:rPr>
        <w:t>Рисунок 1 — Исходная архитектура второго контура. В алгоритме 2.0 выражение «внешний энергетический резервуар» означает только измеримый ВЧ/DC-источник. Гипотетический неизвестный источник относится исключительно к песочнице.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Блок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Функция в расчёте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1. Измеримый источник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Временные ряды мощности, частоты, фазы, тока антенны и DC-смещений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2. Нелинейная мода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Дисперсия, рост, затухание, фазовое состояние и плазменная нагрузка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3. Кавитон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Накопление, локализация, порог и момент переключения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4. Ионный преобразователь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Двойной слой, нижнегибридная мода, ударный фронт, магнитное сопло или их комбинация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5. Дейтронный хвост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Энергетическое и угловое распределение, доля хвоста и время жизни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6. Зона синтеза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Скорость реакций по фактическому неравновесному распределению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7. Диагностика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Спектр, поля, потоки, продукты реакции и замкнутый баланс энергии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8. Контроллер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Прогноз состояния, выбор импульса и безопасное прекращение режима</w:t>
            </w:r>
          </w:p>
        </w:tc>
      </w:tr>
    </w:tbl>
    <w:p>
      <w:pPr>
        <w:spacing w:after="0"/>
      </w:pPr>
    </w:p>
    <w:p>
      <w:pPr>
        <w:pStyle w:val="Heading1"/>
      </w:pPr>
      <w:r>
        <w:t>6. Минимальный вектор состояния и управления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x(t) = {n_e, T_e, T_i, n_n, B, A, φ_A, L_cav, δn/n₀, f_e, f_D, W_E, W_B, W_e, W_D, W_prod, W_wall}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u(t) = {P_RF, ω_RF, φ_RF, J_ant, B(z,t), p(t), ṁ(t), t_switch, U_DC, geometry}</w:t>
      </w:r>
    </w:p>
    <w:p>
      <w:r>
        <w:t>Минимальное состояние обязательно сохраняет фазу. Передача только |E| между уровнями недостаточна, потому что второй контур оптимизирует момент переключения и фазовое согласование.</w:t>
      </w:r>
    </w:p>
    <w:p>
      <w:pPr>
        <w:pStyle w:val="Heading1"/>
      </w:pPr>
      <w:r>
        <w:t>7. Математическое ядро</w:t>
      </w:r>
    </w:p>
    <w:p>
      <w:pPr>
        <w:pStyle w:val="Heading2"/>
      </w:pPr>
      <w:r>
        <w:t>7.1. Зарядка и переключение нелинейной моды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dA/dt = [Γ_pump(u,x) + Γ_fb(x) − γ_coll − γ_wall − γ_ion − β|A|²]A</w:t>
      </w:r>
    </w:p>
    <w:p>
      <w:r>
        <w:t>Режим разделяется на фазу зарядки, в которой растёт энергия электронной или смешанной моды, и фазу разрядки, в которой управляющее воздействие увеличивает связь с ионной компонентой.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W_RF → W_e + W_A;     W_A → W_DL / W_LH / W_shock → W_D</w:t>
      </w:r>
    </w:p>
    <w:p>
      <w:pPr>
        <w:pStyle w:val="Heading2"/>
      </w:pPr>
      <w:r>
        <w:t>7.2. Кинетика дейтронов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∂f_D/∂t = −∂[(G_res + G_DL + G_shock + G_fb − L_coll)f_D]/∂E + ∂²(D_E f_D)/∂E² + S_D − L_D</w:t>
      </w:r>
    </w:p>
    <w:p>
      <w:r>
        <w:t>Алгоритм рассчитывает всё распределение f_D(E, μ, z, t), а не только температуру или максимальную энергию. Для редкого хвоста используются взвешенные частицы, расщепление и независимая невзвешенная контрольная серия.</w:t>
      </w:r>
    </w:p>
    <w:p>
      <w:pPr>
        <w:pStyle w:val="Heading2"/>
      </w:pPr>
      <w:r>
        <w:t>7.3. Ядерный выход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R_DD(t) = ½ ∫∫ f_D(v₁,t) f_D(v₂,t) σ_DD(v_rel) v_rel d³v₁ d³v₂ dV</w:t>
      </w:r>
    </w:p>
    <w:p>
      <w:r>
        <w:t>Две ветви D–D учитываются раздельно: T + p и ³He + n. Для каждого продукта рассчитываются геометрия выхода, торможение, передача энергии электронам и ионам, возбуждение волн и нагрузка на стенки.</w:t>
      </w:r>
    </w:p>
    <w:p>
      <w:pPr>
        <w:pStyle w:val="Heading2"/>
      </w:pPr>
      <w:r>
        <w:t>7.4. Физическая обратная связь от продуктов синтеза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P_fb,mode = Σ_b P_b · η_geom,b · η_stop,b · η_mode,b · η_phase,b</w:t>
      </w:r>
    </w:p>
    <w:p>
      <w:r>
        <w:t>Коэффициенты не задаются как свободная «эффективность синтеза». Они вычисляются или ограничиваются сверху моделями траекторий, торможения и волнового возбуждения. Нейтронная ветвь, как правило, в основном покидает малую плазму и учитывается преимущественно как выход и нагрузка, а не как полезная локальная обратная связь.</w:t>
      </w:r>
    </w:p>
    <w:p>
      <w:pPr>
        <w:pStyle w:val="Heading2"/>
      </w:pPr>
      <w:r>
        <w:t>7.5. Энергетический регистр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dW_sys/dt = P_RF + P_DC + P_aux + P_fb − P_boundary − P_wall − P_rad − P_n − P_other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ε_W = |ΔW_num| / max(W_in, W_scale)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для ноутбучного скрининга: ε_W &lt; 3 %;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для доказательного расчёта: ε_W &lt; 1 %;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P_unknown = 0 в основном ядре.</w:t>
      </w:r>
    </w:p>
    <w:p>
      <w:pPr>
        <w:pStyle w:val="Heading2"/>
      </w:pPr>
      <w:r>
        <w:t>7.6. Критерий самоподдержания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K_loop = W_tail^(n+1) / W_tail^n  после уменьшения внешней накачки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Λ = ∂P_gain/∂W_tail − ∂P_loss/∂W_tail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Результат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Интерпретация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K_loop &lt; 1 и Λ &lt; 0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Хвост затухает; внешний источник остаётся обязательным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K_loop ≈ 1 и Λ ≤ 0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Квазистационарный режим возможен только при поддерживающей мощности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K_loop &gt; 1 и Λ &gt; 0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Положительная обратная связь; требуется проверка насыщения и устойчивости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Устойчивый цикл при P_RF → 0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Кандидат на самоподдержание, но только после независимой проверки полного баланса</w:t>
            </w:r>
          </w:p>
        </w:tc>
      </w:tr>
    </w:tbl>
    <w:p>
      <w:pPr>
        <w:spacing w:after="0"/>
      </w:pPr>
    </w:p>
    <w:p>
      <w:pPr>
        <w:pStyle w:val="Heading1"/>
      </w:pPr>
      <w:r>
        <w:t>8. Программная архитектура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60"/>
        <w:gridCol w:w="230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Модуль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Содержание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Первичная платформа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core_physics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Константы, состав плазмы, сечения, единицы, дисперсия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mode_dynamics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Рост, затухание, фаза, зарядка и переключение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ion_converter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DL/LH/ударная/магнитная ветви с единым интерфейсом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 → кластер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tail_kinetics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Fokker–Planck и/или MCC для f_D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fusion_kernel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D–D интеграл, ветви реакции и статистика событий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product_transport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Траектории и торможение p, T, ³He, n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 → кластер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feedback_stability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K_loop, Λ, стационарные точки и бифуркации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energy_ledger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Пошаговый баланс всех каналов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Все уровни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digital_twin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Оценка состояния и прогноз следующего импульса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hpc_validation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Самосогласованный EM-PIC/Vlasov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Кластер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hypothesis_sandbox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Корреляционные и искусственные неизвестные члены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Ноутбук; отключено</w:t>
            </w:r>
          </w:p>
        </w:tc>
      </w:tr>
    </w:tbl>
    <w:p>
      <w:pPr>
        <w:spacing w:after="0"/>
      </w:pPr>
    </w:p>
    <w:p>
      <w:pPr>
        <w:pStyle w:val="Heading1"/>
      </w:pPr>
      <w:r>
        <w:t>9. Последовательность вычисления</w:t>
      </w:r>
    </w:p>
    <w:p>
      <w:pPr>
        <w:pStyle w:val="ListNumber"/>
        <w:spacing w:after="10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Загрузить конфигурацию, версии сечений и геометрию; записать контрольные суммы входов.</w:t>
      </w:r>
    </w:p>
    <w:p>
      <w:pPr>
        <w:pStyle w:val="ListNumber"/>
        <w:spacing w:after="10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Рассчитать фоновое состояние и проверить существование плазмы в выбранном режиме.</w:t>
      </w:r>
    </w:p>
    <w:p>
      <w:pPr>
        <w:pStyle w:val="ListNumber"/>
        <w:spacing w:after="10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Получить дисперсию, затухание и допустимые нелинейные моды.</w:t>
      </w:r>
    </w:p>
    <w:p>
      <w:pPr>
        <w:pStyle w:val="ListNumber"/>
        <w:spacing w:after="10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Смоделировать зарядку кавитона и найти допустимые моменты переключения.</w:t>
      </w:r>
    </w:p>
    <w:p>
      <w:pPr>
        <w:pStyle w:val="ListNumber"/>
        <w:spacing w:after="10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Для каждого посредника рассчитать передачу энергии в f_D(E, μ, z, t).</w:t>
      </w:r>
    </w:p>
    <w:p>
      <w:pPr>
        <w:pStyle w:val="ListNumber"/>
        <w:spacing w:after="10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Вычислить D–D выход непосредственно по неравновесному распределению.</w:t>
      </w:r>
    </w:p>
    <w:p>
      <w:pPr>
        <w:pStyle w:val="ListNumber"/>
        <w:spacing w:after="10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Перенести продукты реакции и определить реально возвращаемую в полезную моду мощность.</w:t>
      </w:r>
    </w:p>
    <w:p>
      <w:pPr>
        <w:pStyle w:val="ListNumber"/>
        <w:spacing w:after="10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Продолжить расчёт на несколько циклов после уменьшения P_RF и получить K_loop и Λ.</w:t>
      </w:r>
    </w:p>
    <w:p>
      <w:pPr>
        <w:pStyle w:val="ListNumber"/>
        <w:spacing w:after="10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Повторить для независимых seed, сеток и контрольных режимов.</w:t>
      </w:r>
    </w:p>
    <w:p>
      <w:pPr>
        <w:pStyle w:val="ListNumber"/>
        <w:spacing w:after="10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Сформировать отчёт: спектры, энергобаланс, неопределённость, критерий продолжения или остановки ветви.</w:t>
      </w:r>
    </w:p>
    <w:p>
      <w:pPr>
        <w:pStyle w:val="Heading1"/>
      </w:pPr>
      <w:r>
        <w:t>10. Ноутбучный и кластерный уровни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650"/>
        <w:gridCol w:w="3410"/>
        <w:gridCol w:w="2000"/>
      </w:tblGrid>
      <w:tr>
        <w:trPr>
          <w:tblHeader w:val="true"/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Уровень</w:t>
            </w:r>
          </w:p>
        </w:tc>
        <w:tc>
          <w:tcPr>
            <w:tcW w:type="dxa" w:w="2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Модель</w:t>
            </w:r>
          </w:p>
        </w:tc>
        <w:tc>
          <w:tcPr>
            <w:tcW w:type="dxa" w:w="3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Назначение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Ресурс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V2-L0</w:t>
            </w:r>
          </w:p>
        </w:tc>
        <w:tc>
          <w:tcPr>
            <w:tcW w:type="dxa" w:w="2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0D ODE + аналитические верхние границы</w:t>
            </w:r>
          </w:p>
        </w:tc>
        <w:tc>
          <w:tcPr>
            <w:tcW w:type="dxa" w:w="3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Быстро исключить энергетически невозможные режимы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Секунды–минуты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V2-L1</w:t>
            </w:r>
          </w:p>
        </w:tc>
        <w:tc>
          <w:tcPr>
            <w:tcW w:type="dxa" w:w="2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1D по энергии Fokker–Planck/MCC</w:t>
            </w:r>
          </w:p>
        </w:tc>
        <w:tc>
          <w:tcPr>
            <w:tcW w:type="dxa" w:w="3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Хвост, D–D выход, транспорт продуктов, K_loop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Минуты–часы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V2-L2</w:t>
            </w:r>
          </w:p>
        </w:tc>
        <w:tc>
          <w:tcPr>
            <w:tcW w:type="dxa" w:w="2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1D пространство + редуцированные моды</w:t>
            </w:r>
          </w:p>
        </w:tc>
        <w:tc>
          <w:tcPr>
            <w:tcW w:type="dxa" w:w="3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Зарядка/переключение, геометрия обратной связи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Часы–сутки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V2-L3</w:t>
            </w:r>
          </w:p>
        </w:tc>
        <w:tc>
          <w:tcPr>
            <w:tcW w:type="dxa" w:w="2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1D3V semi-implicit EM-PIC</w:t>
            </w:r>
          </w:p>
        </w:tc>
        <w:tc>
          <w:tcPr>
            <w:tcW w:type="dxa" w:w="3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Самосогласованная первая ступень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Кластер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V2-L4</w:t>
            </w:r>
          </w:p>
        </w:tc>
        <w:tc>
          <w:tcPr>
            <w:tcW w:type="dxa" w:w="2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2D3V связанная система</w:t>
            </w:r>
          </w:p>
        </w:tc>
        <w:tc>
          <w:tcPr>
            <w:tcW w:type="dxa" w:w="3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Поперечные потери и окончательная верификация</w:t>
            </w:r>
          </w:p>
        </w:tc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HPC/суперкомпьютер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6B4A"/>
              </w:rPr>
              <w:t xml:space="preserve">Практическое следствие. </w:t>
            </w:r>
            <w:r>
              <w:rPr>
                <w:rFonts w:ascii="Calibri" w:hAnsi="Calibri" w:eastAsia="Calibri"/>
                <w:b w:val="0"/>
                <w:i w:val="0"/>
              </w:rPr>
              <w:t>В отличие от остановленного первого контура, разработку V2-L0 и V2-L1 можно начать на ноутбуке. Эти уровни не докажут существование самосогласованной волны, но количественно проверят саму идею «искры»: даже при предельно благоприятной передаче энергии хватает ли D–D выхода для K_loop ≥ 1.</w:t>
            </w:r>
          </w:p>
        </w:tc>
      </w:tr>
    </w:tbl>
    <w:p>
      <w:pPr>
        <w:spacing w:after="0"/>
      </w:pPr>
    </w:p>
    <w:p>
      <w:pPr>
        <w:pStyle w:val="Heading1"/>
      </w:pPr>
      <w:r>
        <w:t>11. Проверка корреляционных сигналов и гипотез</w:t>
      </w:r>
    </w:p>
    <w:p>
      <w:r>
        <w:t>Песочница допускает сравнение сигналов, одинаковых по средней мощности, амплитудному спектру, длительности и тепловой нагрузке, но различающихся временной и фазовой корреляционной структурой.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Режим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Обычный детерминированный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Базовая линия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Фазосогласованный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Проверка классической когерентности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Случайно перемешанные фазы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Контроль роли фазовой структуры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Классически коррелированный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Контроль информационной структуры при равной энергии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Запутанный / сепарабельный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Только будущий эксперимент с физически определённым интерфейсом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Искусственный Γ_X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Только анализ чувствительности; не считается физическим результатом</w:t>
            </w:r>
          </w:p>
        </w:tc>
      </w:tr>
    </w:tbl>
    <w:p>
      <w:pPr>
        <w:spacing w:after="0"/>
      </w:pP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dW_A/dt = P_RF − 2γW_A − P_i(W_A) + 2Γ_XW_A,     Γ_X = 0 по умолчанию</w:t>
      </w:r>
    </w:p>
    <w:p>
      <w:pPr>
        <w:pStyle w:val="Heading1"/>
      </w:pPr>
      <w:r>
        <w:t>12. Выходные показатели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α_tail(t) — доля дейтронов выше заданных порогов 0,2; 1; 10; 30; 100 кэВ;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E₅₀, E₉₀, E₉₉, E₉₉.₉ и доверительные интервалы, а не только E_max;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τ_tail — время жизни полезной части распределения;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η_A→D и η_fus→mode — эффективности прямой и обратной передачи;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R_DD и отдельные скорости двух ветвей реакции;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K_loop, Λ и положение стационарных точек;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полный временной энергетический регистр и ε_W;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чувствительность к сечениям, геометрии, seed и управляющим параметрам.</w:t>
      </w:r>
    </w:p>
    <w:p>
      <w:pPr>
        <w:pStyle w:val="Heading1"/>
      </w:pPr>
      <w:r>
        <w:t>13. Ворота и критерии прекращения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390"/>
        <w:gridCol w:w="3970"/>
      </w:tblGrid>
      <w:tr>
        <w:trPr>
          <w:tblHeader w:val="true"/>
          <w:cantSplit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Ворота</w:t>
            </w:r>
          </w:p>
        </w:tc>
        <w:tc>
          <w:tcPr>
            <w:tcW w:type="dxa" w:w="439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Критерий продолжения</w:t>
            </w:r>
          </w:p>
        </w:tc>
        <w:tc>
          <w:tcPr>
            <w:tcW w:type="dxa" w:w="397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Если не выполнен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43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Верхняя граница энергии обратной связи не исключает K_loop ≥ 1</w:t>
            </w:r>
          </w:p>
        </w:tc>
        <w:tc>
          <w:tcPr>
            <w:tcW w:type="dxa" w:w="39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Закрыть гипотезу самоподдержания, сохранить задачу управляемого хвоста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43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V2-L1 даёт воспроизводимый хвост и непренебрежимый D–D выход</w:t>
            </w:r>
          </w:p>
        </w:tc>
        <w:tc>
          <w:tcPr>
            <w:tcW w:type="dxa" w:w="39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Не переходить к пространственной модели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43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V2-L2 показывает физический канал возврата энергии</w:t>
            </w:r>
          </w:p>
        </w:tc>
        <w:tc>
          <w:tcPr>
            <w:tcW w:type="dxa" w:w="39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Не запрашивать HPC для замкнутого контура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43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EM-PIC подтверждает ионный посредник и баланс &lt; 1 %</w:t>
            </w:r>
          </w:p>
        </w:tc>
        <w:tc>
          <w:tcPr>
            <w:tcW w:type="dxa" w:w="39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Опубликовать отрицательный результат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</w:t>
            </w:r>
          </w:p>
        </w:tc>
        <w:tc>
          <w:tcPr>
            <w:tcW w:type="dxa" w:w="43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После снижения P_RF получено K_loop ≥ 1 с доверительным интервалом</w:t>
            </w:r>
          </w:p>
        </w:tc>
        <w:tc>
          <w:tcPr>
            <w:tcW w:type="dxa" w:w="39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Не использовать термин «самоподдерживающийся»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</w:t>
            </w:r>
          </w:p>
        </w:tc>
        <w:tc>
          <w:tcPr>
            <w:tcW w:type="dxa" w:w="43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Независимая диагностика связывает f_D с ядерным выходом</w:t>
            </w:r>
          </w:p>
        </w:tc>
        <w:tc>
          <w:tcPr>
            <w:tcW w:type="dxa" w:w="39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Не переходить к экспериментальному масштабированию</w:t>
            </w:r>
          </w:p>
        </w:tc>
      </w:tr>
    </w:tbl>
    <w:p>
      <w:pPr>
        <w:spacing w:after="0"/>
      </w:pPr>
    </w:p>
    <w:p>
      <w:pPr>
        <w:pStyle w:val="Heading1"/>
      </w:pPr>
      <w:r>
        <w:t>14. Верификация и тесты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нулевая накачка не создаёт энергию или хвост;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при σ_DD = 0 исчезают продукты и обратная связь;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при η_mode = 0 ядерный выход не влияет на следующий цикл;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результат сходится при уменьшении шага и увеличении числа частиц;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взвешенная и невзвешенная серии согласуются в пределах неопределённости;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сумма всех каналов энергии воспроизводит внешний ввод и изменение запасённой энергии;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искусственный Γ_X никогда не попадает в отчёт основного физического режима;</w:t>
      </w:r>
    </w:p>
    <w:p>
      <w:pPr>
        <w:pStyle w:val="ListBullet"/>
        <w:spacing w:after="80" w:line="281" w:lineRule="auto"/>
        <w:ind w:left="720" w:hanging="360"/>
      </w:pPr>
      <w:r>
        <w:rPr>
          <w:rFonts w:ascii="Calibri" w:hAnsi="Calibri" w:eastAsia="Calibri"/>
          <w:b w:val="0"/>
          <w:i w:val="0"/>
        </w:rPr>
        <w:t>каждый график содержит статус: screening, prescribed field, self-consistent или hypothesis sandbox.</w:t>
      </w:r>
    </w:p>
    <w:p>
      <w:pPr>
        <w:pStyle w:val="Heading1"/>
      </w:pPr>
      <w:r>
        <w:t>15. Предлагаемая структура файлов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algorithm_v2/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configs/                 # версии параметров и геометрии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core_physics/            # константы, сечения, дисперсия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mode_dynamics/           # зарядка и переключение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ion_converter/           # DL, LH, shock, nozzle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tail_kinetics/            # f_D и редкий хвост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fusion_kernel/           # D–D реакции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product_transport/       # перенос продуктов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feedback_stability/      # K_loop и бифуркации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energy_ledger/           # баланс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digital_twin/            # оценка состояния и управление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hypothesis_sandbox/      # выключено по умолчанию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validation/              # сравнение уровней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tests/                    # автоматические тесты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reports/                  # воспроизводимые отчёты</w:t>
            </w:r>
          </w:p>
        </w:tc>
      </w:tr>
    </w:tbl>
    <w:p>
      <w:pPr>
        <w:pStyle w:val="Heading1"/>
      </w:pPr>
      <w:r>
        <w:t>16. План первой программной реализации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300"/>
        <w:gridCol w:w="2310"/>
      </w:tblGrid>
      <w:tr>
        <w:trPr>
          <w:tblHeader w:val="true"/>
          <w:cantSplit/>
        </w:trPr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Этап</w:t>
            </w:r>
          </w:p>
        </w:tc>
        <w:tc>
          <w:tcPr>
            <w:tcW w:type="dxa" w:w="5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Результат</w:t>
            </w:r>
          </w:p>
        </w:tc>
        <w:tc>
          <w:tcPr>
            <w:tcW w:type="dxa" w:w="2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Вычислительная среда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2.0-alpha-1</w:t>
            </w:r>
          </w:p>
        </w:tc>
        <w:tc>
          <w:tcPr>
            <w:tcW w:type="dxa" w:w="5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Энергетический регистр, D–D kernel и аналитическая верхняя граница обратной связи</w:t>
            </w:r>
          </w:p>
        </w:tc>
        <w:tc>
          <w:tcPr>
            <w:tcW w:type="dxa" w:w="2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2.0-alpha-2</w:t>
            </w:r>
          </w:p>
        </w:tc>
        <w:tc>
          <w:tcPr>
            <w:tcW w:type="dxa" w:w="5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Редуцированная кинетика хвоста и транспорт заряженных продуктов</w:t>
            </w:r>
          </w:p>
        </w:tc>
        <w:tc>
          <w:tcPr>
            <w:tcW w:type="dxa" w:w="2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2.0-alpha-3</w:t>
            </w:r>
          </w:p>
        </w:tc>
        <w:tc>
          <w:tcPr>
            <w:tcW w:type="dxa" w:w="5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Многопериодная петля, K_loop, устойчивость и UQ</w:t>
            </w:r>
          </w:p>
        </w:tc>
        <w:tc>
          <w:tcPr>
            <w:tcW w:type="dxa" w:w="2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2.0-beta</w:t>
            </w:r>
          </w:p>
        </w:tc>
        <w:tc>
          <w:tcPr>
            <w:tcW w:type="dxa" w:w="5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Связь с существующими уровнями 1–4.8 и единый формат состояния</w:t>
            </w:r>
          </w:p>
        </w:tc>
        <w:tc>
          <w:tcPr>
            <w:tcW w:type="dxa" w:w="2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Ноутбук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2.0-rc</w:t>
            </w:r>
          </w:p>
        </w:tc>
        <w:tc>
          <w:tcPr>
            <w:tcW w:type="dxa" w:w="5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Адаптер к semi-implicit EM-PIC и кластерные контрольные серии</w:t>
            </w:r>
          </w:p>
        </w:tc>
        <w:tc>
          <w:tcPr>
            <w:tcW w:type="dxa" w:w="2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Кластер</w:t>
            </w:r>
          </w:p>
        </w:tc>
      </w:tr>
    </w:tbl>
    <w:p>
      <w:pPr>
        <w:spacing w:after="0"/>
      </w:pPr>
    </w:p>
    <w:p>
      <w:pPr>
        <w:pStyle w:val="Heading1"/>
      </w:pPr>
      <w:r>
        <w:t>17. Решение о начале работ</w:t>
      </w:r>
    </w:p>
    <w:p>
      <w:r>
        <w:t>Начинать следует с V2-L0, а не с переписывания PIC-комплекса. Первая вычислимая задача — получить строгую верхнюю границу петлевого коэффициента для D–D при заданных n_D, f_D(E), объёме, времени удержания и максимально благоприятной доле возврата энергии.</w:t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0B2545"/>
          <w:sz w:val="22"/>
        </w:rPr>
        <w:t>если даже K_loop,max ≪ 1, гипотеза «искры» закрывается без дорогостоящего PIC; если K_loop,max ≳ 1, уточняются транспорт и волновая связь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6B4A"/>
              </w:rPr>
              <w:t xml:space="preserve">Итог. </w:t>
            </w:r>
            <w:r>
              <w:rPr>
                <w:rFonts w:ascii="Calibri" w:hAnsi="Calibri" w:eastAsia="Calibri"/>
                <w:b w:val="0"/>
                <w:i w:val="0"/>
              </w:rPr>
              <w:t>Вторая версия алгоритма является самостоятельной формализацией гипотезы положительной обратной связи. Она позволяет продолжить работу на ноутбуке, не выдавая концептуальные предположения за установленную физику и не смешивая их с зафиксированной редакцией первого программного комплекса.</w:t>
            </w:r>
          </w:p>
        </w:tc>
      </w:tr>
    </w:tbl>
    <w:p>
      <w:pPr>
        <w:spacing w:after="0"/>
      </w:pPr>
    </w:p>
    <w:p>
      <w:pPr>
        <w:pStyle w:val="Heading1"/>
      </w:pPr>
      <w:r>
        <w:t>Приложение А. Минимальный паспорт расчёта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Группа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7365D"/>
                <w:sz w:val="19"/>
              </w:rPr>
              <w:t>Обязательные поля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Идентификация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run_id, версия кода, SHA-256 конфигурации, дата, seed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Плазма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состав, n_e, n_D, n_n, T_e, T_i, давление, геометрия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Управление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P_RF(t), ω(t), φ(t), J_ant(t), B(z,t), t_switch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Численный метод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решатель, сетка, шаг, частицы, допуски, граничные условия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Данные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наборы сечений, версии, диапазон, интерполяция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Результат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f_D, α_tail, R_DD, P_fb, K_loop, Λ, ε_W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Статус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screening / prescribed field / self-consistent / sandbox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Решение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продолжить / уточнить / остановить с формальным основанием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67" w:right="1273" w:bottom="1267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i w:val="0"/>
        <w:color w:val="5B6573"/>
        <w:sz w:val="17"/>
      </w:rPr>
      <w:t>ВТОРОЙ КОНТУР • АЛГОРИТМ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before="80" w:after="160"/>
    </w:pPr>
    <w:rPr>
      <w:rFonts w:ascii="Calibri" w:hAnsi="Calibri" w:eastAsia="Calibri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Алгоритм расчёта формирования дейтронного хвоста — версия 2.0</dc:title>
  <dc:subject>Второй контур: энергетическая обратная связь и самоподдержание</dc:subject>
  <dc:creator>Н. Н. Зобнин</dc:creator>
  <cp:keywords/>
  <dc:description>Концептуальный проект спецификации, подготовленный на основе промежуточных материалов второго контура.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