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200"/>
      </w:pPr>
      <w:r>
        <w:rPr>
          <w:rFonts w:ascii="Aptos" w:hAnsi="Aptos"/>
          <w:b/>
          <w:color w:val="2F75B5"/>
          <w:sz w:val="18"/>
        </w:rPr>
        <w:t>РЕШЕНИЕ БЛИЖАЙШИХ ВОРОТ ПРОЕКТА</w:t>
      </w:r>
    </w:p>
    <w:p>
      <w:pPr>
        <w:pStyle w:val="Title"/>
        <w:spacing w:after="120"/>
      </w:pPr>
      <w:r>
        <w:t>Есть ли у второго контура физический запас?</w:t>
      </w:r>
    </w:p>
    <w:p>
      <w:pPr>
        <w:spacing w:after="280"/>
      </w:pPr>
      <w:r>
        <w:rPr>
          <w:color w:val="666666"/>
          <w:sz w:val="24"/>
        </w:rPr>
        <w:t>Аналитический отчёт по строгой верхней границе D–D-обратной связи · 2.0-alpha-1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071"/>
      </w:tblGrid>
      <w:tr>
        <w:tc>
          <w:tcPr>
            <w:tcW w:type="dxa" w:w="4904"/>
            <w:shd w:fill="C00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04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b/>
                <w:color w:val="C00000"/>
              </w:rPr>
              <w:t>Итог: самоподдерживающаяся D–D-петля исключается в текущем режиме</w:t>
            </w:r>
          </w:p>
          <w:p>
            <w:pPr>
              <w:spacing w:after="0"/>
            </w:pPr>
            <w:r>
              <w:t>Строгая оптимистическая граница K_loop,max = 4.162e-10. До единицы не хватает множителя 2.40e+09 — около 2,4 млрд. Любая реальная эффективность возврата только уменьшит коэффициент.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4"/>
        <w:gridCol w:w="6803"/>
      </w:tblGrid>
      <w:tr>
        <w:tc>
          <w:tcPr>
            <w:tcW w:type="dxa" w:w="249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rPr>
                <w:b/>
              </w:rPr>
              <w:t>Рассматриваемый контур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t>D-хвост → D–D-реакции → энергия продуктов → новый D-хвост</w:t>
            </w:r>
          </w:p>
        </w:tc>
      </w:tr>
      <w:tr>
        <w:tc>
          <w:tcPr>
            <w:tcW w:type="dxa" w:w="249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rPr>
                <w:b/>
              </w:rPr>
              <w:t>Версия алгоритма</w:t>
            </w:r>
          </w:p>
        </w:tc>
        <w:tc>
          <w:tcPr>
            <w:tcW w:type="dxa" w:w="680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t>2.0-alpha-1</w:t>
            </w:r>
          </w:p>
        </w:tc>
      </w:tr>
      <w:tr>
        <w:tc>
          <w:tcPr>
            <w:tcW w:type="dxa" w:w="249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rPr>
                <w:b/>
              </w:rPr>
              <w:t>Расчётная задача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t>Верхняя граница петлевого энергетического коэффициента</w:t>
            </w:r>
          </w:p>
        </w:tc>
      </w:tr>
      <w:tr>
        <w:tc>
          <w:tcPr>
            <w:tcW w:type="dxa" w:w="249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rPr>
                <w:b/>
              </w:rPr>
              <w:t>Результат ворот</w:t>
            </w:r>
          </w:p>
        </w:tc>
        <w:tc>
          <w:tcPr>
            <w:tcW w:type="dxa" w:w="680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t>NO-GO для самоподдержания при текущих n и τ; внешне накачиваемая ветвь не отвергается</w:t>
            </w:r>
          </w:p>
        </w:tc>
      </w:tr>
      <w:tr>
        <w:tc>
          <w:tcPr>
            <w:tcW w:type="dxa" w:w="249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rPr>
                <w:b/>
              </w:rPr>
              <w:t>Платформа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t>Ноутбучный расчёт; 6/6 тестов успешно</w:t>
            </w:r>
          </w:p>
        </w:tc>
      </w:tr>
      <w:tr>
        <w:tc>
          <w:tcPr>
            <w:tcW w:type="dxa" w:w="249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680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t>05.09.2026</w:t>
            </w:r>
          </w:p>
        </w:tc>
      </w:tr>
    </w:tbl>
    <w:p>
      <w:pPr>
        <w:pStyle w:val="Heading1"/>
      </w:pPr>
      <w:r>
        <w:t>1. Проверяемая гипотеза</w:t>
      </w:r>
    </w:p>
    <w:p>
      <w:r>
        <w:t>Проверяется идея «искры»: небольшой внешний импульс создаёт начальный дейтронный хвост, после чего энергия продуктов D–D-реакций формирует хвост следующего поколения. Необходимое условие самоподдержания — возвратить за один полезный цикл не меньше энергии, чем содержалось в исходном хвосте.</w:t>
      </w:r>
    </w:p>
    <w:p>
      <w:pPr>
        <w:spacing w:before="60" w:after="120"/>
        <w:jc w:val="center"/>
      </w:pPr>
      <w:r>
        <w:rPr>
          <w:rFonts w:ascii="Cambria Math" w:hAnsi="Cambria Math"/>
          <w:i/>
          <w:sz w:val="22"/>
        </w:rPr>
        <w:t>K_loop = W_return / W_tail ;     самоподдержание возможно только при K_loop ≥ 1.</w:t>
      </w:r>
    </w:p>
    <w:p>
      <w:r>
        <w:t>Вычисляется не прогноз реального устройства, а верхняя граница. Поэтому отрицательный результат имеет большую логическую силу: если K_loop,max &lt; 1 в заведомо идеализированной системе, добавление физических потерь не может изменить знак вывода.</w:t>
      </w:r>
    </w:p>
    <w:p>
      <w:pPr>
        <w:pStyle w:val="Heading1"/>
      </w:pPr>
      <w:r>
        <w:t>2. Почему граница действительно завышена</w:t>
      </w:r>
    </w:p>
    <w:p>
      <w:pPr>
        <w:pStyle w:val="ListBullet"/>
      </w:pPr>
      <w:r>
        <w:t>Все дейтроны расчётного объёма отнесены к моноэнергетическому хвосту; разбавление хвоста не используется как способ улучшить результат.</w:t>
      </w:r>
    </w:p>
    <w:p>
      <w:pPr>
        <w:pStyle w:val="ListBullet"/>
      </w:pPr>
      <w:r>
        <w:t>Для предельной ветви всем парам назначена встречная геометрия: E_cm = 2E_D, то есть максимально благоприятная относительная энергия двух равных пучков.</w:t>
      </w:r>
    </w:p>
    <w:p>
      <w:pPr>
        <w:pStyle w:val="ListBullet"/>
      </w:pPr>
      <w:r>
        <w:t>На протяжении τ = 20 мкс плотность и энергия хвоста не истощаются.</w:t>
      </w:r>
    </w:p>
    <w:p>
      <w:pPr>
        <w:pStyle w:val="ListBullet"/>
      </w:pPr>
      <w:r>
        <w:t>Удерживается и с единичной эффективностью возвращается вся ядерная энергия обеих D–D-ветвей, включая энергию нейтронов 2,45 МэВ.</w:t>
      </w:r>
    </w:p>
    <w:p>
      <w:pPr>
        <w:pStyle w:val="ListBullet"/>
      </w:pPr>
      <w:r>
        <w:t>Отсутствуют потери на электроны, стенки, излучение, зарядовый обмен, расходимость, неполное поглощение и обратное преобразование.</w:t>
      </w:r>
    </w:p>
    <w:p>
      <w:pPr>
        <w:pStyle w:val="ListBullet"/>
      </w:pPr>
      <w:r>
        <w:t>Вероятности реакций вычислены по параметризации Bosch–Hale; максимум найден полным логарифмическим сканированием 0,2–100 кэВ по энергии одного дейтрона.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071"/>
      </w:tblGrid>
      <w:tr>
        <w:tc>
          <w:tcPr>
            <w:tcW w:type="dxa" w:w="4904"/>
            <w:shd w:fill="5482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04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b/>
                <w:color w:val="548235"/>
              </w:rPr>
              <w:t>Следствие</w:t>
            </w:r>
          </w:p>
          <w:p>
            <w:pPr>
              <w:spacing w:after="0"/>
            </w:pPr>
            <w:r>
              <w:t>Обозначим реальную суммарную эффективность возврата η_return ≤ 1. Тогда K_loop,real ≤ η_return · K_loop,max ≤ K_loop,max. Расчёт не оставляет скрытого коэффициента эффективности, способного поднять результат выше верхней границы.</w:t>
            </w:r>
          </w:p>
        </w:tc>
      </w:tr>
    </w:tbl>
    <w:p>
      <w:pPr>
        <w:spacing w:after="0"/>
      </w:pPr>
    </w:p>
    <w:p>
      <w:pPr>
        <w:pStyle w:val="Heading1"/>
      </w:pPr>
      <w:r>
        <w:t>3. Математическая модель</w:t>
      </w:r>
    </w:p>
    <w:p>
      <w:r>
        <w:t>Для ветви j использованы сечение σ_j(E_cm), относительная скорость v_rel и энергия продуктов Q_j. Для одинаковых встречных потоков:</w:t>
      </w:r>
    </w:p>
    <w:p>
      <w:pPr>
        <w:spacing w:before="60" w:after="120"/>
        <w:jc w:val="center"/>
      </w:pPr>
      <w:r>
        <w:rPr>
          <w:rFonts w:ascii="Cambria Math" w:hAnsi="Cambria Math"/>
          <w:i/>
          <w:sz w:val="22"/>
        </w:rPr>
        <w:t>R/V = ½ n_D² v_rel Σ_j σ_j ;     W_tail = n_D V E_D.</w:t>
      </w:r>
    </w:p>
    <w:p>
      <w:pPr>
        <w:spacing w:before="60" w:after="120"/>
        <w:jc w:val="center"/>
      </w:pPr>
      <w:r>
        <w:rPr>
          <w:rFonts w:ascii="Cambria Math" w:hAnsi="Cambria Math"/>
          <w:i/>
          <w:sz w:val="22"/>
        </w:rPr>
        <w:t>W_return,max = τ · ½ n_D² V v_rel Σ_j[σ_j Q_j].</w:t>
      </w:r>
    </w:p>
    <w:p>
      <w:pPr>
        <w:spacing w:before="60" w:after="120"/>
        <w:jc w:val="center"/>
      </w:pPr>
      <w:r>
        <w:rPr>
          <w:rFonts w:ascii="Cambria Math" w:hAnsi="Cambria Math"/>
          <w:i/>
          <w:sz w:val="22"/>
        </w:rPr>
        <w:t>K_loop,max = n_D τ · v_rel Σ_j[σ_j Q_j] / (2E_D).</w:t>
      </w:r>
    </w:p>
    <w:p>
      <w:r>
        <w:t>Объём V сокращается из коэффициента K_loop: увеличение объёма одновременно увеличивает число реакций и запас энергии хвоста. Критическая величина для этой упрощённой проверки — произведение n_Dτ, а не мощность источника сама по себе.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701"/>
        <w:gridCol w:w="1984"/>
        <w:gridCol w:w="3572"/>
      </w:tblGrid>
      <w:tr>
        <w:trPr>
          <w:tblHeader w:val="true"/>
          <w:cantSplit/>
        </w:trPr>
        <w:tc>
          <w:tcPr>
            <w:tcW w:type="dxa" w:w="2452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D–D-ветвь</w:t>
            </w:r>
          </w:p>
        </w:tc>
        <w:tc>
          <w:tcPr>
            <w:tcW w:type="dxa" w:w="2452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Полная Q, МэВ</w:t>
            </w:r>
          </w:p>
        </w:tc>
        <w:tc>
          <w:tcPr>
            <w:tcW w:type="dxa" w:w="2452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Заряженная часть, МэВ</w:t>
            </w:r>
          </w:p>
        </w:tc>
        <w:tc>
          <w:tcPr>
            <w:tcW w:type="dxa" w:w="2452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Что возвращается в абсолютной границе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D(d,n)³He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3,268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0,820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3,268 МэВ, включая нейтрон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D(d,p)T</w:t>
            </w:r>
          </w:p>
        </w:tc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4,033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4,033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4,033 МэВ</w:t>
            </w:r>
          </w:p>
        </w:tc>
      </w:tr>
    </w:tbl>
    <w:p>
      <w:pPr>
        <w:spacing w:after="0"/>
      </w:pPr>
    </w:p>
    <w:p>
      <w:pPr>
        <w:pStyle w:val="Heading1"/>
      </w:pPr>
      <w:r>
        <w:t>4. Входные параметры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4422"/>
      </w:tblGrid>
      <w:tr>
        <w:trPr>
          <w:tblHeader w:val="true"/>
          <w:cantSplit/>
        </w:trPr>
        <w:tc>
          <w:tcPr>
            <w:tcW w:type="dxa" w:w="3269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3269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3269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Роль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Плотность дейтронов n_D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1,62×10¹⁶ м⁻³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Ранее найденный рабочий плазменный режим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Полезное время τ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20 мкс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Оптимистическое время существования/обновления хвоста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Радиус и длина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3,259 мм; 2,998 м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V = 1,00052×10⁻⁴ м³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Энергия хвоста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0,2–100 кэВ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Полный диапазон поставленной задачи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Возврат продуктов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η = 1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Предельное допущение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Число точек сканирования</w:t>
            </w:r>
          </w:p>
        </w:tc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2001 на геометрию</w:t>
            </w:r>
          </w:p>
        </w:tc>
        <w:tc>
          <w:tcPr>
            <w:tcW w:type="dxa" w:w="44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Логарифмическая сетка</w:t>
            </w:r>
          </w:p>
        </w:tc>
      </w:tr>
    </w:tbl>
    <w:p>
      <w:pPr>
        <w:spacing w:after="0"/>
      </w:pPr>
    </w:p>
    <w:p>
      <w:r>
        <w:t>Параметризация Bosch–Hale имеет заявленный рабочий диапазон, начинающийся примерно от E_cm = 0,5 кэВ. Низкоэнергетическая часть скана ниже этой границы является экстраполяцией, но она не влияет на вывод: найденный максимум расположен при E_cm = 200 кэВ, внутри рабочего диапазона формулы.</w:t>
      </w:r>
    </w:p>
    <w:p>
      <w:pPr>
        <w:pStyle w:val="Heading1"/>
      </w:pPr>
      <w:r>
        <w:t>5. Главный расчёт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5"/>
        <w:gridCol w:w="4819"/>
      </w:tblGrid>
      <w:tr>
        <w:trPr>
          <w:tblHeader w:val="true"/>
          <w:cantSplit/>
        </w:trPr>
        <w:tc>
          <w:tcPr>
            <w:tcW w:type="dxa" w:w="4904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Величина</w:t>
            </w:r>
          </w:p>
        </w:tc>
        <w:tc>
          <w:tcPr>
            <w:tcW w:type="dxa" w:w="4904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Предельное значение</w:t>
            </w:r>
          </w:p>
        </w:tc>
      </w:tr>
      <w:tr>
        <w:trPr>
          <w:cantSplit/>
        </w:trPr>
        <w:tc>
          <w:tcPr>
            <w:tcW w:type="dxa" w:w="43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Геометрия максимума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Два встречных равных потока</w:t>
            </w:r>
          </w:p>
        </w:tc>
      </w:tr>
      <w:tr>
        <w:trPr>
          <w:cantSplit/>
        </w:trPr>
        <w:tc>
          <w:tcPr>
            <w:tcW w:type="dxa" w:w="43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Энергия одного дейтрона E_D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100 кэВ</w:t>
            </w:r>
          </w:p>
        </w:tc>
      </w:tr>
      <w:tr>
        <w:trPr>
          <w:cantSplit/>
        </w:trPr>
        <w:tc>
          <w:tcPr>
            <w:tcW w:type="dxa" w:w="43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Энергия центра масс E_cm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200 кэВ</w:t>
            </w:r>
          </w:p>
        </w:tc>
      </w:tr>
      <w:tr>
        <w:trPr>
          <w:cantSplit/>
        </w:trPr>
        <w:tc>
          <w:tcPr>
            <w:tcW w:type="dxa" w:w="43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Суммарное D–D-сечение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1.147304e-29 м² = 114,73 мб</w:t>
            </w:r>
          </w:p>
        </w:tc>
      </w:tr>
      <w:tr>
        <w:trPr>
          <w:cantSplit/>
        </w:trPr>
        <w:tc>
          <w:tcPr>
            <w:tcW w:type="dxa" w:w="43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σv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7.103504e-23 м³/с</w:t>
            </w:r>
          </w:p>
        </w:tc>
      </w:tr>
      <w:tr>
        <w:trPr>
          <w:cantSplit/>
        </w:trPr>
        <w:tc>
          <w:tcPr>
            <w:tcW w:type="dxa" w:w="43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Расчётное число реакций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9.326074e+05 с⁻¹</w:t>
            </w:r>
          </w:p>
        </w:tc>
      </w:tr>
      <w:tr>
        <w:trPr>
          <w:cantSplit/>
        </w:trPr>
        <w:tc>
          <w:tcPr>
            <w:tcW w:type="dxa" w:w="43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Полная D–D-мощность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5.404509e-07 Вт = 0,540 мкВт</w:t>
            </w:r>
          </w:p>
        </w:tc>
      </w:tr>
      <w:tr>
        <w:trPr>
          <w:cantSplit/>
        </w:trPr>
        <w:tc>
          <w:tcPr>
            <w:tcW w:type="dxa" w:w="43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Энергия всего хвоста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2.596878e-02 Дж</w:t>
            </w:r>
          </w:p>
        </w:tc>
      </w:tr>
      <w:tr>
        <w:trPr>
          <w:cantSplit/>
        </w:trPr>
        <w:tc>
          <w:tcPr>
            <w:tcW w:type="dxa" w:w="43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Возврат за 20 мкс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1.080902e-11 Дж</w:t>
            </w:r>
          </w:p>
        </w:tc>
      </w:tr>
      <w:tr>
        <w:trPr>
          <w:cantSplit/>
        </w:trPr>
        <w:tc>
          <w:tcPr>
            <w:tcW w:type="dxa" w:w="43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K_loop,max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4.162312e-10</w:t>
            </w:r>
          </w:p>
        </w:tc>
      </w:tr>
      <w:tr>
        <w:trPr>
          <w:cantSplit/>
        </w:trPr>
        <w:tc>
          <w:tcPr>
            <w:tcW w:type="dxa" w:w="43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Дефицит до K=1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2.402511e+09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6012000" cy="23674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1_loop_bou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367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Рисунок 1 — Верхняя граница петлевого коэффициента и требуемое время удержания</w:t>
      </w:r>
    </w:p>
    <w:p>
      <w:pPr>
        <w:pStyle w:val="Heading1"/>
      </w:pPr>
      <w:r>
        <w:t>6. Зависимость от энергии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572"/>
        <w:gridCol w:w="3628"/>
      </w:tblGrid>
      <w:tr>
        <w:trPr>
          <w:tblHeader w:val="true"/>
          <w:cantSplit/>
        </w:trPr>
        <w:tc>
          <w:tcPr>
            <w:tcW w:type="dxa" w:w="3269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E_D, кэВ</w:t>
            </w:r>
          </w:p>
        </w:tc>
        <w:tc>
          <w:tcPr>
            <w:tcW w:type="dxa" w:w="3269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K_max: пучок–мишень</w:t>
            </w:r>
          </w:p>
        </w:tc>
        <w:tc>
          <w:tcPr>
            <w:tcW w:type="dxa" w:w="3269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K_max: встречные потоки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4.183e-25</w:t>
            </w:r>
          </w:p>
        </w:tc>
        <w:tc>
          <w:tcPr>
            <w:tcW w:type="dxa" w:w="36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4.617e-16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1.143e-17</w:t>
            </w:r>
          </w:p>
        </w:tc>
        <w:tc>
          <w:tcPr>
            <w:tcW w:type="dxa" w:w="36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1.076e-12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2.072e-13</w:t>
            </w:r>
          </w:p>
        </w:tc>
        <w:tc>
          <w:tcPr>
            <w:tcW w:type="dxa" w:w="36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6.205e-11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1.577e-11</w:t>
            </w:r>
          </w:p>
        </w:tc>
        <w:tc>
          <w:tcPr>
            <w:tcW w:type="dxa" w:w="36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2.721e-10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1.170e-10</w:t>
            </w:r>
          </w:p>
        </w:tc>
        <w:tc>
          <w:tcPr>
            <w:tcW w:type="dxa" w:w="36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4.162e-10</w:t>
            </w:r>
          </w:p>
        </w:tc>
      </w:tr>
    </w:tbl>
    <w:p>
      <w:pPr>
        <w:spacing w:after="0"/>
      </w:pPr>
    </w:p>
    <w:p>
      <w:r>
        <w:t>На ближайшем рубеже 1 кэВ даже искусственно идеальная встречная схема даёт K_loop,max = 4,62×10⁻¹⁶. Рост до 100 кэВ повышает реактивность, но недостаточен: верхняя граница остаётся на 9,38 порядка ниже единицы.</w:t>
      </w:r>
    </w:p>
    <w:p>
      <w:pPr>
        <w:pStyle w:val="Heading1"/>
      </w:pPr>
      <w:r>
        <w:t>7. Какой параметр пришлось бы изменить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175"/>
      </w:tblGrid>
      <w:tr>
        <w:trPr>
          <w:tblHeader w:val="true"/>
          <w:cantSplit/>
        </w:trPr>
        <w:tc>
          <w:tcPr>
            <w:tcW w:type="dxa" w:w="3269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Условие</w:t>
            </w:r>
          </w:p>
        </w:tc>
        <w:tc>
          <w:tcPr>
            <w:tcW w:type="dxa" w:w="3269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Требуется для K=1</w:t>
            </w:r>
          </w:p>
        </w:tc>
        <w:tc>
          <w:tcPr>
            <w:tcW w:type="dxa" w:w="3269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Сопоставление с принятым режимом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Произведение n_Dτ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7.784e+20 м⁻³·с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в 2.40e+09 раза больше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τ при n_D = 1,62×10¹⁶ м⁻³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48050.2 с = 13,35 ч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вместо 20 мкс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n_D при τ = 20 мкс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3.892e+25 м⁻³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вместо 1,62×10¹⁶ м⁻³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Только заряженные продукты</w:t>
            </w:r>
          </w:p>
        </w:tc>
        <w:tc>
          <w:tcPr>
            <w:tcW w:type="dxa" w:w="3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K = 2.630e-10</w:t>
            </w:r>
          </w:p>
        </w:tc>
        <w:tc>
          <w:tcPr>
            <w:tcW w:type="dxa" w:w="31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ещё ниже; даже без прочих потерь</w:t>
            </w:r>
          </w:p>
        </w:tc>
      </w:tr>
    </w:tbl>
    <w:p>
      <w:pPr>
        <w:spacing w:after="0"/>
      </w:pPr>
    </w:p>
    <w:p>
      <w:r>
        <w:t>Требуемое время 13,35 часа не является проектным предложением: оно получено при неизменной моноэнергетической популяции 100 кэВ и без истощения. В реальной низкотемпературной плазме замедление и уход частиц наступают намного раньше. Требуемая плотность 3,89×10²⁵ м⁻³ также выводит задачу далеко за пределы исходного режима.</w:t>
      </w:r>
    </w:p>
    <w:p>
      <w:pPr>
        <w:pStyle w:val="Heading1"/>
      </w:pPr>
      <w:r>
        <w:t>8. Энергетический регистр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551"/>
        <w:gridCol w:w="3798"/>
      </w:tblGrid>
      <w:tr>
        <w:trPr>
          <w:tblHeader w:val="true"/>
          <w:cantSplit/>
        </w:trPr>
        <w:tc>
          <w:tcPr>
            <w:tcW w:type="dxa" w:w="3269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Статья за цикл 20 мкс</w:t>
            </w:r>
          </w:p>
        </w:tc>
        <w:tc>
          <w:tcPr>
            <w:tcW w:type="dxa" w:w="3269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Энергия, Дж</w:t>
            </w:r>
          </w:p>
        </w:tc>
        <w:tc>
          <w:tcPr>
            <w:tcW w:type="dxa" w:w="3269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Исходный хвост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2.596878359e-02</w:t>
            </w:r>
          </w:p>
        </w:tc>
        <w:tc>
          <w:tcPr>
            <w:tcW w:type="dxa" w:w="37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Знаменатель K_loop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Ядерное выделение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1.080901763e-11</w:t>
            </w:r>
          </w:p>
        </w:tc>
        <w:tc>
          <w:tcPr>
            <w:tcW w:type="dxa" w:w="37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Обе D–D-ветви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Полезный возврат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1.080901763e-11</w:t>
            </w:r>
          </w:p>
        </w:tc>
        <w:tc>
          <w:tcPr>
            <w:tcW w:type="dxa" w:w="37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Равен выделению только из-за η=1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Невозвращённая энергия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0.0e+00</w:t>
            </w:r>
          </w:p>
        </w:tc>
        <w:tc>
          <w:tcPr>
            <w:tcW w:type="dxa" w:w="37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Принудительно ноль в абсолютной границе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Численный остаток</w:t>
            </w:r>
          </w:p>
        </w:tc>
        <w:tc>
          <w:tcPr>
            <w:tcW w:type="dxa" w:w="25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0.0e+00</w:t>
            </w:r>
          </w:p>
        </w:tc>
        <w:tc>
          <w:tcPr>
            <w:tcW w:type="dxa" w:w="37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Баланс закрыт</w:t>
            </w:r>
          </w:p>
        </w:tc>
      </w:tr>
    </w:tbl>
    <w:p>
      <w:pPr>
        <w:spacing w:after="0"/>
      </w:pPr>
    </w:p>
    <w:p>
      <w:r>
        <w:t>Регистр отделяет ядерное выделение от полезного возврата. В следующих версиях в него можно без изменения определения K_loop добавить электронный нагрев, стеночные потери, нейтронную утечку, эффективность преобразователя и внешнюю ВЧ/DC-мощность.</w:t>
      </w:r>
    </w:p>
    <w:p>
      <w:pPr>
        <w:pStyle w:val="Heading1"/>
      </w:pPr>
      <w:r>
        <w:t>9. Решение по второму контуру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071"/>
      </w:tblGrid>
      <w:tr>
        <w:tc>
          <w:tcPr>
            <w:tcW w:type="dxa" w:w="4904"/>
            <w:shd w:fill="C00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04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b/>
                <w:color w:val="C00000"/>
              </w:rPr>
              <w:t>Ветка «искра → самоподдерживающаяся D–D-цепь»: закрыть на текущих параметрах</w:t>
            </w:r>
          </w:p>
          <w:p>
            <w:pPr>
              <w:spacing w:after="0"/>
            </w:pPr>
            <w:r>
              <w:t>Запас отсутствует не на несколько процентов, а более чем на девять порядков даже в абсолютной верхней границе. Детализация кавитонов, посредников передачи энергии или ИИ-управления не может компенсировать этот энергетический дефицит: их эффективности не превышают единицы.</w:t>
            </w:r>
          </w:p>
        </w:tc>
      </w:tr>
    </w:tbl>
    <w:p>
      <w:pPr>
        <w:spacing w:after="0"/>
      </w:pPr>
    </w:p>
    <w:p>
      <w:r>
        <w:t>Это решение не означает остановку всей версии 2.0. Различаются три утверждения:</w:t>
      </w:r>
    </w:p>
    <w:p>
      <w:pPr>
        <w:pStyle w:val="ListBullet"/>
      </w:pPr>
      <w:r>
        <w:t>Самоподдержание хвоста энергией D–D-продуктов в текущем низкоплотностном микросекундном режиме — физического запаса нет.</w:t>
      </w:r>
    </w:p>
    <w:p>
      <w:pPr>
        <w:pStyle w:val="ListBullet"/>
      </w:pPr>
      <w:r>
        <w:t>Внешне питаемое многоступенчатое формирование хвоста — данным расчётом не опровергнуто, но требует отдельного энергобаланса и кластерной EM-PIC-проверки.</w:t>
      </w:r>
    </w:p>
    <w:p>
      <w:pPr>
        <w:pStyle w:val="ListBullet"/>
      </w:pPr>
      <w:r>
        <w:t>Энергия продуктов D–D может быть измеримым диагностическим сигналом или малой поправкой к управлению, но не основным источником следующего поколения хвоста.</w:t>
      </w:r>
    </w:p>
    <w:p>
      <w:pPr>
        <w:pStyle w:val="Heading1"/>
      </w:pPr>
      <w:r>
        <w:t>10. Рекомендуемое продолжение</w:t>
      </w:r>
    </w:p>
    <w:p>
      <w:pPr>
        <w:pStyle w:val="ListNumber"/>
      </w:pPr>
      <w:r>
        <w:t>Зафиксировать 2.0-alpha-1 как отрицательные энергетические ворота и не расходовать ресурсы на самоподдерживающуюся D–D-ветвь при исходных n и τ.</w:t>
      </w:r>
    </w:p>
    <w:p>
      <w:pPr>
        <w:pStyle w:val="ListNumber"/>
      </w:pPr>
      <w:r>
        <w:t>Сохранить энергетический регистр как обязательный базовый модуль версии 2.0.</w:t>
      </w:r>
    </w:p>
    <w:p>
      <w:pPr>
        <w:pStyle w:val="ListNumber"/>
      </w:pPr>
      <w:r>
        <w:t>Следующий ноутбучный модуль направить на внешне питаемый каскад: по каждой ступени учитывать ВЧ/DC-вход, полезную ионную мощность, потери и долю переноса между энергетическими интервалами.</w:t>
      </w:r>
    </w:p>
    <w:p>
      <w:pPr>
        <w:pStyle w:val="ListNumber"/>
      </w:pPr>
      <w:r>
        <w:t>Возвращаться к петлевой гипотезе только при появлении измеримого режима, который увеличивает n_Dτ на многие порядки, либо при замене топливного цикла; оба случая требуют отдельной постановки.</w:t>
      </w:r>
    </w:p>
    <w:p>
      <w:pPr>
        <w:pStyle w:val="Heading1"/>
      </w:pPr>
      <w:r>
        <w:t>11. Верификация и ограничения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236"/>
      </w:tblGrid>
      <w:tr>
        <w:trPr>
          <w:tblHeader w:val="true"/>
          <w:cantSplit/>
        </w:trPr>
        <w:tc>
          <w:tcPr>
            <w:tcW w:type="dxa" w:w="4904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4904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Автоматические тесты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6/6 успешно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Контрольная точка сечения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σ_DD(10 кэВ) = 0,5591 мб; σ_DD(100 кэВ) = 70,049 мб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Закрытие регистра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Численный остаток 0 Дж в предельном режиме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Обратная проверка порога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6F8FB"/>
            <w:tcBorders>
              <w:bottom w:val="single" w:sz="3" w:color="D9E2F3"/>
            </w:tcBorders>
          </w:tcPr>
          <w:p>
            <w:r>
              <w:rPr>
                <w:sz w:val="17"/>
              </w:rPr>
              <w:t>Подстановка рассчитанного (nτ)_req возвращает K=1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Ограничение модели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bottom w:val="single" w:sz="3" w:color="D9E2F3"/>
            </w:tcBorders>
          </w:tcPr>
          <w:p>
            <w:r>
              <w:rPr>
                <w:sz w:val="17"/>
              </w:rPr>
              <w:t>Не EM-PIC/Vlasov; не моделирует формирование хвоста и замедление продуктов</w:t>
            </w:r>
          </w:p>
        </w:tc>
      </w:tr>
    </w:tbl>
    <w:p>
      <w:pPr>
        <w:spacing w:after="0"/>
      </w:pPr>
    </w:p>
    <w:p>
      <w:pPr>
        <w:pStyle w:val="Heading1"/>
      </w:pPr>
      <w:r>
        <w:t>12. Источники данных</w:t>
      </w:r>
    </w:p>
    <w:p>
      <w:r>
        <w:t xml:space="preserve">1. H.-S. Bosch, G. M. Hale. Improved formulas for fusion cross-sections and thermal reactivities. Nuclear Fusion 32 (1992) 611. </w:t>
      </w:r>
      <w:hyperlink r:id="rId12">
        <w:r>
          <w:rPr>
            <w:color w:val="2F75B5"/>
            <w:u w:val="single"/>
          </w:rPr>
          <w:t>https://doi.org/10.1088/0029-5515/32/4/I07</w:t>
        </w:r>
      </w:hyperlink>
    </w:p>
    <w:p>
      <w:r>
        <w:t xml:space="preserve">2. NIST. CODATA 2022 recommended values: elementary charge and SI constants. </w:t>
      </w:r>
      <w:hyperlink r:id="rId13">
        <w:r>
          <w:rPr>
            <w:color w:val="2F75B5"/>
            <w:u w:val="single"/>
          </w:rPr>
          <w:t>https://physics.nist.gov/cuu/pdf/wallet_2022.pdf</w:t>
        </w:r>
      </w:hyperlink>
    </w:p>
    <w:p>
      <w:r>
        <w:t xml:space="preserve">3. NNDC QCalc. Q-value calculator based on AME2020 masses. </w:t>
      </w:r>
      <w:hyperlink r:id="rId14">
        <w:r>
          <w:rPr>
            <w:color w:val="2F75B5"/>
            <w:u w:val="single"/>
          </w:rPr>
          <w:t>https://www.nndc.bnl.gov/qcalc/</w:t>
        </w:r>
      </w:hyperlink>
    </w:p>
    <w:p>
      <w:r>
        <w:t>Примечание: значения Q в версии alpha-1 зафиксированы непосредственно в коде; перед публикационной редакцией рекомендуется дополнительно сверить их по выбранной версии таблицы атомных масс и записать номер версии в метаданные.</w:t>
      </w:r>
    </w:p>
    <w:p>
      <w:pPr>
        <w:pStyle w:val="Heading1"/>
      </w:pPr>
      <w:r>
        <w:t>Заключение</w:t>
      </w:r>
    </w:p>
    <w:p>
      <w:r>
        <w:rPr>
          <w:b/>
        </w:rPr>
        <w:t xml:space="preserve">Физического запаса для самоподдерживающейся D–D-петли второй контур в текущем режиме не имеет. </w:t>
      </w:r>
      <w:r>
        <w:t>Полученная верхняя граница настолько мала, что дальнейшая детализация именно этой ветви нерациональна. Полезное развитие версии 2.0 следует перенести на строго внешне питаемую архитектуру и использовать созданный регистр как критерий закрытия энергии на каждой ступени.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64" w:bottom="879" w:left="113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sz w:val="16"/>
      </w:rPr>
      <w:t xml:space="preserve">Стр.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2F75B5"/>
        <w:sz w:val="16"/>
      </w:rPr>
      <w:t>ПРОЕКТ «ДЕЙТРОННЫЙ ХВОСТ»  ·  МОДУЛЬ 2.0-alpha-1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54823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doi.org/10.1088/0029-5515/32/4/I07" TargetMode="External"/><Relationship Id="rId13" Type="http://schemas.openxmlformats.org/officeDocument/2006/relationships/hyperlink" Target="https://physics.nist.gov/cuu/pdf/wallet_2022.pdf" TargetMode="External"/><Relationship Id="rId14" Type="http://schemas.openxmlformats.org/officeDocument/2006/relationships/hyperlink" Target="https://www.nndc.bnl.gov/qcal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