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cs="Times New Roman"/>
          <w:b/>
          <w:i w:val="0"/>
          <w:sz w:val="36"/>
        </w:rPr>
        <w:t>Informe Ejecutivo del Proyecto de Software</w:t>
      </w:r>
    </w:p>
    <w:p>
      <w:pPr>
        <w:spacing w:before="240" w:after="120"/>
      </w:pPr>
      <w:r>
        <w:rPr>
          <w:rFonts w:ascii="Times New Roman" w:hAnsi="Times New Roman" w:cs="Times New Roman"/>
          <w:b/>
          <w:i w:val="0"/>
          <w:sz w:val="32"/>
        </w:rPr>
        <w:t>1. Información General</w:t>
      </w:r>
    </w:p>
    <w:tbl>
      <w:tblPr>
        <w:tblStyle w:val="LightGrid-Accent1"/>
        <w:tblW w:type="auto" w:w="0"/>
        <w:tblLook w:firstColumn="1" w:firstRow="1" w:lastColumn="0" w:lastRow="0" w:noHBand="0" w:noVBand="1" w:val="04A0"/>
      </w:tblPr>
      <w:tblGrid>
        <w:gridCol w:w="4536"/>
        <w:gridCol w:w="4536"/>
      </w:tblGrid>
      <w:tr>
        <w:tc>
          <w:tcPr>
            <w:tcW w:type="dxa" w:w="4536"/>
          </w:tcPr>
          <w:p>
            <w:pPr>
              <w:jc w:val="center"/>
            </w:pPr>
            <w:r/>
            <w:r>
              <w:rPr>
                <w:rFonts w:ascii="Times New Roman" w:hAnsi="Times New Roman" w:cs="Times New Roman"/>
                <w:b/>
                <w:i w:val="0"/>
                <w:sz w:val="24"/>
              </w:rPr>
              <w:t>Campo</w:t>
            </w:r>
          </w:p>
        </w:tc>
        <w:tc>
          <w:tcPr>
            <w:tcW w:type="dxa" w:w="4536"/>
          </w:tcPr>
          <w:p>
            <w:pPr>
              <w:jc w:val="center"/>
            </w:pPr>
            <w:r/>
            <w:r>
              <w:rPr>
                <w:rFonts w:ascii="Times New Roman" w:hAnsi="Times New Roman" w:cs="Times New Roman"/>
                <w:b/>
                <w:i w:val="0"/>
                <w:sz w:val="24"/>
              </w:rPr>
              <w:t>Detalle</w:t>
            </w:r>
          </w:p>
        </w:tc>
      </w:tr>
      <w:tr>
        <w:tc>
          <w:tcPr>
            <w:tcW w:type="dxa" w:w="4536"/>
          </w:tcPr>
          <w:p>
            <w:pPr>
              <w:jc w:val="left"/>
            </w:pPr>
            <w:r/>
            <w:r>
              <w:rPr>
                <w:rFonts w:ascii="Times New Roman" w:hAnsi="Times New Roman" w:cs="Times New Roman"/>
                <w:b/>
                <w:i w:val="0"/>
                <w:sz w:val="24"/>
              </w:rPr>
              <w:t>Nombre del proyecto</w:t>
            </w:r>
          </w:p>
        </w:tc>
        <w:tc>
          <w:tcPr>
            <w:tcW w:type="dxa" w:w="4536"/>
          </w:tcPr>
          <w:p>
            <w:pPr>
              <w:jc w:val="left"/>
            </w:pPr>
            <w:r/>
            <w:r>
              <w:rPr>
                <w:rFonts w:ascii="Times New Roman" w:hAnsi="Times New Roman" w:cs="Times New Roman"/>
                <w:b w:val="0"/>
                <w:i w:val="0"/>
                <w:sz w:val="24"/>
              </w:rPr>
              <w:t>RespiCare — Sistema Web y Móvil para la Detección de Enfermedades Respiratorias en Tacna</w:t>
            </w:r>
          </w:p>
        </w:tc>
      </w:tr>
      <w:tr>
        <w:tc>
          <w:tcPr>
            <w:tcW w:type="dxa" w:w="4536"/>
          </w:tcPr>
          <w:p>
            <w:pPr>
              <w:jc w:val="left"/>
            </w:pPr>
            <w:r/>
            <w:r>
              <w:rPr>
                <w:rFonts w:ascii="Times New Roman" w:hAnsi="Times New Roman" w:cs="Times New Roman"/>
                <w:b/>
                <w:i w:val="0"/>
                <w:sz w:val="24"/>
              </w:rPr>
              <w:t>Institución / Asignatura</w:t>
            </w:r>
          </w:p>
        </w:tc>
        <w:tc>
          <w:tcPr>
            <w:tcW w:type="dxa" w:w="4536"/>
          </w:tcPr>
          <w:p>
            <w:pPr>
              <w:jc w:val="left"/>
            </w:pPr>
            <w:r/>
            <w:r>
              <w:rPr>
                <w:rFonts w:ascii="Times New Roman" w:hAnsi="Times New Roman" w:cs="Times New Roman"/>
                <w:b w:val="0"/>
                <w:i w:val="0"/>
                <w:sz w:val="24"/>
              </w:rPr>
              <w:t>Universidad Privada de Tacna (EPIS) — Construcción de Software II</w:t>
            </w:r>
          </w:p>
        </w:tc>
      </w:tr>
      <w:tr>
        <w:tc>
          <w:tcPr>
            <w:tcW w:type="dxa" w:w="4536"/>
          </w:tcPr>
          <w:p>
            <w:pPr>
              <w:jc w:val="left"/>
            </w:pPr>
            <w:r/>
            <w:r>
              <w:rPr>
                <w:rFonts w:ascii="Times New Roman" w:hAnsi="Times New Roman" w:cs="Times New Roman"/>
                <w:b/>
                <w:i w:val="0"/>
                <w:sz w:val="24"/>
              </w:rPr>
              <w:t>Docente</w:t>
            </w:r>
          </w:p>
        </w:tc>
        <w:tc>
          <w:tcPr>
            <w:tcW w:type="dxa" w:w="4536"/>
          </w:tcPr>
          <w:p>
            <w:pPr>
              <w:jc w:val="left"/>
            </w:pPr>
            <w:r/>
            <w:r>
              <w:rPr>
                <w:rFonts w:ascii="Times New Roman" w:hAnsi="Times New Roman" w:cs="Times New Roman"/>
                <w:b w:val="0"/>
                <w:i w:val="0"/>
                <w:sz w:val="24"/>
              </w:rPr>
              <w:t>Ing. Ricardo Valcárcel Alvarado</w:t>
            </w:r>
          </w:p>
        </w:tc>
      </w:tr>
      <w:tr>
        <w:tc>
          <w:tcPr>
            <w:tcW w:type="dxa" w:w="4536"/>
          </w:tcPr>
          <w:p>
            <w:pPr>
              <w:jc w:val="left"/>
            </w:pPr>
            <w:r/>
            <w:r>
              <w:rPr>
                <w:rFonts w:ascii="Times New Roman" w:hAnsi="Times New Roman" w:cs="Times New Roman"/>
                <w:b/>
                <w:i w:val="0"/>
                <w:sz w:val="24"/>
              </w:rPr>
              <w:t>Cliente / Organización de referencia</w:t>
            </w:r>
          </w:p>
        </w:tc>
        <w:tc>
          <w:tcPr>
            <w:tcW w:type="dxa" w:w="4536"/>
          </w:tcPr>
          <w:p>
            <w:pPr>
              <w:jc w:val="left"/>
            </w:pPr>
            <w:r/>
            <w:r>
              <w:rPr>
                <w:rFonts w:ascii="Times New Roman" w:hAnsi="Times New Roman" w:cs="Times New Roman"/>
                <w:b w:val="0"/>
                <w:i w:val="0"/>
                <w:sz w:val="24"/>
              </w:rPr>
              <w:t>Proyecto académico orientado al ámbito de salud pública de Tacna (DIRESA Tacna / MINSA como stakeholders institucionales de referencia para la interoperabilidad); sin despliegue productivo formal ante dichas entidades a la fecha</w:t>
            </w:r>
          </w:p>
        </w:tc>
      </w:tr>
      <w:tr>
        <w:tc>
          <w:tcPr>
            <w:tcW w:type="dxa" w:w="4536"/>
          </w:tcPr>
          <w:p>
            <w:pPr>
              <w:jc w:val="left"/>
            </w:pPr>
            <w:r/>
            <w:r>
              <w:rPr>
                <w:rFonts w:ascii="Times New Roman" w:hAnsi="Times New Roman" w:cs="Times New Roman"/>
                <w:b/>
                <w:i w:val="0"/>
                <w:sz w:val="24"/>
              </w:rPr>
              <w:t>Responsables del proyecto</w:t>
            </w:r>
          </w:p>
        </w:tc>
        <w:tc>
          <w:tcPr>
            <w:tcW w:type="dxa" w:w="4536"/>
          </w:tcPr>
          <w:p>
            <w:pPr>
              <w:jc w:val="left"/>
            </w:pPr>
            <w:r/>
            <w:r>
              <w:rPr>
                <w:rFonts w:ascii="Times New Roman" w:hAnsi="Times New Roman" w:cs="Times New Roman"/>
                <w:b w:val="0"/>
                <w:i w:val="0"/>
                <w:sz w:val="24"/>
              </w:rPr>
              <w:t>Chávez Linares, Cesar Fabian y Paja de la Cruz, Piero — equipo de desarrollo</w:t>
            </w:r>
          </w:p>
        </w:tc>
      </w:tr>
      <w:tr>
        <w:tc>
          <w:tcPr>
            <w:tcW w:type="dxa" w:w="4536"/>
          </w:tcPr>
          <w:p>
            <w:pPr>
              <w:jc w:val="left"/>
            </w:pPr>
            <w:r/>
            <w:r>
              <w:rPr>
                <w:rFonts w:ascii="Times New Roman" w:hAnsi="Times New Roman" w:cs="Times New Roman"/>
                <w:b/>
                <w:i w:val="0"/>
                <w:sz w:val="24"/>
              </w:rPr>
              <w:t>Fecha del informe</w:t>
            </w:r>
          </w:p>
        </w:tc>
        <w:tc>
          <w:tcPr>
            <w:tcW w:type="dxa" w:w="4536"/>
          </w:tcPr>
          <w:p>
            <w:pPr>
              <w:jc w:val="left"/>
            </w:pPr>
            <w:r/>
            <w:r>
              <w:rPr>
                <w:rFonts w:ascii="Times New Roman" w:hAnsi="Times New Roman" w:cs="Times New Roman"/>
                <w:b w:val="0"/>
                <w:i w:val="0"/>
                <w:sz w:val="24"/>
              </w:rPr>
              <w:t>18 de septiembre de 2026</w:t>
            </w:r>
          </w:p>
        </w:tc>
      </w:tr>
      <w:tr>
        <w:tc>
          <w:tcPr>
            <w:tcW w:type="dxa" w:w="4536"/>
          </w:tcPr>
          <w:p>
            <w:pPr>
              <w:jc w:val="left"/>
            </w:pPr>
            <w:r/>
            <w:r>
              <w:rPr>
                <w:rFonts w:ascii="Times New Roman" w:hAnsi="Times New Roman" w:cs="Times New Roman"/>
                <w:b/>
                <w:i w:val="0"/>
                <w:sz w:val="24"/>
              </w:rPr>
              <w:t>Periodo evaluado</w:t>
            </w:r>
          </w:p>
        </w:tc>
        <w:tc>
          <w:tcPr>
            <w:tcW w:type="dxa" w:w="4536"/>
          </w:tcPr>
          <w:p>
            <w:pPr>
              <w:jc w:val="left"/>
            </w:pPr>
            <w:r/>
            <w:r>
              <w:rPr>
                <w:rFonts w:ascii="Times New Roman" w:hAnsi="Times New Roman" w:cs="Times New Roman"/>
                <w:b w:val="0"/>
                <w:i w:val="0"/>
                <w:sz w:val="24"/>
              </w:rPr>
              <w:t>Semana 1 – Semana 28 (Sprint 0 a Sprint 13, 14 iteraciones)</w:t>
            </w:r>
          </w:p>
        </w:tc>
      </w:tr>
      <w:tr>
        <w:tc>
          <w:tcPr>
            <w:tcW w:type="dxa" w:w="4536"/>
          </w:tcPr>
          <w:p>
            <w:pPr>
              <w:jc w:val="left"/>
            </w:pPr>
            <w:r/>
            <w:r>
              <w:rPr>
                <w:rFonts w:ascii="Times New Roman" w:hAnsi="Times New Roman" w:cs="Times New Roman"/>
                <w:b/>
                <w:i w:val="0"/>
                <w:sz w:val="24"/>
              </w:rPr>
              <w:t>Estado del proyecto</w:t>
            </w:r>
          </w:p>
        </w:tc>
        <w:tc>
          <w:tcPr>
            <w:tcW w:type="dxa" w:w="4536"/>
          </w:tcPr>
          <w:p>
            <w:pPr>
              <w:jc w:val="left"/>
            </w:pPr>
            <w:r/>
            <w:r>
              <w:rPr>
                <w:rFonts w:ascii="Times New Roman" w:hAnsi="Times New Roman" w:cs="Times New Roman"/>
                <w:b w:val="0"/>
                <w:i w:val="0"/>
                <w:sz w:val="24"/>
              </w:rPr>
              <w:t>En pruebas y cierre de documentación (implementación funcional completa; Sprint 13 en ejecución)</w:t>
            </w:r>
          </w:p>
        </w:tc>
      </w:tr>
    </w:tbl>
    <w:p/>
    <w:p>
      <w:pPr>
        <w:spacing w:before="240" w:after="120"/>
      </w:pPr>
      <w:r>
        <w:rPr>
          <w:rFonts w:ascii="Times New Roman" w:hAnsi="Times New Roman" w:cs="Times New Roman"/>
          <w:b/>
          <w:i w:val="0"/>
          <w:sz w:val="32"/>
        </w:rPr>
        <w:t>2. Resumen Ejecutivo</w:t>
      </w:r>
    </w:p>
    <w:p>
      <w:pPr>
        <w:jc w:val="both"/>
      </w:pPr>
      <w:r>
        <w:rPr>
          <w:rFonts w:ascii="Times New Roman" w:hAnsi="Times New Roman" w:cs="Times New Roman"/>
          <w:b w:val="0"/>
          <w:i w:val="0"/>
          <w:sz w:val="24"/>
        </w:rPr>
        <w:t xml:space="preserve">El proyecto </w:t>
      </w:r>
      <w:r>
        <w:rPr>
          <w:rFonts w:ascii="Times New Roman" w:hAnsi="Times New Roman" w:cs="Times New Roman"/>
          <w:b/>
          <w:i w:val="0"/>
          <w:sz w:val="24"/>
        </w:rPr>
        <w:t>RespiCare</w:t>
      </w:r>
      <w:r>
        <w:rPr>
          <w:rFonts w:ascii="Times New Roman" w:hAnsi="Times New Roman" w:cs="Times New Roman"/>
          <w:b w:val="0"/>
          <w:i w:val="0"/>
          <w:sz w:val="24"/>
        </w:rPr>
        <w:t xml:space="preserve"> tiene como objetivo desarrollar e implementar una plataforma web y móvil de apoyo al diagnóstico que permita la </w:t>
      </w:r>
      <w:r>
        <w:rPr>
          <w:rFonts w:ascii="Times New Roman" w:hAnsi="Times New Roman" w:cs="Times New Roman"/>
          <w:b/>
          <w:i w:val="0"/>
          <w:sz w:val="24"/>
        </w:rPr>
        <w:t>detección temprana de enfermedades respiratorias</w:t>
      </w:r>
      <w:r>
        <w:rPr>
          <w:rFonts w:ascii="Times New Roman" w:hAnsi="Times New Roman" w:cs="Times New Roman"/>
          <w:b w:val="0"/>
          <w:i w:val="0"/>
          <w:sz w:val="24"/>
        </w:rPr>
        <w:t xml:space="preserve"> en la población de Tacna, mediante un motor de inteligencia artificial multimodal (síntomas, audio de tos y voz, e imágenes médicas) accesible tanto para pacientes como para personal médico.</w:t>
      </w:r>
    </w:p>
    <w:p>
      <w:pPr>
        <w:jc w:val="both"/>
      </w:pPr>
      <w:r>
        <w:rPr>
          <w:rFonts w:ascii="Times New Roman" w:hAnsi="Times New Roman" w:cs="Times New Roman"/>
          <w:b w:val="0"/>
          <w:i w:val="0"/>
          <w:sz w:val="24"/>
        </w:rPr>
        <w:t xml:space="preserve">Durante el periodo evaluado, el proyecto ha alcanzado aproximadamente </w:t>
      </w:r>
      <w:r>
        <w:rPr>
          <w:rFonts w:ascii="Times New Roman" w:hAnsi="Times New Roman" w:cs="Times New Roman"/>
          <w:b/>
          <w:i w:val="0"/>
          <w:sz w:val="24"/>
        </w:rPr>
        <w:t>93% de avance global</w:t>
      </w:r>
      <w:r>
        <w:rPr>
          <w:rFonts w:ascii="Times New Roman" w:hAnsi="Times New Roman" w:cs="Times New Roman"/>
          <w:b w:val="0"/>
          <w:i w:val="0"/>
          <w:sz w:val="24"/>
        </w:rPr>
        <w:t>, cumpliendo con las 14 iteraciones planificadas (Sprint 0 a Sprint 13) bajo metodología SCRUM, entre ellas: el establecimiento de la arquitectura base y autenticación (Sprint 0-1), el historial clínico y motor de diagnóstico de síntomas (Sprint 2), el sistema de Machine Learning con Random Forest/XGBoost y explicabilidad SHAP (Sprint 5-8), el análisis multimodal por audio (Whisper) e imágenes médicas (ResNet50), el chatbot clínico, la interoperabilidad HL7/FHIR y los dashboards ejecutivos (Sprint 10-12), y la extensión de alcance del Sprint 13: API de interoperabilidad institucional MINSA/SINADEF e integración de datos de wearables con la capa de validación clínica de la IA.</w:t>
      </w:r>
    </w:p>
    <w:p>
      <w:pPr>
        <w:jc w:val="both"/>
      </w:pPr>
      <w:r>
        <w:rPr>
          <w:rFonts w:ascii="Times New Roman" w:hAnsi="Times New Roman" w:cs="Times New Roman"/>
          <w:b w:val="0"/>
          <w:i w:val="0"/>
          <w:sz w:val="24"/>
        </w:rPr>
        <w:t xml:space="preserve">La solución contempla funcionalidades orientadas a la </w:t>
      </w:r>
      <w:r>
        <w:rPr>
          <w:rFonts w:ascii="Times New Roman" w:hAnsi="Times New Roman" w:cs="Times New Roman"/>
          <w:b/>
          <w:i w:val="0"/>
          <w:sz w:val="24"/>
        </w:rPr>
        <w:t>gestión de información clínica</w:t>
      </w:r>
      <w:r>
        <w:rPr>
          <w:rFonts w:ascii="Times New Roman" w:hAnsi="Times New Roman" w:cs="Times New Roman"/>
          <w:b w:val="0"/>
          <w:i w:val="0"/>
          <w:sz w:val="24"/>
        </w:rPr>
        <w:t xml:space="preserve"> (historial médico, citas, prescripciones, resultados de laboratorio), la </w:t>
      </w:r>
      <w:r>
        <w:rPr>
          <w:rFonts w:ascii="Times New Roman" w:hAnsi="Times New Roman" w:cs="Times New Roman"/>
          <w:b/>
          <w:i w:val="0"/>
          <w:sz w:val="24"/>
        </w:rPr>
        <w:t>automatización del diagnóstico</w:t>
      </w:r>
      <w:r>
        <w:rPr>
          <w:rFonts w:ascii="Times New Roman" w:hAnsi="Times New Roman" w:cs="Times New Roman"/>
          <w:b w:val="0"/>
          <w:i w:val="0"/>
          <w:sz w:val="24"/>
        </w:rPr>
        <w:t xml:space="preserve"> mediante modelos de IA entrenados y explicables, la </w:t>
      </w:r>
      <w:r>
        <w:rPr>
          <w:rFonts w:ascii="Times New Roman" w:hAnsi="Times New Roman" w:cs="Times New Roman"/>
          <w:b/>
          <w:i w:val="0"/>
          <w:sz w:val="24"/>
        </w:rPr>
        <w:t>generación de reportes y dashboards</w:t>
      </w:r>
      <w:r>
        <w:rPr>
          <w:rFonts w:ascii="Times New Roman" w:hAnsi="Times New Roman" w:cs="Times New Roman"/>
          <w:b w:val="0"/>
          <w:i w:val="0"/>
          <w:sz w:val="24"/>
        </w:rPr>
        <w:t xml:space="preserve"> ejecutivos con indicadores clínicos, y la </w:t>
      </w:r>
      <w:r>
        <w:rPr>
          <w:rFonts w:ascii="Times New Roman" w:hAnsi="Times New Roman" w:cs="Times New Roman"/>
          <w:b/>
          <w:i w:val="0"/>
          <w:sz w:val="24"/>
        </w:rPr>
        <w:t>integración con sistemas externos</w:t>
      </w:r>
      <w:r>
        <w:rPr>
          <w:rFonts w:ascii="Times New Roman" w:hAnsi="Times New Roman" w:cs="Times New Roman"/>
          <w:b w:val="0"/>
          <w:i w:val="0"/>
          <w:sz w:val="24"/>
        </w:rPr>
        <w:t xml:space="preserve"> (estándar HL7/FHIR, API institucional MINSA/SINADEF y dispositivos wearables vía Bluetooth Low Energy, Health Connect y HealthKit), con el propósito de mejorar la oportunidad de detección, reducir el subregistro de casos respiratorios y facilitar la toma de decisiones clínicas.</w:t>
      </w:r>
    </w:p>
    <w:p>
      <w:pPr>
        <w:jc w:val="both"/>
      </w:pPr>
      <w:r>
        <w:rPr>
          <w:rFonts w:ascii="Times New Roman" w:hAnsi="Times New Roman" w:cs="Times New Roman"/>
          <w:b w:val="0"/>
          <w:i w:val="0"/>
          <w:sz w:val="24"/>
        </w:rPr>
        <w:t xml:space="preserve">A la fecha, el proyecto presenta un estado </w:t>
      </w:r>
      <w:r>
        <w:rPr>
          <w:rFonts w:ascii="Times New Roman" w:hAnsi="Times New Roman" w:cs="Times New Roman"/>
          <w:b/>
          <w:i w:val="0"/>
          <w:sz w:val="24"/>
        </w:rPr>
        <w:t>normal</w:t>
      </w:r>
      <w:r>
        <w:rPr>
          <w:rFonts w:ascii="Times New Roman" w:hAnsi="Times New Roman" w:cs="Times New Roman"/>
          <w:b w:val="0"/>
          <w:i w:val="0"/>
          <w:sz w:val="24"/>
        </w:rPr>
        <w:t xml:space="preserve">, sin riesgos bloqueantes. Se han identificado y gestionado riesgos técnicos puntuales —como un sesgo demográfico detectado en el modelo XGBoost (brecha de 7.3 puntos porcentuales de </w:t>
      </w:r>
      <w:r>
        <w:rPr>
          <w:rFonts w:ascii="Times New Roman" w:hAnsi="Times New Roman" w:cs="Times New Roman"/>
          <w:b w:val="0"/>
          <w:i/>
          <w:sz w:val="24"/>
        </w:rPr>
        <w:t>accuracy</w:t>
      </w:r>
      <w:r>
        <w:rPr>
          <w:rFonts w:ascii="Times New Roman" w:hAnsi="Times New Roman" w:cs="Times New Roman"/>
          <w:b w:val="0"/>
          <w:i w:val="0"/>
          <w:sz w:val="24"/>
        </w:rPr>
        <w:t xml:space="preserve"> entre segmentos etarios) y brechas menores de accesibilidad (contraste WCAG en tema oscuro)— que se encuentran documentados en el backlog técnico y no comprometen la operatividad general del sistema.</w:t>
      </w:r>
    </w:p>
    <w:p>
      <w:pPr>
        <w:spacing w:before="240" w:after="120"/>
      </w:pPr>
      <w:r>
        <w:rPr>
          <w:rFonts w:ascii="Times New Roman" w:hAnsi="Times New Roman" w:cs="Times New Roman"/>
          <w:b/>
          <w:i w:val="0"/>
          <w:sz w:val="32"/>
        </w:rPr>
        <w:t>3. Objetivos del Proyecto</w:t>
      </w:r>
    </w:p>
    <w:p>
      <w:pPr>
        <w:jc w:val="both"/>
      </w:pPr>
      <w:r>
        <w:rPr>
          <w:rFonts w:ascii="Times New Roman" w:hAnsi="Times New Roman" w:cs="Times New Roman"/>
          <w:b/>
          <w:i w:val="0"/>
          <w:sz w:val="24"/>
        </w:rPr>
        <w:t>Objetivo general:</w:t>
      </w:r>
      <w:r>
        <w:rPr>
          <w:rFonts w:ascii="Times New Roman" w:hAnsi="Times New Roman" w:cs="Times New Roman"/>
          <w:b w:val="0"/>
          <w:i w:val="0"/>
          <w:sz w:val="24"/>
        </w:rPr>
        <w:t xml:space="preserve"> Desarrollar e implementar una plataforma web y móvil de apoyo al diagnóstico de enfermedades respiratorias mediante inteligencia artificial, optimizando la detección temprana y el seguimiento clínico de pacientes en la región de Tacna.</w:t>
      </w:r>
    </w:p>
    <w:p>
      <w:pPr>
        <w:jc w:val="both"/>
      </w:pPr>
      <w:r>
        <w:rPr>
          <w:rFonts w:ascii="Times New Roman" w:hAnsi="Times New Roman" w:cs="Times New Roman"/>
          <w:b/>
          <w:i w:val="0"/>
          <w:sz w:val="24"/>
        </w:rPr>
        <w:t>Objetivos específicos:</w:t>
      </w:r>
    </w:p>
    <w:p>
      <w:pPr>
        <w:pStyle w:val="ListBullet"/>
      </w:pPr>
      <w:r>
        <w:rPr>
          <w:rFonts w:ascii="Times New Roman" w:hAnsi="Times New Roman" w:cs="Times New Roman"/>
          <w:b w:val="0"/>
          <w:i w:val="0"/>
          <w:sz w:val="24"/>
        </w:rPr>
        <w:t>Automatizar el análisis de síntomas, audio de tos/voz e imágenes médicas mediante modelos de Machine Learning explicables (SHAP).</w:t>
      </w:r>
    </w:p>
    <w:p>
      <w:pPr>
        <w:pStyle w:val="ListBullet"/>
      </w:pPr>
      <w:r>
        <w:rPr>
          <w:rFonts w:ascii="Times New Roman" w:hAnsi="Times New Roman" w:cs="Times New Roman"/>
          <w:b w:val="0"/>
          <w:i w:val="0"/>
          <w:sz w:val="24"/>
        </w:rPr>
        <w:t>Centralizar y organizar la información clínica de pacientes: historial médico, citas, prescripciones, resultados de laboratorio, consentimientos y derivaciones.</w:t>
      </w:r>
    </w:p>
    <w:p>
      <w:pPr>
        <w:pStyle w:val="ListBullet"/>
      </w:pPr>
      <w:r>
        <w:rPr>
          <w:rFonts w:ascii="Times New Roman" w:hAnsi="Times New Roman" w:cs="Times New Roman"/>
          <w:b w:val="0"/>
          <w:i w:val="0"/>
          <w:sz w:val="24"/>
        </w:rPr>
        <w:t>Reducir los tiempos de orientación diagnóstica inicial mediante un chatbot clínico asistido por IA disponible en web y móvil.</w:t>
      </w:r>
    </w:p>
    <w:p>
      <w:pPr>
        <w:pStyle w:val="ListBullet"/>
      </w:pPr>
      <w:r>
        <w:rPr>
          <w:rFonts w:ascii="Times New Roman" w:hAnsi="Times New Roman" w:cs="Times New Roman"/>
          <w:b w:val="0"/>
          <w:i w:val="0"/>
          <w:sz w:val="24"/>
        </w:rPr>
        <w:t>Mejorar la disponibilidad y seguridad de la información mediante autenticación JWT, control de acceso por roles (RBAC) y persistencia en MongoDB/Redis.</w:t>
      </w:r>
    </w:p>
    <w:p>
      <w:pPr>
        <w:pStyle w:val="ListBullet"/>
      </w:pPr>
      <w:r>
        <w:rPr>
          <w:rFonts w:ascii="Times New Roman" w:hAnsi="Times New Roman" w:cs="Times New Roman"/>
          <w:b w:val="0"/>
          <w:i w:val="0"/>
          <w:sz w:val="24"/>
        </w:rPr>
        <w:t>Generar reportes y dashboards ejecutivos con indicadores clínicos y epidemiológicos para apoyar la toma de decisiones.</w:t>
      </w:r>
    </w:p>
    <w:p>
      <w:pPr>
        <w:pStyle w:val="ListBullet"/>
      </w:pPr>
      <w:r>
        <w:rPr>
          <w:rFonts w:ascii="Times New Roman" w:hAnsi="Times New Roman" w:cs="Times New Roman"/>
          <w:b w:val="0"/>
          <w:i w:val="0"/>
          <w:sz w:val="24"/>
        </w:rPr>
        <w:t>Facilitar la integración con sistemas externos: estándar HL7/FHIR, API de interoperabilidad institucional MINSA/SINADEF y dispositivos wearables (BLE, Health Connect, HealthKit) como capa adicional de validación clínica.</w:t>
      </w:r>
    </w:p>
    <w:p>
      <w:pPr>
        <w:spacing w:before="240" w:after="120"/>
      </w:pPr>
      <w:r>
        <w:rPr>
          <w:rFonts w:ascii="Times New Roman" w:hAnsi="Times New Roman" w:cs="Times New Roman"/>
          <w:b/>
          <w:i w:val="0"/>
          <w:sz w:val="32"/>
        </w:rPr>
        <w:t>4. Alcance</w:t>
      </w:r>
    </w:p>
    <w:p>
      <w:pPr>
        <w:jc w:val="both"/>
      </w:pPr>
      <w:r>
        <w:rPr>
          <w:rFonts w:ascii="Times New Roman" w:hAnsi="Times New Roman" w:cs="Times New Roman"/>
          <w:b w:val="0"/>
          <w:i w:val="0"/>
          <w:sz w:val="24"/>
        </w:rPr>
        <w:t>El proyecto comprende el análisis, diseño, desarrollo, pruebas y despliegue en ambiente de demostración/producción del sistema RespiCare (web, backend, servicios de IA y aplicación móvil).</w:t>
      </w:r>
    </w:p>
    <w:p>
      <w:pPr>
        <w:jc w:val="both"/>
      </w:pPr>
      <w:r>
        <w:rPr>
          <w:rFonts w:ascii="Times New Roman" w:hAnsi="Times New Roman" w:cs="Times New Roman"/>
          <w:b w:val="0"/>
          <w:i w:val="0"/>
          <w:sz w:val="24"/>
        </w:rPr>
        <w:t>Las principales funcionalidades consideradas son:</w:t>
      </w:r>
    </w:p>
    <w:p>
      <w:pPr>
        <w:pStyle w:val="ListBullet"/>
      </w:pPr>
      <w:r>
        <w:rPr>
          <w:rFonts w:ascii="Times New Roman" w:hAnsi="Times New Roman" w:cs="Times New Roman"/>
          <w:b w:val="0"/>
          <w:i w:val="0"/>
          <w:sz w:val="24"/>
        </w:rPr>
        <w:t>Gestión de usuarios y perfiles con control de acceso por roles (paciente, médico, administrador).</w:t>
      </w:r>
    </w:p>
    <w:p>
      <w:pPr>
        <w:pStyle w:val="ListBullet"/>
      </w:pPr>
      <w:r>
        <w:rPr>
          <w:rFonts w:ascii="Times New Roman" w:hAnsi="Times New Roman" w:cs="Times New Roman"/>
          <w:b w:val="0"/>
          <w:i w:val="0"/>
          <w:sz w:val="24"/>
        </w:rPr>
        <w:t>Registro y administración del historial clínico, citas médicas, prescripciones, resultados de laboratorio, consentimientos y derivaciones.</w:t>
      </w:r>
    </w:p>
    <w:p>
      <w:pPr>
        <w:pStyle w:val="ListBullet"/>
      </w:pPr>
      <w:r>
        <w:rPr>
          <w:rFonts w:ascii="Times New Roman" w:hAnsi="Times New Roman" w:cs="Times New Roman"/>
          <w:b w:val="0"/>
          <w:i w:val="0"/>
          <w:sz w:val="24"/>
        </w:rPr>
        <w:t>Motor de diagnóstico inteligente: análisis de síntomas, análisis de audio de tos/voz (Whisper) y análisis de imágenes médicas (ResNet50), con explicabilidad SHAP.</w:t>
      </w:r>
    </w:p>
    <w:p>
      <w:pPr>
        <w:pStyle w:val="ListBullet"/>
      </w:pPr>
      <w:r>
        <w:rPr>
          <w:rFonts w:ascii="Times New Roman" w:hAnsi="Times New Roman" w:cs="Times New Roman"/>
          <w:b w:val="0"/>
          <w:i w:val="0"/>
          <w:sz w:val="24"/>
        </w:rPr>
        <w:t>Chatbot clínico multimodal integrado en web y móvil.</w:t>
      </w:r>
    </w:p>
    <w:p>
      <w:pPr>
        <w:pStyle w:val="ListBullet"/>
      </w:pPr>
      <w:r>
        <w:rPr>
          <w:rFonts w:ascii="Times New Roman" w:hAnsi="Times New Roman" w:cs="Times New Roman"/>
          <w:b w:val="0"/>
          <w:i w:val="0"/>
          <w:sz w:val="24"/>
        </w:rPr>
        <w:t>Monitoreo de signos vitales mediante wearables (BLE, Health Connect en Android, HealthKit en iOS) como señal de validación clínica adicional del motor de IA.</w:t>
      </w:r>
    </w:p>
    <w:p>
      <w:pPr>
        <w:pStyle w:val="ListBullet"/>
      </w:pPr>
      <w:r>
        <w:rPr>
          <w:rFonts w:ascii="Times New Roman" w:hAnsi="Times New Roman" w:cs="Times New Roman"/>
          <w:b w:val="0"/>
          <w:i w:val="0"/>
          <w:sz w:val="24"/>
        </w:rPr>
        <w:t>Dashboards ejecutivos con indicadores clínicos y epidemiológicos.</w:t>
      </w:r>
    </w:p>
    <w:p>
      <w:pPr>
        <w:pStyle w:val="ListBullet"/>
      </w:pPr>
      <w:r>
        <w:rPr>
          <w:rFonts w:ascii="Times New Roman" w:hAnsi="Times New Roman" w:cs="Times New Roman"/>
          <w:b w:val="0"/>
          <w:i w:val="0"/>
          <w:sz w:val="24"/>
        </w:rPr>
        <w:t>Panel de control de accesos y seguridad (JWT, RBAC, rotación de tokens).</w:t>
      </w:r>
    </w:p>
    <w:p>
      <w:pPr>
        <w:pStyle w:val="ListBullet"/>
      </w:pPr>
      <w:r>
        <w:rPr>
          <w:rFonts w:ascii="Times New Roman" w:hAnsi="Times New Roman" w:cs="Times New Roman"/>
          <w:b w:val="0"/>
          <w:i w:val="0"/>
          <w:sz w:val="24"/>
        </w:rPr>
        <w:t>Integración con sistemas externos: estándar HL7/FHIR y API institucional MINSA/SINADEF.</w:t>
      </w:r>
    </w:p>
    <w:p>
      <w:pPr>
        <w:jc w:val="both"/>
      </w:pPr>
      <w:r>
        <w:rPr>
          <w:rFonts w:ascii="Times New Roman" w:hAnsi="Times New Roman" w:cs="Times New Roman"/>
          <w:b w:val="0"/>
          <w:i w:val="0"/>
          <w:sz w:val="24"/>
        </w:rPr>
        <w:t>Quedan fuera del alcance, salvo aprobación de cambios: la certificación regulatoria del sistema como dispositivo médico o software clínico certificado, el despliegue productivo formal ante DIRESA Tacna/MINSA con datos de pacientes reales, y la publicación de la aplicación móvil en tiendas públicas (Google Play/App Store) — actualmente se distribuye como APK debug/release generado mediante Capacitor.</w:t>
      </w:r>
    </w:p>
    <w:p>
      <w:pPr>
        <w:spacing w:before="240" w:after="120"/>
      </w:pPr>
      <w:r>
        <w:rPr>
          <w:rFonts w:ascii="Times New Roman" w:hAnsi="Times New Roman" w:cs="Times New Roman"/>
          <w:b/>
          <w:i w:val="0"/>
          <w:sz w:val="32"/>
        </w:rPr>
        <w:t>5. Avance del Proyecto</w:t>
      </w:r>
    </w:p>
    <w:tbl>
      <w:tblPr>
        <w:tblStyle w:val="LightGrid-Accent1"/>
        <w:tblW w:type="auto" w:w="0"/>
        <w:tblLook w:firstColumn="1" w:firstRow="1" w:lastColumn="0" w:lastRow="0" w:noHBand="0" w:noVBand="1" w:val="04A0"/>
      </w:tblPr>
      <w:tblGrid>
        <w:gridCol w:w="3024"/>
        <w:gridCol w:w="3024"/>
        <w:gridCol w:w="3024"/>
      </w:tblGrid>
      <w:tr>
        <w:tc>
          <w:tcPr>
            <w:tcW w:type="dxa" w:w="3024"/>
          </w:tcPr>
          <w:p>
            <w:pPr>
              <w:jc w:val="center"/>
            </w:pPr>
            <w:r/>
            <w:r>
              <w:rPr>
                <w:rFonts w:ascii="Times New Roman" w:hAnsi="Times New Roman" w:cs="Times New Roman"/>
                <w:b/>
                <w:i w:val="0"/>
                <w:sz w:val="24"/>
              </w:rPr>
              <w:t>Área</w:t>
            </w:r>
          </w:p>
        </w:tc>
        <w:tc>
          <w:tcPr>
            <w:tcW w:type="dxa" w:w="3024"/>
          </w:tcPr>
          <w:p>
            <w:pPr>
              <w:jc w:val="center"/>
            </w:pPr>
            <w:r/>
            <w:r>
              <w:rPr>
                <w:rFonts w:ascii="Times New Roman" w:hAnsi="Times New Roman" w:cs="Times New Roman"/>
                <w:b/>
                <w:i w:val="0"/>
                <w:sz w:val="24"/>
              </w:rPr>
              <w:t>Avance</w:t>
            </w:r>
          </w:p>
        </w:tc>
        <w:tc>
          <w:tcPr>
            <w:tcW w:type="dxa" w:w="3024"/>
          </w:tcPr>
          <w:p>
            <w:pPr>
              <w:jc w:val="center"/>
            </w:pPr>
            <w:r/>
            <w:r>
              <w:rPr>
                <w:rFonts w:ascii="Times New Roman" w:hAnsi="Times New Roman" w:cs="Times New Roman"/>
                <w:b/>
                <w:i w:val="0"/>
                <w:sz w:val="24"/>
              </w:rPr>
              <w:t>Estado</w:t>
            </w:r>
          </w:p>
        </w:tc>
      </w:tr>
      <w:tr>
        <w:tc>
          <w:tcPr>
            <w:tcW w:type="dxa" w:w="3024"/>
          </w:tcPr>
          <w:p>
            <w:pPr>
              <w:jc w:val="left"/>
            </w:pPr>
            <w:r/>
            <w:r>
              <w:rPr>
                <w:rFonts w:ascii="Times New Roman" w:hAnsi="Times New Roman" w:cs="Times New Roman"/>
                <w:b w:val="0"/>
                <w:i w:val="0"/>
                <w:sz w:val="24"/>
              </w:rPr>
              <w:t>Levantamiento de requerimientos</w:t>
            </w:r>
          </w:p>
        </w:tc>
        <w:tc>
          <w:tcPr>
            <w:tcW w:type="dxa" w:w="3024"/>
          </w:tcPr>
          <w:p>
            <w:pPr>
              <w:jc w:val="left"/>
            </w:pPr>
            <w:r/>
            <w:r>
              <w:rPr>
                <w:rFonts w:ascii="Times New Roman" w:hAnsi="Times New Roman" w:cs="Times New Roman"/>
                <w:b w:val="0"/>
                <w:i w:val="0"/>
                <w:sz w:val="24"/>
              </w:rPr>
              <w:t>100%</w:t>
            </w:r>
          </w:p>
        </w:tc>
        <w:tc>
          <w:tcPr>
            <w:tcW w:type="dxa" w:w="3024"/>
          </w:tcPr>
          <w:p>
            <w:pPr>
              <w:jc w:val="left"/>
            </w:pPr>
            <w:r/>
            <w:r>
              <w:rPr>
                <w:rFonts w:ascii="Times New Roman" w:hAnsi="Times New Roman" w:cs="Times New Roman"/>
                <w:b w:val="0"/>
                <w:i w:val="0"/>
                <w:sz w:val="24"/>
              </w:rPr>
              <w:t>Completado</w:t>
            </w:r>
          </w:p>
        </w:tc>
      </w:tr>
      <w:tr>
        <w:tc>
          <w:tcPr>
            <w:tcW w:type="dxa" w:w="3024"/>
          </w:tcPr>
          <w:p>
            <w:pPr>
              <w:jc w:val="left"/>
            </w:pPr>
            <w:r/>
            <w:r>
              <w:rPr>
                <w:rFonts w:ascii="Times New Roman" w:hAnsi="Times New Roman" w:cs="Times New Roman"/>
                <w:b w:val="0"/>
                <w:i w:val="0"/>
                <w:sz w:val="24"/>
              </w:rPr>
              <w:t>Análisis y diseño (arquitectura, modelo de datos, UML)</w:t>
            </w:r>
          </w:p>
        </w:tc>
        <w:tc>
          <w:tcPr>
            <w:tcW w:type="dxa" w:w="3024"/>
          </w:tcPr>
          <w:p>
            <w:pPr>
              <w:jc w:val="left"/>
            </w:pPr>
            <w:r/>
            <w:r>
              <w:rPr>
                <w:rFonts w:ascii="Times New Roman" w:hAnsi="Times New Roman" w:cs="Times New Roman"/>
                <w:b w:val="0"/>
                <w:i w:val="0"/>
                <w:sz w:val="24"/>
              </w:rPr>
              <w:t>100%</w:t>
            </w:r>
          </w:p>
        </w:tc>
        <w:tc>
          <w:tcPr>
            <w:tcW w:type="dxa" w:w="3024"/>
          </w:tcPr>
          <w:p>
            <w:pPr>
              <w:jc w:val="left"/>
            </w:pPr>
            <w:r/>
            <w:r>
              <w:rPr>
                <w:rFonts w:ascii="Times New Roman" w:hAnsi="Times New Roman" w:cs="Times New Roman"/>
                <w:b w:val="0"/>
                <w:i w:val="0"/>
                <w:sz w:val="24"/>
              </w:rPr>
              <w:t>Completado</w:t>
            </w:r>
          </w:p>
        </w:tc>
      </w:tr>
      <w:tr>
        <w:tc>
          <w:tcPr>
            <w:tcW w:type="dxa" w:w="3024"/>
          </w:tcPr>
          <w:p>
            <w:pPr>
              <w:jc w:val="left"/>
            </w:pPr>
            <w:r/>
            <w:r>
              <w:rPr>
                <w:rFonts w:ascii="Times New Roman" w:hAnsi="Times New Roman" w:cs="Times New Roman"/>
                <w:b w:val="0"/>
                <w:i w:val="0"/>
                <w:sz w:val="24"/>
              </w:rPr>
              <w:t>Desarrollo (14 iteraciones: Sprint 0 a Sprint 13)</w:t>
            </w:r>
          </w:p>
        </w:tc>
        <w:tc>
          <w:tcPr>
            <w:tcW w:type="dxa" w:w="3024"/>
          </w:tcPr>
          <w:p>
            <w:pPr>
              <w:jc w:val="left"/>
            </w:pPr>
            <w:r/>
            <w:r>
              <w:rPr>
                <w:rFonts w:ascii="Times New Roman" w:hAnsi="Times New Roman" w:cs="Times New Roman"/>
                <w:b w:val="0"/>
                <w:i w:val="0"/>
                <w:sz w:val="24"/>
              </w:rPr>
              <w:t>100%</w:t>
            </w:r>
          </w:p>
        </w:tc>
        <w:tc>
          <w:tcPr>
            <w:tcW w:type="dxa" w:w="3024"/>
          </w:tcPr>
          <w:p>
            <w:pPr>
              <w:jc w:val="left"/>
            </w:pPr>
            <w:r/>
            <w:r>
              <w:rPr>
                <w:rFonts w:ascii="Times New Roman" w:hAnsi="Times New Roman" w:cs="Times New Roman"/>
                <w:b w:val="0"/>
                <w:i w:val="0"/>
                <w:sz w:val="24"/>
              </w:rPr>
              <w:t>Completado</w:t>
            </w:r>
          </w:p>
        </w:tc>
      </w:tr>
      <w:tr>
        <w:tc>
          <w:tcPr>
            <w:tcW w:type="dxa" w:w="3024"/>
          </w:tcPr>
          <w:p>
            <w:pPr>
              <w:jc w:val="left"/>
            </w:pPr>
            <w:r/>
            <w:r>
              <w:rPr>
                <w:rFonts w:ascii="Times New Roman" w:hAnsi="Times New Roman" w:cs="Times New Roman"/>
                <w:b w:val="0"/>
                <w:i w:val="0"/>
                <w:sz w:val="24"/>
              </w:rPr>
              <w:t>Pruebas (cobertura global ponderada 82.78%, meta 80% superada)</w:t>
            </w:r>
          </w:p>
        </w:tc>
        <w:tc>
          <w:tcPr>
            <w:tcW w:type="dxa" w:w="3024"/>
          </w:tcPr>
          <w:p>
            <w:pPr>
              <w:jc w:val="left"/>
            </w:pPr>
            <w:r/>
            <w:r>
              <w:rPr>
                <w:rFonts w:ascii="Times New Roman" w:hAnsi="Times New Roman" w:cs="Times New Roman"/>
                <w:b w:val="0"/>
                <w:i w:val="0"/>
                <w:sz w:val="24"/>
              </w:rPr>
              <w:t>83%</w:t>
            </w:r>
          </w:p>
        </w:tc>
        <w:tc>
          <w:tcPr>
            <w:tcW w:type="dxa" w:w="3024"/>
          </w:tcPr>
          <w:p>
            <w:pPr>
              <w:jc w:val="left"/>
            </w:pPr>
            <w:r/>
            <w:r>
              <w:rPr>
                <w:rFonts w:ascii="Times New Roman" w:hAnsi="Times New Roman" w:cs="Times New Roman"/>
                <w:b w:val="0"/>
                <w:i w:val="0"/>
                <w:sz w:val="24"/>
              </w:rPr>
              <w:t>En progreso</w:t>
            </w:r>
          </w:p>
        </w:tc>
      </w:tr>
      <w:tr>
        <w:tc>
          <w:tcPr>
            <w:tcW w:type="dxa" w:w="3024"/>
          </w:tcPr>
          <w:p>
            <w:pPr>
              <w:jc w:val="left"/>
            </w:pPr>
            <w:r/>
            <w:r>
              <w:rPr>
                <w:rFonts w:ascii="Times New Roman" w:hAnsi="Times New Roman" w:cs="Times New Roman"/>
                <w:b w:val="0"/>
                <w:i w:val="0"/>
                <w:sz w:val="24"/>
              </w:rPr>
              <w:t>Implementación / despliegue (web y backend activos; app móvil en APK)</w:t>
            </w:r>
          </w:p>
        </w:tc>
        <w:tc>
          <w:tcPr>
            <w:tcW w:type="dxa" w:w="3024"/>
          </w:tcPr>
          <w:p>
            <w:pPr>
              <w:jc w:val="left"/>
            </w:pPr>
            <w:r/>
            <w:r>
              <w:rPr>
                <w:rFonts w:ascii="Times New Roman" w:hAnsi="Times New Roman" w:cs="Times New Roman"/>
                <w:b w:val="0"/>
                <w:i w:val="0"/>
                <w:sz w:val="24"/>
              </w:rPr>
              <w:t>85%</w:t>
            </w:r>
          </w:p>
        </w:tc>
        <w:tc>
          <w:tcPr>
            <w:tcW w:type="dxa" w:w="3024"/>
          </w:tcPr>
          <w:p>
            <w:pPr>
              <w:jc w:val="left"/>
            </w:pPr>
            <w:r/>
            <w:r>
              <w:rPr>
                <w:rFonts w:ascii="Times New Roman" w:hAnsi="Times New Roman" w:cs="Times New Roman"/>
                <w:b w:val="0"/>
                <w:i w:val="0"/>
                <w:sz w:val="24"/>
              </w:rPr>
              <w:t>En progreso</w:t>
            </w:r>
          </w:p>
        </w:tc>
      </w:tr>
      <w:tr>
        <w:tc>
          <w:tcPr>
            <w:tcW w:type="dxa" w:w="3024"/>
          </w:tcPr>
          <w:p>
            <w:pPr>
              <w:jc w:val="left"/>
            </w:pPr>
            <w:r/>
            <w:r>
              <w:rPr>
                <w:rFonts w:ascii="Times New Roman" w:hAnsi="Times New Roman" w:cs="Times New Roman"/>
                <w:b w:val="0"/>
                <w:i w:val="0"/>
                <w:sz w:val="24"/>
              </w:rPr>
              <w:t>Documentación de cierre (OpenAPI, README/ROADMAP, matriz de trazabilidad Sprint 13)</w:t>
            </w:r>
          </w:p>
        </w:tc>
        <w:tc>
          <w:tcPr>
            <w:tcW w:type="dxa" w:w="3024"/>
          </w:tcPr>
          <w:p>
            <w:pPr>
              <w:jc w:val="left"/>
            </w:pPr>
            <w:r/>
            <w:r>
              <w:rPr>
                <w:rFonts w:ascii="Times New Roman" w:hAnsi="Times New Roman" w:cs="Times New Roman"/>
                <w:b w:val="0"/>
                <w:i w:val="0"/>
                <w:sz w:val="24"/>
              </w:rPr>
              <w:t>90%</w:t>
            </w:r>
          </w:p>
        </w:tc>
        <w:tc>
          <w:tcPr>
            <w:tcW w:type="dxa" w:w="3024"/>
          </w:tcPr>
          <w:p>
            <w:pPr>
              <w:jc w:val="left"/>
            </w:pPr>
            <w:r/>
            <w:r>
              <w:rPr>
                <w:rFonts w:ascii="Times New Roman" w:hAnsi="Times New Roman" w:cs="Times New Roman"/>
                <w:b w:val="0"/>
                <w:i w:val="0"/>
                <w:sz w:val="24"/>
              </w:rPr>
              <w:t>En progreso</w:t>
            </w:r>
          </w:p>
        </w:tc>
      </w:tr>
      <w:tr>
        <w:tc>
          <w:tcPr>
            <w:tcW w:type="dxa" w:w="3024"/>
          </w:tcPr>
          <w:p>
            <w:pPr>
              <w:jc w:val="left"/>
            </w:pPr>
            <w:r/>
            <w:r>
              <w:rPr>
                <w:rFonts w:ascii="Times New Roman" w:hAnsi="Times New Roman" w:cs="Times New Roman"/>
                <w:b/>
                <w:i w:val="0"/>
                <w:sz w:val="24"/>
              </w:rPr>
              <w:t>Avance general</w:t>
            </w:r>
          </w:p>
        </w:tc>
        <w:tc>
          <w:tcPr>
            <w:tcW w:type="dxa" w:w="3024"/>
          </w:tcPr>
          <w:p>
            <w:pPr>
              <w:jc w:val="left"/>
            </w:pPr>
            <w:r/>
            <w:r>
              <w:rPr>
                <w:rFonts w:ascii="Times New Roman" w:hAnsi="Times New Roman" w:cs="Times New Roman"/>
                <w:b/>
                <w:i w:val="0"/>
                <w:sz w:val="24"/>
              </w:rPr>
              <w:t>93%</w:t>
            </w:r>
          </w:p>
        </w:tc>
        <w:tc>
          <w:tcPr>
            <w:tcW w:type="dxa" w:w="3024"/>
          </w:tcPr>
          <w:p>
            <w:pPr>
              <w:jc w:val="left"/>
            </w:pPr>
            <w:r/>
            <w:r>
              <w:rPr>
                <w:rFonts w:ascii="Times New Roman" w:hAnsi="Times New Roman" w:cs="Times New Roman"/>
                <w:b/>
                <w:i w:val="0"/>
                <w:sz w:val="24"/>
              </w:rPr>
              <w:t>En progreso</w:t>
            </w:r>
          </w:p>
        </w:tc>
      </w:tr>
    </w:tbl>
    <w:p/>
    <w:p>
      <w:pPr>
        <w:spacing w:before="240" w:after="120"/>
      </w:pPr>
      <w:r>
        <w:rPr>
          <w:rFonts w:ascii="Times New Roman" w:hAnsi="Times New Roman" w:cs="Times New Roman"/>
          <w:b/>
          <w:i w:val="0"/>
          <w:sz w:val="32"/>
        </w:rPr>
        <w:t>6. Principales Entregables</w:t>
      </w:r>
    </w:p>
    <w:p>
      <w:pPr>
        <w:pStyle w:val="ListBullet"/>
      </w:pPr>
      <w:r>
        <w:rPr>
          <w:rFonts w:ascii="Times New Roman" w:hAnsi="Times New Roman" w:cs="Times New Roman"/>
          <w:b w:val="0"/>
          <w:i w:val="0"/>
          <w:sz w:val="24"/>
        </w:rPr>
        <w:t>Documento de requerimientos y planes de iteración por sprint (Sprint 0 a Sprint 13).</w:t>
      </w:r>
    </w:p>
    <w:p>
      <w:pPr>
        <w:pStyle w:val="ListBullet"/>
      </w:pPr>
      <w:r>
        <w:rPr>
          <w:rFonts w:ascii="Times New Roman" w:hAnsi="Times New Roman" w:cs="Times New Roman"/>
          <w:b w:val="0"/>
          <w:i w:val="0"/>
          <w:sz w:val="24"/>
        </w:rPr>
        <w:t>Diseño funcional y técnico, diagramas de arquitectura y modelo de datos.</w:t>
      </w:r>
    </w:p>
    <w:p>
      <w:pPr>
        <w:pStyle w:val="ListBullet"/>
      </w:pPr>
      <w:r>
        <w:rPr>
          <w:rFonts w:ascii="Times New Roman" w:hAnsi="Times New Roman" w:cs="Times New Roman"/>
          <w:b w:val="0"/>
          <w:i w:val="0"/>
          <w:sz w:val="24"/>
        </w:rPr>
        <w:t>Arquitectura de la solución: backend Node.js/Express/TypeScript, servicios de IA en Python/FastAPI, frontend React 18, app móvil Next.js + Capacitor, orquestación con Docker Compose.</w:t>
      </w:r>
    </w:p>
    <w:p>
      <w:pPr>
        <w:pStyle w:val="ListBullet"/>
      </w:pPr>
      <w:r>
        <w:rPr>
          <w:rFonts w:ascii="Times New Roman" w:hAnsi="Times New Roman" w:cs="Times New Roman"/>
          <w:b w:val="0"/>
          <w:i w:val="0"/>
          <w:sz w:val="24"/>
        </w:rPr>
        <w:t>Base de datos MongoDB 6.0 con caché Redis 7.</w:t>
      </w:r>
    </w:p>
    <w:p>
      <w:pPr>
        <w:pStyle w:val="ListBullet"/>
      </w:pPr>
      <w:r>
        <w:rPr>
          <w:rFonts w:ascii="Times New Roman" w:hAnsi="Times New Roman" w:cs="Times New Roman"/>
          <w:b w:val="0"/>
          <w:i w:val="0"/>
          <w:sz w:val="24"/>
        </w:rPr>
        <w:t>Aplicación web (dashboard clínico) y aplicación móvil (Android APK).</w:t>
      </w:r>
    </w:p>
    <w:p>
      <w:pPr>
        <w:pStyle w:val="ListBullet"/>
      </w:pPr>
      <w:r>
        <w:rPr>
          <w:rFonts w:ascii="Times New Roman" w:hAnsi="Times New Roman" w:cs="Times New Roman"/>
          <w:b w:val="0"/>
          <w:i w:val="0"/>
          <w:sz w:val="24"/>
        </w:rPr>
        <w:t>Especificaciones y evidencias de casos de prueba (unitarios, integración, alfa) por requerimiento funcional.</w:t>
      </w:r>
    </w:p>
    <w:p>
      <w:pPr>
        <w:pStyle w:val="ListBullet"/>
      </w:pPr>
      <w:r>
        <w:rPr>
          <w:rFonts w:ascii="Times New Roman" w:hAnsi="Times New Roman" w:cs="Times New Roman"/>
          <w:b w:val="0"/>
          <w:i w:val="0"/>
          <w:sz w:val="24"/>
        </w:rPr>
        <w:t>Documentación técnica: informes de solución tecnológica, resultados de plan de iteraciones, resultados de pruebas, roadmaps de módulos (ML, móvil, auditoría).</w:t>
      </w:r>
    </w:p>
    <w:p>
      <w:pPr>
        <w:pStyle w:val="ListBullet"/>
      </w:pPr>
      <w:r>
        <w:rPr>
          <w:rFonts w:ascii="Times New Roman" w:hAnsi="Times New Roman" w:cs="Times New Roman"/>
          <w:b w:val="0"/>
          <w:i w:val="0"/>
          <w:sz w:val="24"/>
        </w:rPr>
        <w:t>Sistema desplegado en ambiente de demostración/producción (Docker + Nginx + Cloudflare Tunnel; frontend en Vercel).</w:t>
      </w:r>
    </w:p>
    <w:p>
      <w:pPr>
        <w:spacing w:before="240" w:after="120"/>
      </w:pPr>
      <w:r>
        <w:rPr>
          <w:rFonts w:ascii="Times New Roman" w:hAnsi="Times New Roman" w:cs="Times New Roman"/>
          <w:b/>
          <w:i w:val="0"/>
          <w:sz w:val="32"/>
        </w:rPr>
        <w:t>7. Riesgos y Problemas Identificados</w:t>
      </w:r>
    </w:p>
    <w:tbl>
      <w:tblPr>
        <w:tblStyle w:val="LightGrid-Accent1"/>
        <w:tblW w:type="auto" w:w="0"/>
        <w:tblLook w:firstColumn="1" w:firstRow="1" w:lastColumn="0" w:lastRow="0" w:noHBand="0" w:noVBand="1" w:val="04A0"/>
      </w:tblPr>
      <w:tblGrid>
        <w:gridCol w:w="3024"/>
        <w:gridCol w:w="3024"/>
        <w:gridCol w:w="3024"/>
      </w:tblGrid>
      <w:tr>
        <w:tc>
          <w:tcPr>
            <w:tcW w:type="dxa" w:w="3024"/>
          </w:tcPr>
          <w:p>
            <w:pPr>
              <w:jc w:val="center"/>
            </w:pPr>
            <w:r/>
            <w:r>
              <w:rPr>
                <w:rFonts w:ascii="Times New Roman" w:hAnsi="Times New Roman" w:cs="Times New Roman"/>
                <w:b/>
                <w:i w:val="0"/>
                <w:sz w:val="24"/>
              </w:rPr>
              <w:t>Riesgo / Problema</w:t>
            </w:r>
          </w:p>
        </w:tc>
        <w:tc>
          <w:tcPr>
            <w:tcW w:type="dxa" w:w="3024"/>
          </w:tcPr>
          <w:p>
            <w:pPr>
              <w:jc w:val="center"/>
            </w:pPr>
            <w:r/>
            <w:r>
              <w:rPr>
                <w:rFonts w:ascii="Times New Roman" w:hAnsi="Times New Roman" w:cs="Times New Roman"/>
                <w:b/>
                <w:i w:val="0"/>
                <w:sz w:val="24"/>
              </w:rPr>
              <w:t>Impacto</w:t>
            </w:r>
          </w:p>
        </w:tc>
        <w:tc>
          <w:tcPr>
            <w:tcW w:type="dxa" w:w="3024"/>
          </w:tcPr>
          <w:p>
            <w:pPr>
              <w:jc w:val="center"/>
            </w:pPr>
            <w:r/>
            <w:r>
              <w:rPr>
                <w:rFonts w:ascii="Times New Roman" w:hAnsi="Times New Roman" w:cs="Times New Roman"/>
                <w:b/>
                <w:i w:val="0"/>
                <w:sz w:val="24"/>
              </w:rPr>
              <w:t>Acción propuesta</w:t>
            </w:r>
          </w:p>
        </w:tc>
      </w:tr>
      <w:tr>
        <w:tc>
          <w:tcPr>
            <w:tcW w:type="dxa" w:w="3024"/>
          </w:tcPr>
          <w:p>
            <w:pPr>
              <w:jc w:val="left"/>
            </w:pPr>
            <w:r/>
            <w:r>
              <w:rPr>
                <w:rFonts w:ascii="Times New Roman" w:hAnsi="Times New Roman" w:cs="Times New Roman"/>
                <w:b w:val="0"/>
                <w:i w:val="0"/>
                <w:sz w:val="24"/>
              </w:rPr>
              <w:t xml:space="preserve">Sesgo demográfico en el modelo XGBoost (7.3 pp de diferencia de </w:t>
            </w:r>
            <w:r>
              <w:rPr>
                <w:rFonts w:ascii="Times New Roman" w:hAnsi="Times New Roman" w:cs="Times New Roman"/>
                <w:b w:val="0"/>
                <w:i/>
                <w:sz w:val="24"/>
              </w:rPr>
              <w:t>accuracy</w:t>
            </w:r>
            <w:r>
              <w:rPr>
                <w:rFonts w:ascii="Times New Roman" w:hAnsi="Times New Roman" w:cs="Times New Roman"/>
                <w:b w:val="0"/>
                <w:i w:val="0"/>
                <w:sz w:val="24"/>
              </w:rPr>
              <w:t xml:space="preserve"> entre segmentos etarios ≥70 años vs. 18-40 años)</w:t>
            </w:r>
          </w:p>
        </w:tc>
        <w:tc>
          <w:tcPr>
            <w:tcW w:type="dxa" w:w="3024"/>
          </w:tcPr>
          <w:p>
            <w:pPr>
              <w:jc w:val="left"/>
            </w:pPr>
            <w:r/>
            <w:r>
              <w:rPr>
                <w:rFonts w:ascii="Times New Roman" w:hAnsi="Times New Roman" w:cs="Times New Roman"/>
                <w:b w:val="0"/>
                <w:i w:val="0"/>
                <w:sz w:val="24"/>
              </w:rPr>
              <w:t>Alto</w:t>
            </w:r>
          </w:p>
        </w:tc>
        <w:tc>
          <w:tcPr>
            <w:tcW w:type="dxa" w:w="3024"/>
          </w:tcPr>
          <w:p>
            <w:pPr>
              <w:jc w:val="left"/>
            </w:pPr>
            <w:r/>
            <w:r>
              <w:rPr>
                <w:rFonts w:ascii="Times New Roman" w:hAnsi="Times New Roman" w:cs="Times New Roman"/>
                <w:b w:val="0"/>
                <w:i w:val="0"/>
                <w:sz w:val="24"/>
              </w:rPr>
              <w:t>Rebalancear el dataset de entrenamiento con mayor representación de adultos mayores; umbral máximo de diferencia entre segmentos ≤ 3%</w:t>
            </w:r>
          </w:p>
        </w:tc>
      </w:tr>
      <w:tr>
        <w:tc>
          <w:tcPr>
            <w:tcW w:type="dxa" w:w="3024"/>
          </w:tcPr>
          <w:p>
            <w:pPr>
              <w:jc w:val="left"/>
            </w:pPr>
            <w:r/>
            <w:r>
              <w:rPr>
                <w:rFonts w:ascii="Times New Roman" w:hAnsi="Times New Roman" w:cs="Times New Roman"/>
                <w:b w:val="0"/>
                <w:i w:val="0"/>
                <w:sz w:val="24"/>
              </w:rPr>
              <w:t>Brecha residual de accesibilidad WCAG (contraste en tema oscuro)</w:t>
            </w:r>
          </w:p>
        </w:tc>
        <w:tc>
          <w:tcPr>
            <w:tcW w:type="dxa" w:w="3024"/>
          </w:tcPr>
          <w:p>
            <w:pPr>
              <w:jc w:val="left"/>
            </w:pPr>
            <w:r/>
            <w:r>
              <w:rPr>
                <w:rFonts w:ascii="Times New Roman" w:hAnsi="Times New Roman" w:cs="Times New Roman"/>
                <w:b w:val="0"/>
                <w:i w:val="0"/>
                <w:sz w:val="24"/>
              </w:rPr>
              <w:t>Medio</w:t>
            </w:r>
          </w:p>
        </w:tc>
        <w:tc>
          <w:tcPr>
            <w:tcW w:type="dxa" w:w="3024"/>
          </w:tcPr>
          <w:p>
            <w:pPr>
              <w:jc w:val="left"/>
            </w:pPr>
            <w:r/>
            <w:r>
              <w:rPr>
                <w:rFonts w:ascii="Times New Roman" w:hAnsi="Times New Roman" w:cs="Times New Roman"/>
                <w:b w:val="0"/>
                <w:i w:val="0"/>
                <w:sz w:val="24"/>
              </w:rPr>
              <w:t>Ajustar la paleta de colores del tema oscuro y re-ejecutar pruebas de accesibilidad automatizadas</w:t>
            </w:r>
          </w:p>
        </w:tc>
      </w:tr>
      <w:tr>
        <w:tc>
          <w:tcPr>
            <w:tcW w:type="dxa" w:w="3024"/>
          </w:tcPr>
          <w:p>
            <w:pPr>
              <w:jc w:val="left"/>
            </w:pPr>
            <w:r/>
            <w:r>
              <w:rPr>
                <w:rFonts w:ascii="Times New Roman" w:hAnsi="Times New Roman" w:cs="Times New Roman"/>
                <w:b w:val="0"/>
                <w:i w:val="0"/>
                <w:sz w:val="24"/>
              </w:rPr>
              <w:t>Verificación nativa de wearables (Health Connect/HealthKit) pendiente sobre dispositivo/emulador real</w:t>
            </w:r>
          </w:p>
        </w:tc>
        <w:tc>
          <w:tcPr>
            <w:tcW w:type="dxa" w:w="3024"/>
          </w:tcPr>
          <w:p>
            <w:pPr>
              <w:jc w:val="left"/>
            </w:pPr>
            <w:r/>
            <w:r>
              <w:rPr>
                <w:rFonts w:ascii="Times New Roman" w:hAnsi="Times New Roman" w:cs="Times New Roman"/>
                <w:b w:val="0"/>
                <w:i w:val="0"/>
                <w:sz w:val="24"/>
              </w:rPr>
              <w:t>Medio</w:t>
            </w:r>
          </w:p>
        </w:tc>
        <w:tc>
          <w:tcPr>
            <w:tcW w:type="dxa" w:w="3024"/>
          </w:tcPr>
          <w:p>
            <w:pPr>
              <w:jc w:val="left"/>
            </w:pPr>
            <w:r/>
            <w:r>
              <w:rPr>
                <w:rFonts w:ascii="Times New Roman" w:hAnsi="Times New Roman" w:cs="Times New Roman"/>
                <w:b w:val="0"/>
                <w:i w:val="0"/>
                <w:sz w:val="24"/>
              </w:rPr>
              <w:t>Generar proyectos nativos (</w:t>
            </w:r>
            <w:r>
              <w:rPr>
                <w:rFonts w:ascii="Consolas" w:hAnsi="Consolas" w:cs="Consolas"/>
                <w:b w:val="0"/>
                <w:i w:val="0"/>
                <w:sz w:val="18"/>
              </w:rPr>
              <w:t>npx cap add android/ios</w:t>
            </w:r>
            <w:r>
              <w:rPr>
                <w:rFonts w:ascii="Times New Roman" w:hAnsi="Times New Roman" w:cs="Times New Roman"/>
                <w:b w:val="0"/>
                <w:i w:val="0"/>
                <w:sz w:val="24"/>
              </w:rPr>
              <w:t>) y validar en Android Studio/Xcode antes de la puesta en producción</w:t>
            </w:r>
          </w:p>
        </w:tc>
      </w:tr>
      <w:tr>
        <w:tc>
          <w:tcPr>
            <w:tcW w:type="dxa" w:w="3024"/>
          </w:tcPr>
          <w:p>
            <w:pPr>
              <w:jc w:val="left"/>
            </w:pPr>
            <w:r/>
            <w:r>
              <w:rPr>
                <w:rFonts w:ascii="Times New Roman" w:hAnsi="Times New Roman" w:cs="Times New Roman"/>
                <w:b w:val="0"/>
                <w:i w:val="0"/>
                <w:sz w:val="24"/>
              </w:rPr>
              <w:t>Cierre de documentación técnica del Sprint 13 (OpenAPI dedicado, README/ROADMAP, matriz de trazabilidad)</w:t>
            </w:r>
          </w:p>
        </w:tc>
        <w:tc>
          <w:tcPr>
            <w:tcW w:type="dxa" w:w="3024"/>
          </w:tcPr>
          <w:p>
            <w:pPr>
              <w:jc w:val="left"/>
            </w:pPr>
            <w:r/>
            <w:r>
              <w:rPr>
                <w:rFonts w:ascii="Times New Roman" w:hAnsi="Times New Roman" w:cs="Times New Roman"/>
                <w:b w:val="0"/>
                <w:i w:val="0"/>
                <w:sz w:val="24"/>
              </w:rPr>
              <w:t>Bajo</w:t>
            </w:r>
          </w:p>
        </w:tc>
        <w:tc>
          <w:tcPr>
            <w:tcW w:type="dxa" w:w="3024"/>
          </w:tcPr>
          <w:p>
            <w:pPr>
              <w:jc w:val="left"/>
            </w:pPr>
            <w:r/>
            <w:r>
              <w:rPr>
                <w:rFonts w:ascii="Times New Roman" w:hAnsi="Times New Roman" w:cs="Times New Roman"/>
                <w:b w:val="0"/>
                <w:i w:val="0"/>
                <w:sz w:val="24"/>
              </w:rPr>
              <w:t>Completar la documentación de cierre en el sprint de estabilización final</w:t>
            </w:r>
          </w:p>
        </w:tc>
      </w:tr>
      <w:tr>
        <w:tc>
          <w:tcPr>
            <w:tcW w:type="dxa" w:w="3024"/>
          </w:tcPr>
          <w:p>
            <w:pPr>
              <w:jc w:val="left"/>
            </w:pPr>
            <w:r/>
            <w:r>
              <w:rPr>
                <w:rFonts w:ascii="Times New Roman" w:hAnsi="Times New Roman" w:cs="Times New Roman"/>
                <w:b w:val="0"/>
                <w:i w:val="0"/>
                <w:sz w:val="24"/>
              </w:rPr>
              <w:t>Dependencia de PyTorch en entorno Windows para 9 archivos de test de IA (bloqueo local, no afecta CI)</w:t>
            </w:r>
          </w:p>
        </w:tc>
        <w:tc>
          <w:tcPr>
            <w:tcW w:type="dxa" w:w="3024"/>
          </w:tcPr>
          <w:p>
            <w:pPr>
              <w:jc w:val="left"/>
            </w:pPr>
            <w:r/>
            <w:r>
              <w:rPr>
                <w:rFonts w:ascii="Times New Roman" w:hAnsi="Times New Roman" w:cs="Times New Roman"/>
                <w:b w:val="0"/>
                <w:i w:val="0"/>
                <w:sz w:val="24"/>
              </w:rPr>
              <w:t>Bajo</w:t>
            </w:r>
          </w:p>
        </w:tc>
        <w:tc>
          <w:tcPr>
            <w:tcW w:type="dxa" w:w="3024"/>
          </w:tcPr>
          <w:p>
            <w:pPr>
              <w:jc w:val="left"/>
            </w:pPr>
            <w:r/>
            <w:r>
              <w:rPr>
                <w:rFonts w:ascii="Times New Roman" w:hAnsi="Times New Roman" w:cs="Times New Roman"/>
                <w:b w:val="0"/>
                <w:i w:val="0"/>
                <w:sz w:val="24"/>
              </w:rPr>
              <w:t>Ejecutar dichas suites exclusivamente en el pipeline Linux de GitHub Actions (ya mitigado)</w:t>
            </w:r>
          </w:p>
        </w:tc>
      </w:tr>
    </w:tbl>
    <w:p/>
    <w:p>
      <w:pPr>
        <w:spacing w:before="240" w:after="120"/>
      </w:pPr>
      <w:r>
        <w:rPr>
          <w:rFonts w:ascii="Times New Roman" w:hAnsi="Times New Roman" w:cs="Times New Roman"/>
          <w:b/>
          <w:i w:val="0"/>
          <w:sz w:val="32"/>
        </w:rPr>
        <w:t>8. Recursos</w:t>
      </w:r>
    </w:p>
    <w:p>
      <w:pPr>
        <w:jc w:val="both"/>
      </w:pPr>
      <w:r>
        <w:rPr>
          <w:rFonts w:ascii="Times New Roman" w:hAnsi="Times New Roman" w:cs="Times New Roman"/>
          <w:b/>
          <w:i w:val="0"/>
          <w:sz w:val="24"/>
        </w:rPr>
        <w:t>Equipo humano:</w:t>
      </w:r>
      <w:r>
        <w:rPr>
          <w:rFonts w:ascii="Times New Roman" w:hAnsi="Times New Roman" w:cs="Times New Roman"/>
          <w:b w:val="0"/>
          <w:i w:val="0"/>
          <w:sz w:val="24"/>
        </w:rPr>
        <w:t xml:space="preserve"> Cesar Fabian Chávez Linares y Piero Paja de la Cruz, cubriendo de forma conjunta los roles de Líder de proyecto / Scrum Master, Backend Developer (Node.js/TypeScript), Frontend Developer (React), Mobile Developer (Next.js/Capacitor), Ingeniero(a) de IA/ML (Python/FastAPI) y QA/Tester.</w:t>
      </w:r>
    </w:p>
    <w:p>
      <w:pPr>
        <w:jc w:val="both"/>
      </w:pPr>
      <w:r>
        <w:rPr>
          <w:rFonts w:ascii="Times New Roman" w:hAnsi="Times New Roman" w:cs="Times New Roman"/>
          <w:b/>
          <w:i w:val="0"/>
          <w:sz w:val="24"/>
        </w:rPr>
        <w:t>Recursos tecnológicos:</w:t>
      </w:r>
      <w:r>
        <w:rPr>
          <w:rFonts w:ascii="Times New Roman" w:hAnsi="Times New Roman" w:cs="Times New Roman"/>
          <w:b w:val="0"/>
          <w:i w:val="0"/>
          <w:sz w:val="24"/>
        </w:rPr>
        <w:t xml:space="preserve"> Docker Compose (orquestación de servicios), MongoDB 6.0 y Redis 7 (persistencia y caché), Nginx y Cloudflare Tunnel (proxy inverso y exposición segura), GitHub y GitHub Actions (control de versiones y CI/CD), Vercel (despliegue del frontend web), Jest, pytest, SonarQube, </w:t>
      </w:r>
      <w:r>
        <w:rPr>
          <w:rFonts w:ascii="Consolas" w:hAnsi="Consolas" w:cs="Consolas"/>
          <w:b w:val="0"/>
          <w:i w:val="0"/>
          <w:sz w:val="18"/>
        </w:rPr>
        <w:t>tsc --noEmit</w:t>
      </w:r>
      <w:r>
        <w:rPr>
          <w:rFonts w:ascii="Times New Roman" w:hAnsi="Times New Roman" w:cs="Times New Roman"/>
          <w:b w:val="0"/>
          <w:i w:val="0"/>
          <w:sz w:val="24"/>
        </w:rPr>
        <w:t xml:space="preserve"> y </w:t>
      </w:r>
      <w:r>
        <w:rPr>
          <w:rFonts w:ascii="Consolas" w:hAnsi="Consolas" w:cs="Consolas"/>
          <w:b w:val="0"/>
          <w:i w:val="0"/>
          <w:sz w:val="18"/>
        </w:rPr>
        <w:t>mypy</w:t>
      </w:r>
      <w:r>
        <w:rPr>
          <w:rFonts w:ascii="Times New Roman" w:hAnsi="Times New Roman" w:cs="Times New Roman"/>
          <w:b w:val="0"/>
          <w:i w:val="0"/>
          <w:sz w:val="24"/>
        </w:rPr>
        <w:t xml:space="preserve"> (herramientas de prueba y análisis estático), Docker/coverage.xml (medición de cobertura).</w:t>
      </w:r>
    </w:p>
    <w:p>
      <w:pPr>
        <w:spacing w:before="240" w:after="120"/>
      </w:pPr>
      <w:r>
        <w:rPr>
          <w:rFonts w:ascii="Times New Roman" w:hAnsi="Times New Roman" w:cs="Times New Roman"/>
          <w:b/>
          <w:i w:val="0"/>
          <w:sz w:val="32"/>
        </w:rPr>
        <w:t>9. Cronograma</w:t>
      </w:r>
    </w:p>
    <w:p>
      <w:pPr>
        <w:jc w:val="both"/>
      </w:pPr>
      <w:r>
        <w:rPr>
          <w:rFonts w:ascii="Times New Roman" w:hAnsi="Times New Roman" w:cs="Times New Roman"/>
          <w:b w:val="0"/>
          <w:i w:val="0"/>
          <w:sz w:val="24"/>
        </w:rPr>
        <w:t>Las 14 iteraciones del proyecto se ejecutaron entre la Semana 1 y la Semana 28:</w:t>
      </w:r>
    </w:p>
    <w:p>
      <w:pPr>
        <w:pStyle w:val="ListNumber"/>
      </w:pPr>
      <w:r>
        <w:rPr>
          <w:rFonts w:ascii="Times New Roman" w:hAnsi="Times New Roman" w:cs="Times New Roman"/>
          <w:b w:val="0"/>
          <w:i w:val="0"/>
          <w:sz w:val="24"/>
        </w:rPr>
        <w:t>Sprint 0 — Arquitectura base y configuración del entorno.</w:t>
      </w:r>
    </w:p>
    <w:p>
      <w:pPr>
        <w:pStyle w:val="ListNumber"/>
      </w:pPr>
      <w:r>
        <w:rPr>
          <w:rFonts w:ascii="Times New Roman" w:hAnsi="Times New Roman" w:cs="Times New Roman"/>
          <w:b w:val="0"/>
          <w:i w:val="0"/>
          <w:sz w:val="24"/>
        </w:rPr>
        <w:t>Sprint 1 — Autenticación, control de acceso por roles e historial clínico (EPIC-01, EPIC-02).</w:t>
      </w:r>
    </w:p>
    <w:p>
      <w:pPr>
        <w:pStyle w:val="ListNumber"/>
      </w:pPr>
      <w:r>
        <w:rPr>
          <w:rFonts w:ascii="Times New Roman" w:hAnsi="Times New Roman" w:cs="Times New Roman"/>
          <w:b w:val="0"/>
          <w:i w:val="0"/>
          <w:sz w:val="24"/>
        </w:rPr>
        <w:t>Sprint 2 — Motor de diagnóstico inteligente de síntomas respiratorios (EPIC-03).</w:t>
      </w:r>
    </w:p>
    <w:p>
      <w:pPr>
        <w:pStyle w:val="ListNumber"/>
      </w:pPr>
      <w:r>
        <w:rPr>
          <w:rFonts w:ascii="Times New Roman" w:hAnsi="Times New Roman" w:cs="Times New Roman"/>
          <w:b w:val="0"/>
          <w:i w:val="0"/>
          <w:sz w:val="24"/>
        </w:rPr>
        <w:t>Sprint 3-4 — MVP de frontend/dashboard, servicios de IA, chatbot y analítica básica.</w:t>
      </w:r>
    </w:p>
    <w:p>
      <w:pPr>
        <w:pStyle w:val="ListNumber"/>
      </w:pPr>
      <w:r>
        <w:rPr>
          <w:rFonts w:ascii="Times New Roman" w:hAnsi="Times New Roman" w:cs="Times New Roman"/>
          <w:b w:val="0"/>
          <w:i w:val="0"/>
          <w:sz w:val="24"/>
        </w:rPr>
        <w:t>Sprint 5-8 — Sistema de Machine Learning (Random Forest/XGBoost), explicabilidad SHAP e integración con el chatbot.</w:t>
      </w:r>
    </w:p>
    <w:p>
      <w:pPr>
        <w:pStyle w:val="ListNumber"/>
      </w:pPr>
      <w:r>
        <w:rPr>
          <w:rFonts w:ascii="Times New Roman" w:hAnsi="Times New Roman" w:cs="Times New Roman"/>
          <w:b w:val="0"/>
          <w:i w:val="0"/>
          <w:sz w:val="24"/>
        </w:rPr>
        <w:t>Sprint 9 — Refinamiento, documentación y preparación para producción.</w:t>
      </w:r>
    </w:p>
    <w:p>
      <w:pPr>
        <w:pStyle w:val="ListNumber"/>
      </w:pPr>
      <w:r>
        <w:rPr>
          <w:rFonts w:ascii="Times New Roman" w:hAnsi="Times New Roman" w:cs="Times New Roman"/>
          <w:b w:val="0"/>
          <w:i w:val="0"/>
          <w:sz w:val="24"/>
        </w:rPr>
        <w:t>Sprint 10-12 — Interoperabilidad HL7/FHIR, dashboard ejecutivo y modelos ML predictivos.</w:t>
      </w:r>
    </w:p>
    <w:p>
      <w:pPr>
        <w:pStyle w:val="ListNumber"/>
      </w:pPr>
      <w:r>
        <w:rPr>
          <w:rFonts w:ascii="Times New Roman" w:hAnsi="Times New Roman" w:cs="Times New Roman"/>
          <w:b w:val="0"/>
          <w:i w:val="0"/>
          <w:sz w:val="24"/>
        </w:rPr>
        <w:t>Sprint 13 — Extensión de alcance: API de interoperabilidad institucional MINSA/SINADEF e integración de datos de wearables con la capa de validación clínica de la IA (en ejecución: implementación funcional completa, documentación de cierre pendiente).</w:t>
      </w:r>
    </w:p>
    <w:p>
      <w:pPr>
        <w:jc w:val="both"/>
      </w:pPr>
      <w:r>
        <w:rPr>
          <w:rFonts w:ascii="Times New Roman" w:hAnsi="Times New Roman" w:cs="Times New Roman"/>
          <w:b/>
          <w:i w:val="0"/>
          <w:sz w:val="24"/>
        </w:rPr>
        <w:t>Fecha estimada de finalización:</w:t>
      </w:r>
      <w:r>
        <w:rPr>
          <w:rFonts w:ascii="Times New Roman" w:hAnsi="Times New Roman" w:cs="Times New Roman"/>
          <w:b w:val="0"/>
          <w:i w:val="0"/>
          <w:sz w:val="24"/>
        </w:rPr>
        <w:t xml:space="preserve"> Semana 28 (cierre de documentación y estabilización final).</w:t>
      </w:r>
    </w:p>
    <w:p>
      <w:pPr>
        <w:spacing w:before="240" w:after="120"/>
      </w:pPr>
      <w:r>
        <w:rPr>
          <w:rFonts w:ascii="Times New Roman" w:hAnsi="Times New Roman" w:cs="Times New Roman"/>
          <w:b/>
          <w:i w:val="0"/>
          <w:sz w:val="32"/>
        </w:rPr>
        <w:t>10. Presupuesto</w:t>
      </w:r>
    </w:p>
    <w:p>
      <w:pPr>
        <w:jc w:val="both"/>
      </w:pPr>
      <w:r>
        <w:rPr>
          <w:rFonts w:ascii="Times New Roman" w:hAnsi="Times New Roman" w:cs="Times New Roman"/>
          <w:b w:val="0"/>
          <w:i w:val="0"/>
          <w:sz w:val="24"/>
        </w:rPr>
        <w:t>El proyecto se desarrolla en el marco de un trabajo académico de la asignatura Construcción de Software II, por lo que no cuenta con un presupuesto monetario asignado. Los recursos tecnológicos empleados corresponden principalmente a herramientas e infraestructura de bajo costo o de nivel gratuito: repositorio GitHub, pipelines de GitHub Actions, despliegue del frontend en Vercel (plan gratuito) y contenedores Docker autoalojados con exposición mediante Cloudflare Tunnel.</w:t>
      </w:r>
    </w:p>
    <w:p>
      <w:pPr>
        <w:jc w:val="both"/>
      </w:pPr>
      <w:r>
        <w:rPr>
          <w:rFonts w:ascii="Times New Roman" w:hAnsi="Times New Roman" w:cs="Times New Roman"/>
          <w:b/>
          <w:i w:val="0"/>
          <w:sz w:val="24"/>
        </w:rPr>
        <w:t>Presupuesto ejecutado:</w:t>
      </w:r>
      <w:r>
        <w:rPr>
          <w:rFonts w:ascii="Times New Roman" w:hAnsi="Times New Roman" w:cs="Times New Roman"/>
          <w:b w:val="0"/>
          <w:i w:val="0"/>
          <w:sz w:val="24"/>
        </w:rPr>
        <w:t xml:space="preserve"> No aplica (infraestructura gratuita/autoalojada).</w:t>
      </w:r>
    </w:p>
    <w:p>
      <w:pPr>
        <w:jc w:val="both"/>
      </w:pPr>
      <w:r>
        <w:rPr>
          <w:rFonts w:ascii="Times New Roman" w:hAnsi="Times New Roman" w:cs="Times New Roman"/>
          <w:b/>
          <w:i w:val="0"/>
          <w:sz w:val="24"/>
        </w:rPr>
        <w:t>Presupuesto restante:</w:t>
      </w:r>
      <w:r>
        <w:rPr>
          <w:rFonts w:ascii="Times New Roman" w:hAnsi="Times New Roman" w:cs="Times New Roman"/>
          <w:b w:val="0"/>
          <w:i w:val="0"/>
          <w:sz w:val="24"/>
        </w:rPr>
        <w:t xml:space="preserve"> No aplica.</w:t>
      </w:r>
    </w:p>
    <w:p>
      <w:pPr>
        <w:spacing w:before="240" w:after="120"/>
      </w:pPr>
      <w:r>
        <w:rPr>
          <w:rFonts w:ascii="Times New Roman" w:hAnsi="Times New Roman" w:cs="Times New Roman"/>
          <w:b/>
          <w:i w:val="0"/>
          <w:sz w:val="32"/>
        </w:rPr>
        <w:t>11. Próximas Actividades</w:t>
      </w:r>
    </w:p>
    <w:p>
      <w:pPr>
        <w:pStyle w:val="ListBullet"/>
      </w:pPr>
      <w:r>
        <w:rPr>
          <w:rFonts w:ascii="Times New Roman" w:hAnsi="Times New Roman" w:cs="Times New Roman"/>
          <w:b w:val="0"/>
          <w:i w:val="0"/>
          <w:sz w:val="24"/>
        </w:rPr>
        <w:t>Completar la documentación de cierre del Sprint 13 (especificación OpenAPI dedicada, actualización de README/ROADMAP y matriz de trazabilidad de requerimientos).</w:t>
      </w:r>
    </w:p>
    <w:p>
      <w:pPr>
        <w:pStyle w:val="ListBullet"/>
      </w:pPr>
      <w:r>
        <w:rPr>
          <w:rFonts w:ascii="Times New Roman" w:hAnsi="Times New Roman" w:cs="Times New Roman"/>
          <w:b w:val="0"/>
          <w:i w:val="0"/>
          <w:sz w:val="24"/>
        </w:rPr>
        <w:t>Generar y validar los proyectos nativos Android/iOS (</w:t>
      </w:r>
      <w:r>
        <w:rPr>
          <w:rFonts w:ascii="Consolas" w:hAnsi="Consolas" w:cs="Consolas"/>
          <w:b w:val="0"/>
          <w:i w:val="0"/>
          <w:sz w:val="18"/>
        </w:rPr>
        <w:t>npx cap add android/ios</w:t>
      </w:r>
      <w:r>
        <w:rPr>
          <w:rFonts w:ascii="Times New Roman" w:hAnsi="Times New Roman" w:cs="Times New Roman"/>
          <w:b w:val="0"/>
          <w:i w:val="0"/>
          <w:sz w:val="24"/>
        </w:rPr>
        <w:t>) para verificar en dispositivo/emulador real la integración con Health Connect y HealthKit.</w:t>
      </w:r>
    </w:p>
    <w:p>
      <w:pPr>
        <w:pStyle w:val="ListBullet"/>
      </w:pPr>
      <w:r>
        <w:rPr>
          <w:rFonts w:ascii="Times New Roman" w:hAnsi="Times New Roman" w:cs="Times New Roman"/>
          <w:b w:val="0"/>
          <w:i w:val="0"/>
          <w:sz w:val="24"/>
        </w:rPr>
        <w:t>Rebalancear el dataset de entrenamiento del modelo XGBoost para reducir el sesgo demográfico detectado (CP-ML-001).</w:t>
      </w:r>
    </w:p>
    <w:p>
      <w:pPr>
        <w:pStyle w:val="ListBullet"/>
      </w:pPr>
      <w:r>
        <w:rPr>
          <w:rFonts w:ascii="Times New Roman" w:hAnsi="Times New Roman" w:cs="Times New Roman"/>
          <w:b w:val="0"/>
          <w:i w:val="0"/>
          <w:sz w:val="24"/>
        </w:rPr>
        <w:t>Resolver la brecha residual de contraste WCAG en el tema oscuro del frontend web.</w:t>
      </w:r>
    </w:p>
    <w:p>
      <w:pPr>
        <w:pStyle w:val="ListBullet"/>
      </w:pPr>
      <w:r>
        <w:rPr>
          <w:rFonts w:ascii="Times New Roman" w:hAnsi="Times New Roman" w:cs="Times New Roman"/>
          <w:b w:val="0"/>
          <w:i w:val="0"/>
          <w:sz w:val="24"/>
        </w:rPr>
        <w:t>Consolidar la suite de pruebas pendiente en el backlog técnico (6 casos de AI Services, 1 de accesibilidad web, 2 de gobernanza ML).</w:t>
      </w:r>
    </w:p>
    <w:p>
      <w:pPr>
        <w:pStyle w:val="ListBullet"/>
      </w:pPr>
      <w:r>
        <w:rPr>
          <w:rFonts w:ascii="Times New Roman" w:hAnsi="Times New Roman" w:cs="Times New Roman"/>
          <w:b w:val="0"/>
          <w:i w:val="0"/>
          <w:sz w:val="24"/>
        </w:rPr>
        <w:t>Preparar la documentación final y el material de sustentación del proyecto.</w:t>
      </w:r>
    </w:p>
    <w:p>
      <w:pPr>
        <w:spacing w:before="240" w:after="120"/>
      </w:pPr>
      <w:r>
        <w:rPr>
          <w:rFonts w:ascii="Times New Roman" w:hAnsi="Times New Roman" w:cs="Times New Roman"/>
          <w:b/>
          <w:i w:val="0"/>
          <w:sz w:val="32"/>
        </w:rPr>
        <w:t>12. Conclusión</w:t>
      </w:r>
    </w:p>
    <w:p>
      <w:pPr>
        <w:jc w:val="both"/>
      </w:pPr>
      <w:r>
        <w:rPr>
          <w:rFonts w:ascii="Times New Roman" w:hAnsi="Times New Roman" w:cs="Times New Roman"/>
          <w:b w:val="0"/>
          <w:i w:val="0"/>
          <w:sz w:val="24"/>
        </w:rPr>
        <w:t xml:space="preserve">El proyecto </w:t>
      </w:r>
      <w:r>
        <w:rPr>
          <w:rFonts w:ascii="Times New Roman" w:hAnsi="Times New Roman" w:cs="Times New Roman"/>
          <w:b/>
          <w:i w:val="0"/>
          <w:sz w:val="24"/>
        </w:rPr>
        <w:t>RespiCare</w:t>
      </w:r>
      <w:r>
        <w:rPr>
          <w:rFonts w:ascii="Times New Roman" w:hAnsi="Times New Roman" w:cs="Times New Roman"/>
          <w:b w:val="0"/>
          <w:i w:val="0"/>
          <w:sz w:val="24"/>
        </w:rPr>
        <w:t xml:space="preserve"> presenta un avance de </w:t>
      </w:r>
      <w:r>
        <w:rPr>
          <w:rFonts w:ascii="Times New Roman" w:hAnsi="Times New Roman" w:cs="Times New Roman"/>
          <w:b/>
          <w:i w:val="0"/>
          <w:sz w:val="24"/>
        </w:rPr>
        <w:t>93%</w:t>
      </w:r>
      <w:r>
        <w:rPr>
          <w:rFonts w:ascii="Times New Roman" w:hAnsi="Times New Roman" w:cs="Times New Roman"/>
          <w:b w:val="0"/>
          <w:i w:val="0"/>
          <w:sz w:val="24"/>
        </w:rPr>
        <w:t xml:space="preserve"> y ha completado la totalidad de las 14 iteraciones planificadas (Sprint 0 a Sprint 13), con una cobertura de pruebas global ponderada del </w:t>
      </w:r>
      <w:r>
        <w:rPr>
          <w:rFonts w:ascii="Times New Roman" w:hAnsi="Times New Roman" w:cs="Times New Roman"/>
          <w:b/>
          <w:i w:val="0"/>
          <w:sz w:val="24"/>
        </w:rPr>
        <w:t>82.78%</w:t>
      </w:r>
      <w:r>
        <w:rPr>
          <w:rFonts w:ascii="Times New Roman" w:hAnsi="Times New Roman" w:cs="Times New Roman"/>
          <w:b w:val="0"/>
          <w:i w:val="0"/>
          <w:sz w:val="24"/>
        </w:rPr>
        <w:t xml:space="preserve">, superando la meta del 80% definida en el Definition of Done. Las actividades principales se encuentran </w:t>
      </w:r>
      <w:r>
        <w:rPr>
          <w:rFonts w:ascii="Times New Roman" w:hAnsi="Times New Roman" w:cs="Times New Roman"/>
          <w:b/>
          <w:i w:val="0"/>
          <w:sz w:val="24"/>
        </w:rPr>
        <w:t>dentro del cronograma</w:t>
      </w:r>
      <w:r>
        <w:rPr>
          <w:rFonts w:ascii="Times New Roman" w:hAnsi="Times New Roman" w:cs="Times New Roman"/>
          <w:b w:val="0"/>
          <w:i w:val="0"/>
          <w:sz w:val="24"/>
        </w:rPr>
        <w:t>, y se han identificado y documentado las acciones necesarias para gestionar los riesgos técnicos existentes (sesgo del modelo, accesibilidad, verificación nativa de wearables).</w:t>
      </w:r>
    </w:p>
    <w:p>
      <w:pPr>
        <w:jc w:val="both"/>
      </w:pPr>
      <w:r>
        <w:rPr>
          <w:rFonts w:ascii="Times New Roman" w:hAnsi="Times New Roman" w:cs="Times New Roman"/>
          <w:b w:val="0"/>
          <w:i w:val="0"/>
          <w:sz w:val="24"/>
        </w:rPr>
        <w:t xml:space="preserve">El siguiente hito relevante corresponde al </w:t>
      </w:r>
      <w:r>
        <w:rPr>
          <w:rFonts w:ascii="Times New Roman" w:hAnsi="Times New Roman" w:cs="Times New Roman"/>
          <w:b/>
          <w:i w:val="0"/>
          <w:sz w:val="24"/>
        </w:rPr>
        <w:t>cierre de la documentación técnica del Sprint 13 y la validación nativa de la integración de wearables</w:t>
      </w:r>
      <w:r>
        <w:rPr>
          <w:rFonts w:ascii="Times New Roman" w:hAnsi="Times New Roman" w:cs="Times New Roman"/>
          <w:b w:val="0"/>
          <w:i w:val="0"/>
          <w:sz w:val="24"/>
        </w:rPr>
        <w:t>, cuya culminación permitirá avanzar hacia la estabilización final y la preparación de la sustentación del proyecto.</w:t>
      </w:r>
    </w:p>
    <w:p>
      <w:pPr>
        <w:jc w:val="both"/>
      </w:pPr>
      <w:r>
        <w:rPr>
          <w:rFonts w:ascii="Times New Roman" w:hAnsi="Times New Roman" w:cs="Times New Roman"/>
          <w:b/>
          <w:i w:val="0"/>
          <w:sz w:val="24"/>
        </w:rPr>
        <w:t>Responsables:</w:t>
      </w:r>
      <w:r>
        <w:rPr>
          <w:rFonts w:ascii="Times New Roman" w:hAnsi="Times New Roman" w:cs="Times New Roman"/>
          <w:b w:val="0"/>
          <w:i w:val="0"/>
          <w:sz w:val="24"/>
        </w:rPr>
        <w:t xml:space="preserve"> Chávez Linares, Cesar Fabian y Paja de la Cruz, Piero</w:t>
      </w:r>
    </w:p>
    <w:p>
      <w:pPr>
        <w:jc w:val="both"/>
      </w:pPr>
      <w:r>
        <w:rPr>
          <w:rFonts w:ascii="Times New Roman" w:hAnsi="Times New Roman" w:cs="Times New Roman"/>
          <w:b/>
          <w:i w:val="0"/>
          <w:sz w:val="24"/>
        </w:rPr>
        <w:t>Cargo:</w:t>
      </w:r>
      <w:r>
        <w:rPr>
          <w:rFonts w:ascii="Times New Roman" w:hAnsi="Times New Roman" w:cs="Times New Roman"/>
          <w:b w:val="0"/>
          <w:i w:val="0"/>
          <w:sz w:val="24"/>
        </w:rPr>
        <w:t xml:space="preserve"> Equipo de desarrollo — Full-Stack &amp; IA</w:t>
      </w:r>
    </w:p>
    <w:p>
      <w:pPr>
        <w:jc w:val="both"/>
      </w:pPr>
      <w:r>
        <w:rPr>
          <w:rFonts w:ascii="Times New Roman" w:hAnsi="Times New Roman" w:cs="Times New Roman"/>
          <w:b/>
          <w:i w:val="0"/>
          <w:sz w:val="24"/>
        </w:rPr>
        <w:t>Fecha:</w:t>
      </w:r>
      <w:r>
        <w:rPr>
          <w:rFonts w:ascii="Times New Roman" w:hAnsi="Times New Roman" w:cs="Times New Roman"/>
          <w:b w:val="0"/>
          <w:i w:val="0"/>
          <w:sz w:val="24"/>
        </w:rPr>
        <w:t xml:space="preserve"> 18 de septiembre de 2026</w:t>
      </w:r>
    </w:p>
    <w:p>
      <w:pPr>
        <w:spacing w:before="240" w:after="120"/>
      </w:pPr>
      <w:r>
        <w:rPr>
          <w:rFonts w:ascii="Times New Roman" w:hAnsi="Times New Roman" w:cs="Times New Roman"/>
          <w:b/>
          <w:i w:val="0"/>
          <w:sz w:val="32"/>
        </w:rPr>
        <w:t>13. Anexos — Evidencias Gráficas</w:t>
      </w:r>
    </w:p>
    <w:p>
      <w:pPr>
        <w:jc w:val="both"/>
      </w:pPr>
      <w:r>
        <w:rPr>
          <w:rFonts w:ascii="Times New Roman" w:hAnsi="Times New Roman" w:cs="Times New Roman"/>
          <w:b w:val="0"/>
          <w:i w:val="0"/>
          <w:sz w:val="24"/>
        </w:rPr>
        <w:t>A continuación se presentan capturas y gráficos que evidencian el estado actual del sistema RespiCare, extraídos directamente del repositorio del proyecto y de sus reportes técnicos.</w:t>
      </w:r>
    </w:p>
    <w:p>
      <w:pPr>
        <w:spacing w:before="240" w:after="120"/>
      </w:pPr>
      <w:r>
        <w:rPr>
          <w:rFonts w:ascii="Times New Roman" w:hAnsi="Times New Roman" w:cs="Times New Roman"/>
          <w:b/>
          <w:i w:val="0"/>
          <w:sz w:val="28"/>
        </w:rPr>
        <w:t>13.1 Arquitectura de la solución</w:t>
      </w:r>
    </w:p>
    <w:p>
      <w:pPr>
        <w:jc w:val="center"/>
      </w:pPr>
      <w:r>
        <w:drawing>
          <wp:inline xmlns:a="http://schemas.openxmlformats.org/drawingml/2006/main" xmlns:pic="http://schemas.openxmlformats.org/drawingml/2006/picture">
            <wp:extent cx="5040000" cy="2615460"/>
            <wp:docPr id="1" name="Picture 1"/>
            <wp:cNvGraphicFramePr>
              <a:graphicFrameLocks noChangeAspect="1"/>
            </wp:cNvGraphicFramePr>
            <a:graphic>
              <a:graphicData uri="http://schemas.openxmlformats.org/drawingml/2006/picture">
                <pic:pic>
                  <pic:nvPicPr>
                    <pic:cNvPr id="0" name="Diagrama de Arquitectura General.png"/>
                    <pic:cNvPicPr/>
                  </pic:nvPicPr>
                  <pic:blipFill>
                    <a:blip r:embed="rId10"/>
                    <a:stretch>
                      <a:fillRect/>
                    </a:stretch>
                  </pic:blipFill>
                  <pic:spPr>
                    <a:xfrm>
                      <a:off x="0" y="0"/>
                      <a:ext cx="5040000" cy="2615460"/>
                    </a:xfrm>
                    <a:prstGeom prst="rect"/>
                  </pic:spPr>
                </pic:pic>
              </a:graphicData>
            </a:graphic>
          </wp:inline>
        </w:drawing>
      </w:r>
    </w:p>
    <w:p>
      <w:pPr>
        <w:jc w:val="center"/>
      </w:pPr>
      <w:r>
        <w:rPr>
          <w:rFonts w:ascii="Times New Roman" w:hAnsi="Times New Roman" w:cs="Times New Roman"/>
          <w:b w:val="0"/>
          <w:i/>
          <w:sz w:val="24"/>
        </w:rPr>
        <w:t>Figura 1 — Arquitectura general de RespiCare: capa frontend (web/móvil), API Gateway (Nginx), backend (Node.js/Express), servicios de IA (Python/FastAPI) con modelos XGBoost y Random Forest, y capa de datos (MongoDB/Redis).</w:t>
      </w:r>
    </w:p>
    <w:p>
      <w:pPr>
        <w:spacing w:before="240" w:after="120"/>
      </w:pPr>
      <w:r>
        <w:rPr>
          <w:rFonts w:ascii="Times New Roman" w:hAnsi="Times New Roman" w:cs="Times New Roman"/>
          <w:b/>
          <w:i w:val="0"/>
          <w:sz w:val="28"/>
        </w:rPr>
        <w:t>13.2 Diagrama de despliegue</w:t>
      </w:r>
    </w:p>
    <w:p>
      <w:pPr>
        <w:jc w:val="center"/>
      </w:pPr>
      <w:r>
        <w:drawing>
          <wp:inline xmlns:a="http://schemas.openxmlformats.org/drawingml/2006/main" xmlns:pic="http://schemas.openxmlformats.org/drawingml/2006/picture">
            <wp:extent cx="5040000" cy="2864460"/>
            <wp:docPr id="2" name="Picture 2"/>
            <wp:cNvGraphicFramePr>
              <a:graphicFrameLocks noChangeAspect="1"/>
            </wp:cNvGraphicFramePr>
            <a:graphic>
              <a:graphicData uri="http://schemas.openxmlformats.org/drawingml/2006/picture">
                <pic:pic>
                  <pic:nvPicPr>
                    <pic:cNvPr id="0" name="A-25_deployment.png"/>
                    <pic:cNvPicPr/>
                  </pic:nvPicPr>
                  <pic:blipFill>
                    <a:blip r:embed="rId11"/>
                    <a:stretch>
                      <a:fillRect/>
                    </a:stretch>
                  </pic:blipFill>
                  <pic:spPr>
                    <a:xfrm>
                      <a:off x="0" y="0"/>
                      <a:ext cx="5040000" cy="2864460"/>
                    </a:xfrm>
                    <a:prstGeom prst="rect"/>
                  </pic:spPr>
                </pic:pic>
              </a:graphicData>
            </a:graphic>
          </wp:inline>
        </w:drawing>
      </w:r>
    </w:p>
    <w:p>
      <w:pPr>
        <w:jc w:val="center"/>
      </w:pPr>
      <w:r>
        <w:rPr>
          <w:rFonts w:ascii="Times New Roman" w:hAnsi="Times New Roman" w:cs="Times New Roman"/>
          <w:b w:val="0"/>
          <w:i/>
          <w:sz w:val="24"/>
        </w:rPr>
        <w:t>Figura 2 — Diagrama final de despliegue: contenedores Docker Compose, puertos y red interna (web-frontend, backend-api, ai-services, mongodb, redis, nginx y observabilidad con Prometheus/Grafana).</w:t>
      </w:r>
    </w:p>
    <w:p>
      <w:pPr>
        <w:spacing w:before="240" w:after="120"/>
      </w:pPr>
      <w:r>
        <w:rPr>
          <w:rFonts w:ascii="Times New Roman" w:hAnsi="Times New Roman" w:cs="Times New Roman"/>
          <w:b/>
          <w:i w:val="0"/>
          <w:sz w:val="28"/>
        </w:rPr>
        <w:t>13.3 Aplicación web — Inicio de sesión</w:t>
      </w:r>
    </w:p>
    <w:p>
      <w:pPr>
        <w:jc w:val="center"/>
      </w:pPr>
      <w:r>
        <w:drawing>
          <wp:inline xmlns:a="http://schemas.openxmlformats.org/drawingml/2006/main" xmlns:pic="http://schemas.openxmlformats.org/drawingml/2006/picture">
            <wp:extent cx="5040000" cy="3207273"/>
            <wp:docPr id="3" name="Picture 3"/>
            <wp:cNvGraphicFramePr>
              <a:graphicFrameLocks noChangeAspect="1"/>
            </wp:cNvGraphicFramePr>
            <a:graphic>
              <a:graphicData uri="http://schemas.openxmlformats.org/drawingml/2006/picture">
                <pic:pic>
                  <pic:nvPicPr>
                    <pic:cNvPr id="0" name="A-12_login_web.png"/>
                    <pic:cNvPicPr/>
                  </pic:nvPicPr>
                  <pic:blipFill>
                    <a:blip r:embed="rId12"/>
                    <a:stretch>
                      <a:fillRect/>
                    </a:stretch>
                  </pic:blipFill>
                  <pic:spPr>
                    <a:xfrm>
                      <a:off x="0" y="0"/>
                      <a:ext cx="5040000" cy="3207273"/>
                    </a:xfrm>
                    <a:prstGeom prst="rect"/>
                  </pic:spPr>
                </pic:pic>
              </a:graphicData>
            </a:graphic>
          </wp:inline>
        </w:drawing>
      </w:r>
    </w:p>
    <w:p>
      <w:pPr>
        <w:jc w:val="center"/>
      </w:pPr>
      <w:r>
        <w:rPr>
          <w:rFonts w:ascii="Times New Roman" w:hAnsi="Times New Roman" w:cs="Times New Roman"/>
          <w:b w:val="0"/>
          <w:i/>
          <w:sz w:val="24"/>
        </w:rPr>
        <w:t>Figura 3 — Pantalla de inicio de sesión de la plataforma web RespiCare, con autenticación JWT y opciones de acceso institucional.</w:t>
      </w:r>
    </w:p>
    <w:p>
      <w:pPr>
        <w:spacing w:before="240" w:after="120"/>
      </w:pPr>
      <w:r>
        <w:rPr>
          <w:rFonts w:ascii="Times New Roman" w:hAnsi="Times New Roman" w:cs="Times New Roman"/>
          <w:b/>
          <w:i w:val="0"/>
          <w:sz w:val="28"/>
        </w:rPr>
        <w:t>13.4 Aplicación web — Panel del médico</w:t>
      </w:r>
    </w:p>
    <w:p>
      <w:pPr>
        <w:jc w:val="center"/>
      </w:pPr>
      <w:r>
        <w:drawing>
          <wp:inline xmlns:a="http://schemas.openxmlformats.org/drawingml/2006/main" xmlns:pic="http://schemas.openxmlformats.org/drawingml/2006/picture">
            <wp:extent cx="5040000" cy="3024000"/>
            <wp:docPr id="4" name="Picture 4"/>
            <wp:cNvGraphicFramePr>
              <a:graphicFrameLocks noChangeAspect="1"/>
            </wp:cNvGraphicFramePr>
            <a:graphic>
              <a:graphicData uri="http://schemas.openxmlformats.org/drawingml/2006/picture">
                <pic:pic>
                  <pic:nvPicPr>
                    <pic:cNvPr id="0" name="A-13_dashboard_medico.png"/>
                    <pic:cNvPicPr/>
                  </pic:nvPicPr>
                  <pic:blipFill>
                    <a:blip r:embed="rId13"/>
                    <a:stretch>
                      <a:fillRect/>
                    </a:stretch>
                  </pic:blipFill>
                  <pic:spPr>
                    <a:xfrm>
                      <a:off x="0" y="0"/>
                      <a:ext cx="5040000" cy="3024000"/>
                    </a:xfrm>
                    <a:prstGeom prst="rect"/>
                  </pic:spPr>
                </pic:pic>
              </a:graphicData>
            </a:graphic>
          </wp:inline>
        </w:drawing>
      </w:r>
    </w:p>
    <w:p>
      <w:pPr>
        <w:jc w:val="center"/>
      </w:pPr>
      <w:r>
        <w:rPr>
          <w:rFonts w:ascii="Times New Roman" w:hAnsi="Times New Roman" w:cs="Times New Roman"/>
          <w:b w:val="0"/>
          <w:i/>
          <w:sz w:val="24"/>
        </w:rPr>
        <w:t>Figura 4 — Dashboard clínico del médico: pacientes activos, alertas en tiempo real, nivel de riesgo por paciente, cobertura del ensemble de IA (99.8%) y tendencia de SpO2 de los últimos 7 días.</w:t>
      </w:r>
    </w:p>
    <w:p>
      <w:pPr>
        <w:spacing w:before="240" w:after="120"/>
      </w:pPr>
      <w:r>
        <w:rPr>
          <w:rFonts w:ascii="Times New Roman" w:hAnsi="Times New Roman" w:cs="Times New Roman"/>
          <w:b/>
          <w:i w:val="0"/>
          <w:sz w:val="28"/>
        </w:rPr>
        <w:t>13.5 Aplicación móvil — Pantalla principal del paciente</w:t>
      </w:r>
    </w:p>
    <w:p>
      <w:pPr>
        <w:jc w:val="center"/>
      </w:pPr>
      <w:r>
        <w:drawing>
          <wp:inline xmlns:a="http://schemas.openxmlformats.org/drawingml/2006/main" xmlns:pic="http://schemas.openxmlformats.org/drawingml/2006/picture">
            <wp:extent cx="5040000" cy="10920000"/>
            <wp:docPr id="5" name="Picture 5"/>
            <wp:cNvGraphicFramePr>
              <a:graphicFrameLocks noChangeAspect="1"/>
            </wp:cNvGraphicFramePr>
            <a:graphic>
              <a:graphicData uri="http://schemas.openxmlformats.org/drawingml/2006/picture">
                <pic:pic>
                  <pic:nvPicPr>
                    <pic:cNvPr id="0" name="screen_final.png"/>
                    <pic:cNvPicPr/>
                  </pic:nvPicPr>
                  <pic:blipFill>
                    <a:blip r:embed="rId14"/>
                    <a:stretch>
                      <a:fillRect/>
                    </a:stretch>
                  </pic:blipFill>
                  <pic:spPr>
                    <a:xfrm>
                      <a:off x="0" y="0"/>
                      <a:ext cx="5040000" cy="10920000"/>
                    </a:xfrm>
                    <a:prstGeom prst="rect"/>
                  </pic:spPr>
                </pic:pic>
              </a:graphicData>
            </a:graphic>
          </wp:inline>
        </w:drawing>
      </w:r>
    </w:p>
    <w:p>
      <w:pPr>
        <w:jc w:val="center"/>
      </w:pPr>
      <w:r>
        <w:rPr>
          <w:rFonts w:ascii="Times New Roman" w:hAnsi="Times New Roman" w:cs="Times New Roman"/>
          <w:b w:val="0"/>
          <w:i/>
          <w:sz w:val="24"/>
        </w:rPr>
        <w:t>Figura 5 — Pantalla de inicio de la app móvil (Next.js + Capacitor) para el rol paciente, con accesos directos a Chatbot IA, registro de síntomas, citas y monitoreo de salud/wearables.</w:t>
      </w:r>
    </w:p>
    <w:p>
      <w:pPr>
        <w:spacing w:before="240" w:after="120"/>
      </w:pPr>
      <w:r>
        <w:rPr>
          <w:rFonts w:ascii="Times New Roman" w:hAnsi="Times New Roman" w:cs="Times New Roman"/>
          <w:b/>
          <w:i w:val="0"/>
          <w:sz w:val="28"/>
        </w:rPr>
        <w:t>13.6 Calidad del modelo de Machine Learning</w:t>
      </w:r>
    </w:p>
    <w:p>
      <w:pPr>
        <w:jc w:val="center"/>
      </w:pPr>
      <w:r>
        <w:drawing>
          <wp:inline xmlns:a="http://schemas.openxmlformats.org/drawingml/2006/main" xmlns:pic="http://schemas.openxmlformats.org/drawingml/2006/picture">
            <wp:extent cx="5040000" cy="4374426"/>
            <wp:docPr id="6" name="Picture 6"/>
            <wp:cNvGraphicFramePr>
              <a:graphicFrameLocks noChangeAspect="1"/>
            </wp:cNvGraphicFramePr>
            <a:graphic>
              <a:graphicData uri="http://schemas.openxmlformats.org/drawingml/2006/picture">
                <pic:pic>
                  <pic:nvPicPr>
                    <pic:cNvPr id="0" name="A-19_confusion_ensemble.png"/>
                    <pic:cNvPicPr/>
                  </pic:nvPicPr>
                  <pic:blipFill>
                    <a:blip r:embed="rId15"/>
                    <a:stretch>
                      <a:fillRect/>
                    </a:stretch>
                  </pic:blipFill>
                  <pic:spPr>
                    <a:xfrm>
                      <a:off x="0" y="0"/>
                      <a:ext cx="5040000" cy="4374426"/>
                    </a:xfrm>
                    <a:prstGeom prst="rect"/>
                  </pic:spPr>
                </pic:pic>
              </a:graphicData>
            </a:graphic>
          </wp:inline>
        </w:drawing>
      </w:r>
    </w:p>
    <w:p>
      <w:pPr>
        <w:jc w:val="center"/>
      </w:pPr>
      <w:r>
        <w:rPr>
          <w:rFonts w:ascii="Times New Roman" w:hAnsi="Times New Roman" w:cs="Times New Roman"/>
          <w:b w:val="0"/>
          <w:i/>
          <w:sz w:val="24"/>
        </w:rPr>
        <w:t>Figura 6 — Matriz de confusión del ensemble final de clasificación de severidad (2500 casos de prueba): precisión global 99.80%, recall macro 99.72%.</w:t>
      </w:r>
    </w:p>
    <w:p>
      <w:pPr>
        <w:spacing w:before="240" w:after="120"/>
      </w:pPr>
      <w:r>
        <w:rPr>
          <w:rFonts w:ascii="Times New Roman" w:hAnsi="Times New Roman" w:cs="Times New Roman"/>
          <w:b/>
          <w:i w:val="0"/>
          <w:sz w:val="28"/>
        </w:rPr>
        <w:t>13.7 Evolución de la cobertura de pruebas</w:t>
      </w:r>
    </w:p>
    <w:p>
      <w:pPr>
        <w:jc w:val="center"/>
      </w:pPr>
      <w:r>
        <w:drawing>
          <wp:inline xmlns:a="http://schemas.openxmlformats.org/drawingml/2006/main" xmlns:pic="http://schemas.openxmlformats.org/drawingml/2006/picture">
            <wp:extent cx="5040000" cy="2394091"/>
            <wp:docPr id="7" name="Picture 7"/>
            <wp:cNvGraphicFramePr>
              <a:graphicFrameLocks noChangeAspect="1"/>
            </wp:cNvGraphicFramePr>
            <a:graphic>
              <a:graphicData uri="http://schemas.openxmlformats.org/drawingml/2006/picture">
                <pic:pic>
                  <pic:nvPicPr>
                    <pic:cNvPr id="0" name="Figura-1_evolucion_cobertura.png"/>
                    <pic:cNvPicPr/>
                  </pic:nvPicPr>
                  <pic:blipFill>
                    <a:blip r:embed="rId16"/>
                    <a:stretch>
                      <a:fillRect/>
                    </a:stretch>
                  </pic:blipFill>
                  <pic:spPr>
                    <a:xfrm>
                      <a:off x="0" y="0"/>
                      <a:ext cx="5040000" cy="2394091"/>
                    </a:xfrm>
                    <a:prstGeom prst="rect"/>
                  </pic:spPr>
                </pic:pic>
              </a:graphicData>
            </a:graphic>
          </wp:inline>
        </w:drawing>
      </w:r>
    </w:p>
    <w:p>
      <w:pPr>
        <w:jc w:val="center"/>
      </w:pPr>
      <w:r>
        <w:rPr>
          <w:rFonts w:ascii="Times New Roman" w:hAnsi="Times New Roman" w:cs="Times New Roman"/>
          <w:b w:val="0"/>
          <w:i/>
          <w:sz w:val="24"/>
        </w:rPr>
        <w:t>Figura 7 — Evolución de la cobertura de sentencias del backend a lo largo de 7 rondas de pruebas repetitivas (abril-julio 2026), desde 42.11% hasta 80.44%, superando la meta del 80%.</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