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0: Setup y Arquitectura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0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0: Setup y Arquitectura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0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0: Setup y Arquitectura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1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2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Establecer la base técnica del proyecto: arquitectura de microservicios, contenedores y pipeline de integración continua sobre los que se construirán todas las iteraciones posteriores.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Estructura de microservicios (backend, ai-services, web, mobile)</w:t>
        <w:br/>
      </w:r>
      <w:r>
        <w:rPr>
          <w:b w:val="0"/>
        </w:rPr>
        <w:t>• Configuración de Docker y Docker Compose</w:t>
        <w:br/>
      </w:r>
      <w:r>
        <w:rPr>
          <w:b w:val="0"/>
        </w:rPr>
        <w:t>• Base de datos MongoDB inicial</w:t>
        <w:br/>
      </w:r>
      <w:r>
        <w:rPr>
          <w:b w:val="0"/>
        </w:rPr>
        <w:t>• Integración básica backend-frontend</w:t>
        <w:br/>
      </w:r>
      <w:r>
        <w:rPr>
          <w:b w:val="0"/>
        </w:rPr>
        <w:t>• Configuración de CI/CD (GitHub Actions)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- y anteriores ya cerrados; Sprint 1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0: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Estructura de microservicios (backend, ai-services, web, mob</w:t>
            </w:r>
          </w:p>
        </w:tc>
        <w:tc>
          <w:tcPr>
            <w:tcW w:w="3249" w:type="dxa"/>
          </w:tcPr>
          <w:p>
            <w:r>
              <w:t>Estructura de microservicios (backend, ai-services, web, mobile)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Configuración de Docker y Docker Compose</w:t>
            </w:r>
          </w:p>
        </w:tc>
        <w:tc>
          <w:tcPr>
            <w:tcW w:w="3249" w:type="dxa"/>
          </w:tcPr>
          <w:p>
            <w:r>
              <w:t>Configuración de Docker y Docker Compose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Base de datos MongoDB inicial</w:t>
            </w:r>
          </w:p>
        </w:tc>
        <w:tc>
          <w:tcPr>
            <w:tcW w:w="3249" w:type="dxa"/>
          </w:tcPr>
          <w:p>
            <w:r>
              <w:t>Base de datos MongoDB inicial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Integración básica backend-frontend</w:t>
            </w:r>
          </w:p>
        </w:tc>
        <w:tc>
          <w:tcPr>
            <w:tcW w:w="3249" w:type="dxa"/>
          </w:tcPr>
          <w:p>
            <w:r>
              <w:t>Integración básica backend-frontend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>
        <w:tc>
          <w:tcPr>
            <w:tcW w:type="dxa" w:w="3249"/>
          </w:tcPr>
          <w:p>
            <w:r>
              <w:t>Configuración de CI/CD (GitHub Actions)</w:t>
            </w:r>
          </w:p>
        </w:tc>
        <w:tc>
          <w:tcPr>
            <w:tcW w:type="dxa" w:w="3249"/>
          </w:tcPr>
          <w:p>
            <w:r>
              <w:t>Configuración de CI/CD (GitHub Actions)</w:t>
            </w:r>
          </w:p>
        </w:tc>
        <w:tc>
          <w:tcPr>
            <w:tcW w:type="dxa" w:w="3249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0 (Semana 1 a Semana 2):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1</w:t>
            </w:r>
          </w:p>
        </w:tc>
        <w:tc>
          <w:tcPr>
            <w:tcW w:w="1624" w:type="dxa"/>
          </w:tcPr>
          <w:p>
            <w:r>
              <w:t>Semana 1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1</w:t>
            </w:r>
          </w:p>
        </w:tc>
        <w:tc>
          <w:tcPr>
            <w:tcW w:w="1624" w:type="dxa"/>
          </w:tcPr>
          <w:p>
            <w:r>
              <w:t>Semana 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2</w:t>
            </w:r>
          </w:p>
        </w:tc>
        <w:tc>
          <w:tcPr>
            <w:tcW w:w="1624" w:type="dxa"/>
          </w:tcPr>
          <w:p>
            <w:r>
              <w:t>Semana 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2</w:t>
            </w:r>
          </w:p>
        </w:tc>
        <w:tc>
          <w:tcPr>
            <w:tcW w:w="1624" w:type="dxa"/>
          </w:tcPr>
          <w:p>
            <w:r>
              <w:t>Semana 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2</w:t>
            </w:r>
          </w:p>
        </w:tc>
        <w:tc>
          <w:tcPr>
            <w:tcW w:w="1624" w:type="dxa"/>
          </w:tcPr>
          <w:p>
            <w:r>
              <w:t>Semana 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0: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Elección de stack tecnológico inadecuada para el dominio clínico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Prueba de concepto temprana con Node.js/TypeScript + Python/FastAPI antes de comprometer arquitectura</w:t>
            </w:r>
          </w:p>
        </w:tc>
      </w:tr>
      <w:tr w:rsidR="00E861C9" w14:paraId="7196D064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Configuración de Docker multi-servicio compleja para el equipo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Documentación de setup y Makefile.docker con targets estandarizados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0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0: Setup y Arquitectura"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Sección "Fase 1: Setup y Arquitectura (Sprint 0)" de 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0: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5/5</w:t>
            </w:r>
          </w:p>
        </w:tc>
        <w:tc>
          <w:tcPr>
            <w:tcW w:w="2436" w:type="dxa"/>
          </w:tcPr>
          <w:p>
            <w:r>
              <w:t>5/5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0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0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1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