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10: Integración HL7 FHIR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10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10: Integración HL7 FHIR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10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10: Integración HL7 FHIR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21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22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Habilitar interoperabilidad clínica estándar mediante un cliente FHIR y un parser HL7 v2/v3, sentando las bases de la Fase 5 (Analítica Avanzada y Salud Conectada).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Servicio fhirService.ts con cliente Axios configurable</w:t>
        <w:br/>
      </w:r>
      <w:r>
        <w:rPr>
          <w:b w:val="0"/>
        </w:rPr>
        <w:t>• Parser HL7 v2/v3 (hl7Parser.ts) con unit tests</w:t>
        <w:br/>
      </w:r>
      <w:r>
        <w:rPr>
          <w:b w:val="0"/>
        </w:rPr>
        <w:t>• Endpoints de sincronización clínica</w:t>
        <w:br/>
      </w:r>
      <w:r>
        <w:rPr>
          <w:b w:val="0"/>
        </w:rPr>
        <w:t>• Documentación de interoperabilidad en el backend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9 y anteriores ya cerrados; Sprint 11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10: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Servicio fhirService.ts</w:t>
            </w:r>
          </w:p>
        </w:tc>
        <w:tc>
          <w:tcPr>
            <w:tcW w:w="3249" w:type="dxa"/>
          </w:tcPr>
          <w:p>
            <w:r>
              <w:t>Servicio fhirService.ts con cliente Axios configurable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Parser HL7 v2/v3 (hl7Parser.ts)</w:t>
            </w:r>
          </w:p>
        </w:tc>
        <w:tc>
          <w:tcPr>
            <w:tcW w:w="3249" w:type="dxa"/>
          </w:tcPr>
          <w:p>
            <w:r>
              <w:t>Parser HL7 v2/v3 (hl7Parser.ts) con unit tests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Endpoints de sincronización clínica</w:t>
            </w:r>
          </w:p>
        </w:tc>
        <w:tc>
          <w:tcPr>
            <w:tcW w:w="3249" w:type="dxa"/>
          </w:tcPr>
          <w:p>
            <w:r>
              <w:t>Endpoints de sincronización clínica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Documentación de interoperabilidad en el backend</w:t>
            </w:r>
          </w:p>
        </w:tc>
        <w:tc>
          <w:tcPr>
            <w:tcW w:w="3249" w:type="dxa"/>
          </w:tcPr>
          <w:p>
            <w:r>
              <w:t>Documentación de interoperabilidad en el backend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10 (Semana 21 a Semana 22):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21</w:t>
            </w:r>
          </w:p>
        </w:tc>
        <w:tc>
          <w:tcPr>
            <w:tcW w:w="1624" w:type="dxa"/>
          </w:tcPr>
          <w:p>
            <w:r>
              <w:t>Semana 21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21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Semana 22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10: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Heterogeneidad de formatos HL7 entre hospitales/laboratorios externos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Parser HL7 v2/v3 desacoplado con unit tests dedicados por variante de mensaje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10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10: Integración HL7 FHIR"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10: Integración HL7 FHIR" de METODOLOGIA_AGIL_PROYECTO.md — verificado en código real: backend/src/services/fhirService.ts, backend/src/utils/hl7Parser.ts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10: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10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10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11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