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10: Integración HL7 FHIR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10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10: Integración HL7 FHIR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10: Integración HL7 FHIR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21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22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Habilitar interoperabilidad clínica estándar mediante un cliente FHIR y un parser HL7 v2/v3, sentando las bases de la Fase 5 (Analítica Avanzada y Salud Conectada).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Servicio fhirService.ts con cliente Axios configurable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Parser HL7 v2/v3 (hl7Parser.ts) con unit tests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Endpoints de sincronización clínica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de interoperabilidad en el backend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9 y anteriores ya cerrados; Sprint 11 y posteriores aún no iniciados).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10: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 fhirService.ts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 fhirService.ts con cliente Axios configurable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Parser HL7 v2/v3 (hl7Parser.ts)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Parser HL7 v2/v3 (hl7Parser.ts) con unit tests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Endpoints de sincronización clínica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Endpoints de sincronización clínica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de interoperabilidad en el backend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de interoperabilidad en el backend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10 (Semana 21 a Semana 22):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10: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Heterogeneidad de formatos HL7 entre hospitales/laboratorios externos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Parser HL7 v2/v3 desacoplado con unit tests dedicados por variante de mensaje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10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10: Integración HL7 FHIR"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 cliente FHIR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backend/src/services/fhirService.ts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backend/src/routes/fhirRoutes.ts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Parser HL7 v2/v3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backend/src/utils/hl7Parser.ts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Página de visualización de mensajes HL7 (frontend)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web/src/pages/Hl7Page.js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unitarios y de integración de FHIR/HL7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backend/tests/unit/services/fhirService.test.ts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backend/tests/unit/utils/hl7Parser.test.ts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backend/tests/unit/controllers/fhirController.test.ts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backend/tests/unit/services/fhirValidator.test.ts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backend/tests/integration/fhir.integration.test.ts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10: Integración HL7 FHIR"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10: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10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10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11.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