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ESPECIFICACIÓN DE CASO DE PRUEBA</w:t>
      </w:r>
    </w:p>
    <w:p>
      <w:pPr>
        <w:jc w:val="center"/>
      </w:pPr>
      <w:r>
        <w:rPr>
          <w:b/>
          <w:sz w:val="24"/>
        </w:rPr>
        <w:t>CP-004 — Motor de reglas de emergencia (EmergencyRuleSystem)</w:t>
      </w:r>
    </w:p>
    <w:p>
      <w:pPr>
        <w:jc w:val="center"/>
      </w:pPr>
      <w:r>
        <w:rPr>
          <w:sz w:val="18"/>
        </w:rPr>
        <w:t>RespiCare — Sistema Web y Móvil para la Detección de Enfermedades Respiratorias en Tacna en 2026</w:t>
        <w:br/>
        <w:t>Universidad Privada de Tacna — Escuela Profesional de Ingeniería de Sistemas</w:t>
        <w:br/>
        <w:t>Curso: Construcción de Software II — Docente: Mag. Ricardo Eduardo Valcárcel Alvarado</w:t>
      </w:r>
    </w:p>
    <w:p/>
    <w:tbl>
      <w:tblPr>
        <w:tblStyle w:val="TableGrid"/>
        <w:tblW w:type="auto" w:w="0"/>
        <w:tblLayout w:type="autofit"/>
        <w:tblLook w:firstColumn="1" w:firstRow="1" w:lastColumn="0" w:lastRow="0" w:noHBand="0" w:noVBand="1" w:val="04A0"/>
      </w:tblPr>
      <w:tblGrid>
        <w:gridCol w:w="1317"/>
        <w:gridCol w:w="1317"/>
        <w:gridCol w:w="1317"/>
        <w:gridCol w:w="1317"/>
        <w:gridCol w:w="1317"/>
        <w:gridCol w:w="1317"/>
        <w:gridCol w:w="1317"/>
        <w:gridCol w:w="1317"/>
      </w:tblGrid>
      <w:tr>
        <w:tc>
          <w:tcPr>
            <w:tcW w:type="dxa" w:w="10536"/>
            <w:gridSpan w:val="8"/>
            <w:shd w:val="clear" w:color="auto" w:fill="4472C4"/>
          </w:tcPr>
          <w:p>
            <w:pPr>
              <w:jc w:val="center"/>
            </w:pPr>
            <w:r/>
            <w:r>
              <w:rPr>
                <w:b/>
                <w:sz w:val="22"/>
              </w:rPr>
              <w:t>CASO DE PRUEBA</w:t>
            </w:r>
          </w:p>
        </w:tc>
      </w:tr>
      <w:tr>
        <w:tc>
          <w:tcPr>
            <w:tcW w:type="dxa" w:w="1317"/>
            <w:vMerge w:val="restart"/>
            <w:shd w:val="clear" w:color="auto" w:fill="D9E2F3"/>
          </w:tcPr>
          <w:p>
            <w:r/>
            <w:r>
              <w:rPr>
                <w:b/>
                <w:sz w:val="18"/>
              </w:rPr>
              <w:t>CASO DE USO / RF</w:t>
            </w:r>
          </w:p>
        </w:tc>
        <w:tc>
          <w:tcPr>
            <w:tcW w:type="dxa" w:w="2634"/>
            <w:gridSpan w:val="2"/>
          </w:tcPr>
          <w:p>
            <w:r/>
            <w:r>
              <w:rPr>
                <w:b w:val="0"/>
                <w:sz w:val="18"/>
              </w:rPr>
              <w:t>RF-004 Reglas clínicas de emergencia</w:t>
            </w:r>
          </w:p>
        </w:tc>
        <w:tc>
          <w:tcPr>
            <w:tcW w:type="dxa" w:w="2634"/>
            <w:gridSpan w:val="2"/>
            <w:shd w:val="clear" w:color="auto" w:fill="D9E2F3"/>
          </w:tcPr>
          <w:p>
            <w:r/>
            <w:r>
              <w:rPr>
                <w:b/>
                <w:sz w:val="18"/>
              </w:rPr>
              <w:t>CASO N°</w:t>
            </w:r>
          </w:p>
        </w:tc>
        <w:tc>
          <w:tcPr>
            <w:tcW w:type="dxa" w:w="3951"/>
            <w:gridSpan w:val="3"/>
          </w:tcPr>
          <w:p>
            <w:r/>
            <w:r>
              <w:rPr>
                <w:b w:val="0"/>
                <w:sz w:val="18"/>
              </w:rPr>
              <w:t>CP-004</w:t>
            </w:r>
          </w:p>
        </w:tc>
      </w:tr>
      <w:tr>
        <w:tc>
          <w:tcPr>
            <w:tcW w:type="dxa" w:w="1317"/>
            <w:vMerge/>
          </w:tcPr>
          <w:p/>
        </w:tc>
        <w:tc>
          <w:tcPr>
            <w:tcW w:type="dxa" w:w="2634"/>
            <w:gridSpan w:val="2"/>
          </w:tcPr>
          <w:p/>
        </w:tc>
        <w:tc>
          <w:tcPr>
            <w:tcW w:type="dxa" w:w="2634"/>
            <w:gridSpan w:val="2"/>
            <w:shd w:val="clear" w:color="auto" w:fill="D9E2F3"/>
          </w:tcPr>
          <w:p>
            <w:r/>
            <w:r>
              <w:rPr>
                <w:b/>
                <w:sz w:val="18"/>
              </w:rPr>
              <w:t>VERSIÓN DE EJECUCIÓN</w:t>
            </w:r>
          </w:p>
        </w:tc>
        <w:tc>
          <w:tcPr>
            <w:tcW w:type="dxa" w:w="3951"/>
            <w:gridSpan w:val="3"/>
          </w:tcPr>
          <w:p>
            <w:r/>
            <w:r>
              <w:rPr>
                <w:b w:val="0"/>
                <w:sz w:val="18"/>
              </w:rPr>
              <w:t>v1.0</w:t>
            </w:r>
          </w:p>
        </w:tc>
      </w:tr>
      <w:tr>
        <w:tc>
          <w:tcPr>
            <w:tcW w:type="dxa" w:w="1317"/>
            <w:vMerge/>
          </w:tcPr>
          <w:p/>
        </w:tc>
        <w:tc>
          <w:tcPr>
            <w:tcW w:type="dxa" w:w="2634"/>
            <w:gridSpan w:val="2"/>
          </w:tcPr>
          <w:p/>
        </w:tc>
        <w:tc>
          <w:tcPr>
            <w:tcW w:type="dxa" w:w="2634"/>
            <w:gridSpan w:val="2"/>
            <w:shd w:val="clear" w:color="auto" w:fill="D9E2F3"/>
          </w:tcPr>
          <w:p>
            <w:r/>
            <w:r>
              <w:rPr>
                <w:b/>
                <w:sz w:val="18"/>
              </w:rPr>
              <w:t>FECHA DE EJECUCIÓN</w:t>
            </w:r>
          </w:p>
        </w:tc>
        <w:tc>
          <w:tcPr>
            <w:tcW w:type="dxa" w:w="3951"/>
            <w:gridSpan w:val="3"/>
          </w:tcPr>
          <w:p>
            <w:r/>
            <w:r>
              <w:rPr>
                <w:b w:val="0"/>
                <w:sz w:val="18"/>
              </w:rPr>
              <w:t>04/09/2026</w:t>
            </w:r>
          </w:p>
        </w:tc>
      </w:tr>
      <w:tr>
        <w:tc>
          <w:tcPr>
            <w:tcW w:type="dxa" w:w="1317"/>
            <w:vMerge/>
          </w:tcPr>
          <w:p/>
        </w:tc>
        <w:tc>
          <w:tcPr>
            <w:tcW w:type="dxa" w:w="2634"/>
            <w:gridSpan w:val="2"/>
          </w:tcPr>
          <w:p/>
        </w:tc>
        <w:tc>
          <w:tcPr>
            <w:tcW w:type="dxa" w:w="2634"/>
            <w:gridSpan w:val="2"/>
            <w:shd w:val="clear" w:color="auto" w:fill="D9E2F3"/>
          </w:tcPr>
          <w:p>
            <w:r/>
            <w:r>
              <w:rPr>
                <w:b/>
                <w:sz w:val="18"/>
              </w:rPr>
              <w:t>MÓDULO DEL SISTEMA</w:t>
            </w:r>
          </w:p>
        </w:tc>
        <w:tc>
          <w:tcPr>
            <w:tcW w:type="dxa" w:w="3951"/>
            <w:gridSpan w:val="3"/>
          </w:tcPr>
          <w:p>
            <w:r/>
            <w:r>
              <w:rPr>
                <w:b w:val="0"/>
                <w:sz w:val="18"/>
              </w:rPr>
              <w:t>Emergencias</w:t>
            </w:r>
          </w:p>
        </w:tc>
      </w:tr>
      <w:tr>
        <w:tc>
          <w:tcPr>
            <w:tcW w:type="dxa" w:w="3951"/>
            <w:gridSpan w:val="3"/>
            <w:shd w:val="clear" w:color="auto" w:fill="D9E2F3"/>
          </w:tcPr>
          <w:p>
            <w:r/>
            <w:r>
              <w:rPr>
                <w:b/>
                <w:sz w:val="18"/>
              </w:rPr>
              <w:t>Descripción de caso</w:t>
            </w:r>
          </w:p>
        </w:tc>
        <w:tc>
          <w:tcPr>
            <w:tcW w:type="dxa" w:w="6585"/>
            <w:gridSpan w:val="5"/>
          </w:tcPr>
          <w:p>
            <w:r/>
            <w:r>
              <w:rPr>
                <w:b w:val="0"/>
                <w:sz w:val="18"/>
              </w:rPr>
              <w:t>Se probará que el motor de reglas de emergencia (EmergencyService) detecte signos vitales/síntomas de alarma y dispare una alerta temprana de emergencia sin esperar el resultado del modelo de ML, así como el ciclo completo de una emergencia reportada por un paciente hasta su resolución.</w:t>
            </w:r>
          </w:p>
        </w:tc>
      </w:tr>
      <w:tr>
        <w:tc>
          <w:tcPr>
            <w:tcW w:type="dxa" w:w="10536"/>
            <w:gridSpan w:val="8"/>
            <w:shd w:val="clear" w:color="auto" w:fill="8EAADB"/>
          </w:tcPr>
          <w:p>
            <w:pPr>
              <w:jc w:val="center"/>
            </w:pPr>
            <w:r/>
            <w:r>
              <w:rPr>
                <w:b/>
                <w:sz w:val="18"/>
              </w:rPr>
              <w:t>Caso de Prueba — Tipo de prueba: Prueba unitaria + E2E</w:t>
            </w:r>
          </w:p>
        </w:tc>
      </w:tr>
      <w:tr>
        <w:tc>
          <w:tcPr>
            <w:tcW w:type="dxa" w:w="10536"/>
            <w:gridSpan w:val="8"/>
            <w:shd w:val="clear" w:color="auto" w:fill="D9E2F3"/>
          </w:tcPr>
          <w:p>
            <w:r/>
            <w:r>
              <w:rPr>
                <w:b/>
                <w:sz w:val="18"/>
              </w:rPr>
              <w:t>Precondiciones que deben cumplirse para realizar la prueba</w:t>
            </w:r>
          </w:p>
        </w:tc>
      </w:tr>
      <w:tr>
        <w:tc>
          <w:tcPr>
            <w:tcW w:type="dxa" w:w="10536"/>
            <w:gridSpan w:val="8"/>
          </w:tcPr>
          <w:p>
            <w:r/>
            <w:r>
              <w:rPr>
                <w:b w:val="0"/>
                <w:sz w:val="18"/>
              </w:rPr>
              <w:t>Existen tres cuentas activas en el sistema con roles paciente, doctor y administrador, cada una con un token JWT válido. El servicio de emergencias está habilitado (ENABLE_EMERGENCY_SERVICE=true) y configurado en modo simulado (sin cliente HTTP externo) para el entorno de pruebas.</w:t>
            </w:r>
          </w:p>
        </w:tc>
      </w:tr>
      <w:tr>
        <w:tc>
          <w:tcPr>
            <w:tcW w:type="dxa" w:w="10536"/>
            <w:gridSpan w:val="8"/>
            <w:shd w:val="clear" w:color="auto" w:fill="D9E2F3"/>
          </w:tcPr>
          <w:p>
            <w:r/>
            <w:r>
              <w:rPr>
                <w:b/>
                <w:sz w:val="18"/>
              </w:rPr>
              <w:t>Pasos secuenciales para ejecutar</w:t>
            </w:r>
          </w:p>
          <w:p>
            <w:r>
              <w:rPr>
                <w:b/>
                <w:sz w:val="18"/>
              </w:rPr>
              <w:t>Representa la secuencia de pasos que deberán ser ejecutados para verificar el caso de prueba</w:t>
            </w:r>
          </w:p>
        </w:tc>
      </w:tr>
      <w:tr>
        <w:tc>
          <w:tcPr>
            <w:tcW w:type="dxa" w:w="1317"/>
            <w:shd w:val="clear" w:color="auto" w:fill="8EAADB"/>
          </w:tcPr>
          <w:p>
            <w:pPr>
              <w:jc w:val="center"/>
            </w:pPr>
            <w:r/>
            <w:r>
              <w:rPr>
                <w:b/>
                <w:sz w:val="18"/>
              </w:rPr>
              <w:t>N°</w:t>
            </w:r>
          </w:p>
        </w:tc>
        <w:tc>
          <w:tcPr>
            <w:tcW w:type="dxa" w:w="3951"/>
            <w:gridSpan w:val="3"/>
            <w:shd w:val="clear" w:color="auto" w:fill="8EAADB"/>
          </w:tcPr>
          <w:p>
            <w:pPr>
              <w:jc w:val="center"/>
            </w:pPr>
            <w:r/>
            <w:r>
              <w:rPr>
                <w:b/>
                <w:sz w:val="18"/>
              </w:rPr>
              <w:t>Pasos</w:t>
            </w:r>
          </w:p>
        </w:tc>
        <w:tc>
          <w:tcPr>
            <w:tcW w:type="dxa" w:w="5268"/>
            <w:gridSpan w:val="4"/>
            <w:shd w:val="clear" w:color="auto" w:fill="8EAADB"/>
          </w:tcPr>
          <w:p>
            <w:pPr>
              <w:jc w:val="center"/>
            </w:pPr>
            <w:r/>
            <w:r>
              <w:rPr>
                <w:b/>
                <w:sz w:val="18"/>
              </w:rPr>
              <w:t>Resultado Esperado</w:t>
            </w:r>
          </w:p>
        </w:tc>
      </w:tr>
      <w:tr>
        <w:tc>
          <w:tcPr>
            <w:tcW w:type="dxa" w:w="10536"/>
            <w:gridSpan w:val="8"/>
            <w:shd w:val="clear" w:color="auto" w:fill="FCE4D6"/>
          </w:tcPr>
          <w:p>
            <w:r/>
            <w:r>
              <w:rPr>
                <w:b/>
                <w:sz w:val="18"/>
              </w:rPr>
              <w:t>Flujo Normal: Detección automática de emergencia por síntomas críticos</w:t>
            </w:r>
          </w:p>
        </w:tc>
      </w:tr>
      <w:tr>
        <w:tc>
          <w:tcPr>
            <w:tcW w:type="dxa" w:w="1317"/>
          </w:tcPr>
          <w:p>
            <w:pPr>
              <w:jc w:val="center"/>
            </w:pPr>
            <w:r/>
            <w:r>
              <w:rPr>
                <w:b w:val="0"/>
                <w:sz w:val="18"/>
              </w:rPr>
              <w:t>1</w:t>
            </w:r>
          </w:p>
        </w:tc>
        <w:tc>
          <w:tcPr>
            <w:tcW w:type="dxa" w:w="3951"/>
            <w:gridSpan w:val="3"/>
          </w:tcPr>
          <w:p>
            <w:r/>
            <w:r>
              <w:rPr>
                <w:b w:val="0"/>
                <w:sz w:val="18"/>
              </w:rPr>
              <w:t>El sistema recibe los síntomas del paciente e invoca detectEmergencyFromSymptoms() con una combinación de síntomas críticos (dificultad respiratoria + cianosis).</w:t>
            </w:r>
          </w:p>
        </w:tc>
        <w:tc>
          <w:tcPr>
            <w:tcW w:type="dxa" w:w="5268"/>
            <w:gridSpan w:val="4"/>
          </w:tcPr>
          <w:p>
            <w:r/>
            <w:r>
              <w:rPr>
                <w:b w:val="0"/>
                <w:sz w:val="18"/>
              </w:rPr>
              <w:t>El servicio identifica la combinación como crítica y crea automáticamente una emergencia.</w:t>
            </w:r>
          </w:p>
        </w:tc>
      </w:tr>
      <w:tr>
        <w:tc>
          <w:tcPr>
            <w:tcW w:type="dxa" w:w="1317"/>
          </w:tcPr>
          <w:p>
            <w:pPr>
              <w:jc w:val="center"/>
            </w:pPr>
            <w:r/>
            <w:r>
              <w:rPr>
                <w:b w:val="0"/>
                <w:sz w:val="18"/>
              </w:rPr>
              <w:t>2</w:t>
            </w:r>
          </w:p>
        </w:tc>
        <w:tc>
          <w:tcPr>
            <w:tcW w:type="dxa" w:w="3951"/>
            <w:gridSpan w:val="3"/>
          </w:tcPr>
          <w:p>
            <w:r/>
            <w:r>
              <w:rPr>
                <w:b w:val="0"/>
                <w:sz w:val="18"/>
              </w:rPr>
              <w:t>El paciente envía la solicitud POST /api/v1/emergencies con tipo "respiratory_distress", severidad "critical" y ubicación GPS válida.</w:t>
            </w:r>
          </w:p>
        </w:tc>
        <w:tc>
          <w:tcPr>
            <w:tcW w:type="dxa" w:w="5268"/>
            <w:gridSpan w:val="4"/>
          </w:tcPr>
          <w:p>
            <w:r/>
            <w:r>
              <w:rPr>
                <w:b w:val="0"/>
                <w:sz w:val="18"/>
              </w:rPr>
              <w:t>El sistema responde sin error de autenticación/autorización (no 401/403) y registra la emergencia como activa en el mapa interno del servicio.</w:t>
            </w:r>
          </w:p>
        </w:tc>
      </w:tr>
      <w:tr>
        <w:tc>
          <w:tcPr>
            <w:tcW w:type="dxa" w:w="1317"/>
          </w:tcPr>
          <w:p>
            <w:pPr>
              <w:jc w:val="center"/>
            </w:pPr>
            <w:r/>
            <w:r>
              <w:rPr>
                <w:b w:val="0"/>
                <w:sz w:val="18"/>
              </w:rPr>
              <w:t>3</w:t>
            </w:r>
          </w:p>
        </w:tc>
        <w:tc>
          <w:tcPr>
            <w:tcW w:type="dxa" w:w="3951"/>
            <w:gridSpan w:val="3"/>
          </w:tcPr>
          <w:p>
            <w:r/>
            <w:r>
              <w:rPr>
                <w:b w:val="0"/>
                <w:sz w:val="18"/>
              </w:rPr>
              <w:t>El administrador consulta GET /api/v1/emergencies para ver la lista de emergencias activas.</w:t>
            </w:r>
          </w:p>
        </w:tc>
        <w:tc>
          <w:tcPr>
            <w:tcW w:type="dxa" w:w="5268"/>
            <w:gridSpan w:val="4"/>
          </w:tcPr>
          <w:p>
            <w:r/>
            <w:r>
              <w:rPr>
                <w:b w:val="0"/>
                <w:sz w:val="18"/>
              </w:rPr>
              <w:t>El sistema retorna la lista de emergencias con success=true, incluyendo la emergencia recién creada.</w:t>
            </w:r>
          </w:p>
        </w:tc>
      </w:tr>
      <w:tr>
        <w:tc>
          <w:tcPr>
            <w:tcW w:type="dxa" w:w="1317"/>
          </w:tcPr>
          <w:p>
            <w:pPr>
              <w:jc w:val="center"/>
            </w:pPr>
            <w:r/>
            <w:r>
              <w:rPr>
                <w:b w:val="0"/>
                <w:sz w:val="18"/>
              </w:rPr>
              <w:t>4</w:t>
            </w:r>
          </w:p>
        </w:tc>
        <w:tc>
          <w:tcPr>
            <w:tcW w:type="dxa" w:w="3951"/>
            <w:gridSpan w:val="3"/>
          </w:tcPr>
          <w:p>
            <w:r/>
            <w:r>
              <w:rPr>
                <w:b w:val="0"/>
                <w:sz w:val="18"/>
              </w:rPr>
              <w:t>El doctor cambia el estado de la emergencia a "attending" mediante PUT /api/v1/emergencies/{id}/status.</w:t>
            </w:r>
          </w:p>
        </w:tc>
        <w:tc>
          <w:tcPr>
            <w:tcW w:type="dxa" w:w="5268"/>
            <w:gridSpan w:val="4"/>
          </w:tcPr>
          <w:p>
            <w:r/>
            <w:r>
              <w:rPr>
                <w:b w:val="0"/>
                <w:sz w:val="18"/>
              </w:rPr>
              <w:t>El sistema acepta el cambio de estado y refleja que la emergencia está siendo atendida.</w:t>
            </w:r>
          </w:p>
        </w:tc>
      </w:tr>
      <w:tr>
        <w:tc>
          <w:tcPr>
            <w:tcW w:type="dxa" w:w="1317"/>
          </w:tcPr>
          <w:p>
            <w:pPr>
              <w:jc w:val="center"/>
            </w:pPr>
            <w:r/>
            <w:r>
              <w:rPr>
                <w:b w:val="0"/>
                <w:sz w:val="18"/>
              </w:rPr>
              <w:t>5</w:t>
            </w:r>
          </w:p>
        </w:tc>
        <w:tc>
          <w:tcPr>
            <w:tcW w:type="dxa" w:w="3951"/>
            <w:gridSpan w:val="3"/>
          </w:tcPr>
          <w:p>
            <w:r/>
            <w:r>
              <w:rPr>
                <w:b w:val="0"/>
                <w:sz w:val="18"/>
              </w:rPr>
              <w:t>El administrador solicita una ambulancia mediante POST /api/v1/emergencies/ambulance/request con la ubicación del paciente y prioridad "high".</w:t>
            </w:r>
          </w:p>
        </w:tc>
        <w:tc>
          <w:tcPr>
            <w:tcW w:type="dxa" w:w="5268"/>
            <w:gridSpan w:val="4"/>
          </w:tcPr>
          <w:p>
            <w:r/>
            <w:r>
              <w:rPr>
                <w:b w:val="0"/>
                <w:sz w:val="18"/>
              </w:rPr>
              <w:t>El sistema despacha la ambulancia automáticamente (dispatchToEmergencyService) y notifica a los hospitales cercanos, continuando el flujo aunque el despacho o la notificación fallen internamente (no bloquean la creación de la emergencia).</w:t>
            </w:r>
          </w:p>
        </w:tc>
      </w:tr>
      <w:tr>
        <w:tc>
          <w:tcPr>
            <w:tcW w:type="dxa" w:w="10536"/>
            <w:gridSpan w:val="8"/>
            <w:shd w:val="clear" w:color="auto" w:fill="FCE4D6"/>
          </w:tcPr>
          <w:p>
            <w:r/>
            <w:r>
              <w:rPr>
                <w:b/>
                <w:sz w:val="18"/>
              </w:rPr>
              <w:t>Flujo de Error: Síntomas no críticos y coordenadas GPS inválidas</w:t>
            </w:r>
          </w:p>
        </w:tc>
      </w:tr>
      <w:tr>
        <w:tc>
          <w:tcPr>
            <w:tcW w:type="dxa" w:w="1317"/>
          </w:tcPr>
          <w:p>
            <w:pPr>
              <w:jc w:val="center"/>
            </w:pPr>
            <w:r/>
            <w:r>
              <w:rPr>
                <w:b w:val="0"/>
                <w:sz w:val="18"/>
              </w:rPr>
              <w:t>1</w:t>
            </w:r>
          </w:p>
        </w:tc>
        <w:tc>
          <w:tcPr>
            <w:tcW w:type="dxa" w:w="3951"/>
            <w:gridSpan w:val="3"/>
          </w:tcPr>
          <w:p>
            <w:r/>
            <w:r>
              <w:rPr>
                <w:b w:val="0"/>
                <w:sz w:val="18"/>
              </w:rPr>
              <w:t>El sistema invoca detectEmergencyFromSymptoms() con síntomas leves que no ameritan emergencia crítica (por ejemplo, solo congestión nasal).</w:t>
            </w:r>
          </w:p>
        </w:tc>
        <w:tc>
          <w:tcPr>
            <w:tcW w:type="dxa" w:w="5268"/>
            <w:gridSpan w:val="4"/>
          </w:tcPr>
          <w:p>
            <w:r/>
            <w:r>
              <w:rPr>
                <w:b w:val="0"/>
                <w:sz w:val="18"/>
              </w:rPr>
              <w:t>El servicio retorna null: no se crea ninguna emergencia ni se dispara ninguna alerta.</w:t>
            </w:r>
          </w:p>
        </w:tc>
      </w:tr>
      <w:tr>
        <w:tc>
          <w:tcPr>
            <w:tcW w:type="dxa" w:w="1317"/>
          </w:tcPr>
          <w:p>
            <w:pPr>
              <w:jc w:val="center"/>
            </w:pPr>
            <w:r/>
            <w:r>
              <w:rPr>
                <w:b w:val="0"/>
                <w:sz w:val="18"/>
              </w:rPr>
              <w:t>2</w:t>
            </w:r>
          </w:p>
        </w:tc>
        <w:tc>
          <w:tcPr>
            <w:tcW w:type="dxa" w:w="3951"/>
            <w:gridSpan w:val="3"/>
          </w:tcPr>
          <w:p>
            <w:r/>
            <w:r>
              <w:rPr>
                <w:b w:val="0"/>
                <w:sz w:val="18"/>
              </w:rPr>
              <w:t>El paciente envía POST /api/v1/emergencies con una latitud fuera de rango (por ejemplo, &gt; 90 o &lt; -90 grados).</w:t>
            </w:r>
          </w:p>
        </w:tc>
        <w:tc>
          <w:tcPr>
            <w:tcW w:type="dxa" w:w="5268"/>
            <w:gridSpan w:val="4"/>
          </w:tcPr>
          <w:p>
            <w:r/>
            <w:r>
              <w:rPr>
                <w:b w:val="0"/>
                <w:sz w:val="18"/>
              </w:rPr>
              <w:t>El servicio invoca validateLocation() y lanza un error controlado (400) indicando coordenadas GPS inválidas, sin crear la emergencia.</w:t>
            </w:r>
          </w:p>
        </w:tc>
      </w:tr>
      <w:tr>
        <w:tc>
          <w:tcPr>
            <w:tcW w:type="dxa" w:w="1317"/>
          </w:tcPr>
          <w:p>
            <w:pPr>
              <w:jc w:val="center"/>
            </w:pPr>
            <w:r/>
            <w:r>
              <w:rPr>
                <w:b w:val="0"/>
                <w:sz w:val="18"/>
              </w:rPr>
              <w:t>3</w:t>
            </w:r>
          </w:p>
        </w:tc>
        <w:tc>
          <w:tcPr>
            <w:tcW w:type="dxa" w:w="3951"/>
            <w:gridSpan w:val="3"/>
          </w:tcPr>
          <w:p>
            <w:r/>
            <w:r>
              <w:rPr>
                <w:b w:val="0"/>
                <w:sz w:val="18"/>
              </w:rPr>
              <w:t>El paciente reintenta con una longitud fuera de rango (&gt; 180 o &lt; -180 grados).</w:t>
            </w:r>
          </w:p>
        </w:tc>
        <w:tc>
          <w:tcPr>
            <w:tcW w:type="dxa" w:w="5268"/>
            <w:gridSpan w:val="4"/>
          </w:tcPr>
          <w:p>
            <w:r/>
            <w:r>
              <w:rPr>
                <w:b w:val="0"/>
                <w:sz w:val="18"/>
              </w:rPr>
              <w:t>El servicio rechaza la solicitud de la misma manera (400), validando también el eje de longitud.</w:t>
            </w:r>
          </w:p>
        </w:tc>
      </w:tr>
      <w:tr>
        <w:tc>
          <w:tcPr>
            <w:tcW w:type="dxa" w:w="1317"/>
          </w:tcPr>
          <w:p>
            <w:pPr>
              <w:jc w:val="center"/>
            </w:pPr>
            <w:r/>
            <w:r>
              <w:rPr>
                <w:b w:val="0"/>
                <w:sz w:val="18"/>
              </w:rPr>
              <w:t>4</w:t>
            </w:r>
          </w:p>
        </w:tc>
        <w:tc>
          <w:tcPr>
            <w:tcW w:type="dxa" w:w="3951"/>
            <w:gridSpan w:val="3"/>
          </w:tcPr>
          <w:p>
            <w:r/>
            <w:r>
              <w:rPr>
                <w:b w:val="0"/>
                <w:sz w:val="18"/>
              </w:rPr>
              <w:t>Se intenta crear una emergencia con el servicio deshabilitado (ENABLE_EMERGENCY_SERVICE=false).</w:t>
            </w:r>
          </w:p>
        </w:tc>
        <w:tc>
          <w:tcPr>
            <w:tcW w:type="dxa" w:w="5268"/>
            <w:gridSpan w:val="4"/>
          </w:tcPr>
          <w:p>
            <w:r/>
            <w:r>
              <w:rPr>
                <w:b w:val="0"/>
                <w:sz w:val="18"/>
              </w:rPr>
              <w:t>El servicio lanza un error indicando que el servicio de emergencias está deshabilitado, sin crear ningún registro.</w:t>
            </w:r>
          </w:p>
        </w:tc>
      </w:tr>
      <w:tr>
        <w:tc>
          <w:tcPr>
            <w:tcW w:type="dxa" w:w="10536"/>
            <w:gridSpan w:val="8"/>
            <w:shd w:val="clear" w:color="auto" w:fill="D9E2F3"/>
          </w:tcPr>
          <w:p>
            <w:r/>
            <w:r>
              <w:rPr>
                <w:b/>
                <w:sz w:val="18"/>
              </w:rPr>
              <w:t>Postcondiciones que deben cumplirse tras la ejecución de la prueba</w:t>
            </w:r>
          </w:p>
        </w:tc>
      </w:tr>
      <w:tr>
        <w:tc>
          <w:tcPr>
            <w:tcW w:type="dxa" w:w="10536"/>
            <w:gridSpan w:val="8"/>
          </w:tcPr>
          <w:p>
            <w:r/>
            <w:r>
              <w:rPr>
                <w:b w:val="0"/>
                <w:sz w:val="18"/>
              </w:rPr>
              <w:t>La emergencia crítica queda registrada como activa (o cancelada, según el escenario) en el sistema, con estado consultable mediante getEmergencyStatus(). Los escenarios de entrada inválida no dejan ningún registro de emergencia creado.</w:t>
            </w:r>
          </w:p>
        </w:tc>
      </w:tr>
      <w:tr>
        <w:tc>
          <w:tcPr>
            <w:tcW w:type="dxa" w:w="10536"/>
            <w:gridSpan w:val="8"/>
            <w:shd w:val="clear" w:color="auto" w:fill="4472C4"/>
          </w:tcPr>
          <w:p>
            <w:pPr>
              <w:jc w:val="center"/>
            </w:pPr>
            <w:r/>
            <w:r>
              <w:rPr>
                <w:b/>
                <w:sz w:val="22"/>
              </w:rPr>
              <w:t>RESULTADOS DE LA PRUEBA</w:t>
            </w:r>
          </w:p>
        </w:tc>
      </w:tr>
      <w:tr>
        <w:tc>
          <w:tcPr>
            <w:tcW w:type="dxa" w:w="7902"/>
            <w:gridSpan w:val="6"/>
            <w:shd w:val="clear" w:color="auto" w:fill="D9E2F3"/>
          </w:tcPr>
          <w:p>
            <w:r/>
            <w:r>
              <w:rPr>
                <w:b/>
                <w:sz w:val="18"/>
              </w:rPr>
              <w:t>Defectos y desviaciones encontradas en las pruebas</w:t>
            </w:r>
          </w:p>
        </w:tc>
        <w:tc>
          <w:tcPr>
            <w:tcW w:type="dxa" w:w="2634"/>
            <w:gridSpan w:val="2"/>
            <w:shd w:val="clear" w:color="auto" w:fill="D9E2F3"/>
          </w:tcPr>
          <w:p>
            <w:pPr>
              <w:jc w:val="center"/>
            </w:pPr>
            <w:r/>
            <w:r>
              <w:rPr>
                <w:b/>
                <w:sz w:val="18"/>
              </w:rPr>
              <w:t>RESULTADO (marcar X)</w:t>
            </w:r>
          </w:p>
        </w:tc>
      </w:tr>
      <w:tr>
        <w:tc>
          <w:tcPr>
            <w:tcW w:type="dxa" w:w="7902"/>
            <w:gridSpan w:val="6"/>
          </w:tcPr>
          <w:p>
            <w:r/>
            <w:r>
              <w:rPr>
                <w:b w:val="0"/>
                <w:sz w:val="18"/>
              </w:rPr>
              <w:t>La prueba se ejecutó exitosamente sin encontrar errores durante la ejecución del flujo normal ni del flujo de error/entrada inválida. Los 18 casos de emergencyService.test.ts, más los escenarios del ciclo completo de emergency.e2e.test.ts, se ejecutaron correctamente.</w:t>
            </w:r>
          </w:p>
        </w:tc>
        <w:tc>
          <w:tcPr>
            <w:tcW w:type="dxa" w:w="1317"/>
          </w:tcPr>
          <w:p>
            <w:pPr>
              <w:jc w:val="center"/>
            </w:pPr>
            <w:r/>
            <w:r>
              <w:rPr>
                <w:b/>
                <w:sz w:val="20"/>
              </w:rPr>
              <w:t>X</w:t>
            </w:r>
          </w:p>
        </w:tc>
        <w:tc>
          <w:tcPr>
            <w:tcW w:type="dxa" w:w="1317"/>
          </w:tcPr>
          <w:p>
            <w:pPr>
              <w:jc w:val="center"/>
            </w:pPr>
            <w:r/>
            <w:r>
              <w:rPr>
                <w:b w:val="0"/>
                <w:sz w:val="18"/>
              </w:rPr>
              <w:t>Con éxito</w:t>
            </w:r>
          </w:p>
        </w:tc>
      </w:tr>
      <w:tr>
        <w:tc>
          <w:tcPr>
            <w:tcW w:type="dxa" w:w="7902"/>
            <w:gridSpan w:val="6"/>
          </w:tcPr>
          <w:p>
            <w:r/>
            <w:r>
              <w:rPr>
                <w:b w:val="0"/>
                <w:sz w:val="18"/>
              </w:rPr>
              <w:t>No aplica — la prueba no fue interrumpida.</w:t>
            </w:r>
          </w:p>
        </w:tc>
        <w:tc>
          <w:tcPr>
            <w:tcW w:type="dxa" w:w="1317"/>
          </w:tcPr>
          <w:p>
            <w:pPr>
              <w:jc w:val="center"/>
            </w:pPr>
            <w:r/>
            <w:r>
              <w:rPr>
                <w:b/>
                <w:sz w:val="20"/>
              </w:rPr>
            </w:r>
          </w:p>
        </w:tc>
        <w:tc>
          <w:tcPr>
            <w:tcW w:type="dxa" w:w="1317"/>
          </w:tcPr>
          <w:p>
            <w:pPr>
              <w:jc w:val="center"/>
            </w:pPr>
            <w:r/>
            <w:r>
              <w:rPr>
                <w:b w:val="0"/>
                <w:sz w:val="18"/>
              </w:rPr>
              <w:t>Paralizada</w:t>
            </w:r>
          </w:p>
        </w:tc>
      </w:tr>
      <w:tr>
        <w:tc>
          <w:tcPr>
            <w:tcW w:type="dxa" w:w="7902"/>
            <w:gridSpan w:val="6"/>
          </w:tcPr>
          <w:p>
            <w:r/>
            <w:r>
              <w:rPr>
                <w:b w:val="0"/>
                <w:sz w:val="18"/>
              </w:rPr>
              <w:t>No aplica — la prueba no fue suspendida.</w:t>
            </w:r>
          </w:p>
        </w:tc>
        <w:tc>
          <w:tcPr>
            <w:tcW w:type="dxa" w:w="1317"/>
          </w:tcPr>
          <w:p>
            <w:pPr>
              <w:jc w:val="center"/>
            </w:pPr>
            <w:r/>
            <w:r>
              <w:rPr>
                <w:b/>
                <w:sz w:val="20"/>
              </w:rPr>
            </w:r>
          </w:p>
        </w:tc>
        <w:tc>
          <w:tcPr>
            <w:tcW w:type="dxa" w:w="1317"/>
          </w:tcPr>
          <w:p>
            <w:pPr>
              <w:jc w:val="center"/>
            </w:pPr>
            <w:r/>
            <w:r>
              <w:rPr>
                <w:b w:val="0"/>
                <w:sz w:val="18"/>
              </w:rPr>
              <w:t>Suspendida</w:t>
            </w:r>
          </w:p>
        </w:tc>
      </w:tr>
      <w:tr>
        <w:tc>
          <w:tcPr>
            <w:tcW w:type="dxa" w:w="5268"/>
            <w:gridSpan w:val="4"/>
            <w:shd w:val="clear" w:color="auto" w:fill="D9E2F3"/>
          </w:tcPr>
          <w:p>
            <w:r/>
            <w:r>
              <w:rPr>
                <w:b/>
                <w:sz w:val="18"/>
              </w:rPr>
              <w:t>Observaciones Generales</w:t>
            </w:r>
          </w:p>
        </w:tc>
        <w:tc>
          <w:tcPr>
            <w:tcW w:type="dxa" w:w="5268"/>
            <w:gridSpan w:val="4"/>
            <w:shd w:val="clear" w:color="auto" w:fill="D9E2F3"/>
          </w:tcPr>
          <w:p>
            <w:r/>
            <w:r>
              <w:rPr>
                <w:b/>
                <w:sz w:val="18"/>
              </w:rPr>
              <w:t>Responsable de Prueba</w:t>
            </w:r>
          </w:p>
        </w:tc>
      </w:tr>
      <w:tr>
        <w:tc>
          <w:tcPr>
            <w:tcW w:type="dxa" w:w="5268"/>
            <w:gridSpan w:val="4"/>
          </w:tcPr>
          <w:p>
            <w:r/>
            <w:r>
              <w:rPr>
                <w:b w:val="0"/>
                <w:sz w:val="18"/>
              </w:rPr>
              <w:t>Caso ya implementado y verificado mediante pruebas automatizadas (Jest + Supertest). Esta especificación documenta manualmente, con fines de trazabilidad académica, los escenarios de éxito y error ya cubiertos por dichas pruebas.</w:t>
            </w:r>
          </w:p>
        </w:tc>
        <w:tc>
          <w:tcPr>
            <w:tcW w:type="dxa" w:w="5268"/>
            <w:gridSpan w:val="4"/>
          </w:tcPr>
          <w:p>
            <w:r/>
            <w:r>
              <w:rPr>
                <w:b w:val="0"/>
                <w:sz w:val="18"/>
              </w:rPr>
              <w:t>Firma: ____________________________</w:t>
            </w:r>
          </w:p>
          <w:p>
            <w:r>
              <w:rPr>
                <w:b w:val="0"/>
                <w:sz w:val="18"/>
              </w:rPr>
              <w:t>Nombre: Cesar Fabian Chávez Linares</w:t>
            </w:r>
          </w:p>
          <w:p>
            <w:r>
              <w:rPr>
                <w:b w:val="0"/>
                <w:sz w:val="18"/>
              </w:rPr>
              <w:t>Fecha: 04/09/2026</w:t>
            </w:r>
          </w:p>
          <w:p>
            <w:r>
              <w:rPr>
                <w:b w:val="0"/>
                <w:sz w:val="18"/>
              </w:rPr>
            </w:r>
          </w:p>
          <w:p>
            <w:r>
              <w:rPr>
                <w:b w:val="0"/>
                <w:sz w:val="18"/>
              </w:rPr>
              <w:t>Firma (Docente / Revisor): ____________________________</w:t>
            </w:r>
          </w:p>
          <w:p>
            <w:r>
              <w:rPr>
                <w:b w:val="0"/>
                <w:sz w:val="18"/>
              </w:rPr>
              <w:t>Nombre: Mag. Ricardo Eduardo Valcárcel Alvarado</w:t>
            </w:r>
          </w:p>
          <w:p>
            <w:r>
              <w:rPr>
                <w:b w:val="0"/>
                <w:sz w:val="18"/>
              </w:rPr>
              <w:t>Fecha: ______________</w:t>
            </w:r>
          </w:p>
        </w:tc>
      </w:tr>
    </w:tbl>
    <w:p/>
    <w:p>
      <w:r>
        <w:rPr>
          <w:i/>
          <w:sz w:val="16"/>
        </w:rPr>
        <w:t>Nota: esta especificación detalla, con fines de trazabilidad, un caso ya cubierto por pruebas automatizadas en el repositorio (backend/tests/unit/services/emergencyService.test.ts, backend/tests/e2e/emergency.e2e.test.ts). Los pasos, precondiciones y postcondiciones aquí descritos corresponden a los escenarios efectivamente verificados por dichas pruebas.</w:t>
      </w:r>
    </w:p>
    <w:sectPr w:rsidR="00FC693F" w:rsidRPr="0006063C" w:rsidSect="00034616">
      <w:pgSz w:w="12240" w:h="15840"/>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