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ESPECIFICACIÓN DE CASO DE PRUEBA</w:t>
      </w:r>
    </w:p>
    <w:p>
      <w:pPr>
        <w:jc w:val="center"/>
      </w:pPr>
      <w:r>
        <w:rPr>
          <w:b/>
          <w:sz w:val="24"/>
        </w:rPr>
        <w:t>CP-007 — Panel del doctor: revisión y firma de predicción</w:t>
      </w:r>
    </w:p>
    <w:p>
      <w:pPr>
        <w:jc w:val="center"/>
      </w:pPr>
      <w:r>
        <w:rPr>
          <w:sz w:val="18"/>
        </w:rPr>
        <w:t>RespiCare — Sistema Web y Móvil para la Detección de Enfermedades Respiratorias en Tacna en 2026</w:t>
        <w:br/>
        <w:t>Universidad Privada de Tacna — Escuela Profesional de Ingeniería de Sistemas</w:t>
        <w:br/>
        <w:t>Curso: Construcción de Software II — Docente: Mag. Ricardo Eduardo Valcárcel Alvarado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0536"/>
            <w:gridSpan w:val="8"/>
            <w:shd w:val="clear" w:color="auto" w:fill="4472C4"/>
          </w:tcPr>
          <w:p>
            <w:pPr>
              <w:jc w:val="center"/>
            </w:pPr>
            <w:r/>
            <w:r>
              <w:rPr>
                <w:b/>
                <w:sz w:val="22"/>
              </w:rPr>
              <w:t>CASO DE PRUEBA</w:t>
            </w:r>
          </w:p>
        </w:tc>
      </w:tr>
      <w:tr>
        <w:tc>
          <w:tcPr>
            <w:tcW w:type="dxa" w:w="1317"/>
            <w:vMerge w:val="restart"/>
            <w:shd w:val="clear" w:color="auto" w:fill="D9E2F3"/>
          </w:tcPr>
          <w:p>
            <w:r/>
            <w:r>
              <w:rPr>
                <w:b/>
                <w:sz w:val="18"/>
              </w:rPr>
              <w:t>CASO DE USO / RF</w:t>
            </w:r>
          </w:p>
        </w:tc>
        <w:tc>
          <w:tcPr>
            <w:tcW w:type="dxa" w:w="2634"/>
            <w:gridSpan w:val="2"/>
          </w:tcPr>
          <w:p>
            <w:r/>
            <w:r>
              <w:rPr>
                <w:b w:val="0"/>
                <w:sz w:val="18"/>
              </w:rPr>
              <w:t>RF-007 Panel del doctor</w:t>
            </w:r>
          </w:p>
        </w:tc>
        <w:tc>
          <w:tcPr>
            <w:tcW w:type="dxa" w:w="2634"/>
            <w:gridSpan w:val="2"/>
            <w:shd w:val="clear" w:color="auto" w:fill="D9E2F3"/>
          </w:tcPr>
          <w:p>
            <w:r/>
            <w:r>
              <w:rPr>
                <w:b/>
                <w:sz w:val="18"/>
              </w:rPr>
              <w:t>CASO N°</w:t>
            </w:r>
          </w:p>
        </w:tc>
        <w:tc>
          <w:tcPr>
            <w:tcW w:type="dxa" w:w="3951"/>
            <w:gridSpan w:val="3"/>
          </w:tcPr>
          <w:p>
            <w:r/>
            <w:r>
              <w:rPr>
                <w:b w:val="0"/>
                <w:sz w:val="18"/>
              </w:rPr>
              <w:t>CP-007</w:t>
            </w:r>
          </w:p>
        </w:tc>
      </w:tr>
      <w:tr>
        <w:tc>
          <w:tcPr>
            <w:tcW w:type="dxa" w:w="1317"/>
            <w:vMerge/>
          </w:tcPr>
          <w:p/>
        </w:tc>
        <w:tc>
          <w:tcPr>
            <w:tcW w:type="dxa" w:w="2634"/>
            <w:gridSpan w:val="2"/>
          </w:tcPr>
          <w:p/>
        </w:tc>
        <w:tc>
          <w:tcPr>
            <w:tcW w:type="dxa" w:w="2634"/>
            <w:gridSpan w:val="2"/>
            <w:shd w:val="clear" w:color="auto" w:fill="D9E2F3"/>
          </w:tcPr>
          <w:p>
            <w:r/>
            <w:r>
              <w:rPr>
                <w:b/>
                <w:sz w:val="18"/>
              </w:rPr>
              <w:t>VERSIÓN DE EJECUCIÓN</w:t>
            </w:r>
          </w:p>
        </w:tc>
        <w:tc>
          <w:tcPr>
            <w:tcW w:type="dxa" w:w="3951"/>
            <w:gridSpan w:val="3"/>
          </w:tcPr>
          <w:p>
            <w:r/>
            <w:r>
              <w:rPr>
                <w:b w:val="0"/>
                <w:sz w:val="18"/>
              </w:rPr>
              <w:t>v1.0</w:t>
            </w:r>
          </w:p>
        </w:tc>
      </w:tr>
      <w:tr>
        <w:tc>
          <w:tcPr>
            <w:tcW w:type="dxa" w:w="1317"/>
            <w:vMerge/>
          </w:tcPr>
          <w:p/>
        </w:tc>
        <w:tc>
          <w:tcPr>
            <w:tcW w:type="dxa" w:w="2634"/>
            <w:gridSpan w:val="2"/>
          </w:tcPr>
          <w:p/>
        </w:tc>
        <w:tc>
          <w:tcPr>
            <w:tcW w:type="dxa" w:w="2634"/>
            <w:gridSpan w:val="2"/>
            <w:shd w:val="clear" w:color="auto" w:fill="D9E2F3"/>
          </w:tcPr>
          <w:p>
            <w:r/>
            <w:r>
              <w:rPr>
                <w:b/>
                <w:sz w:val="18"/>
              </w:rPr>
              <w:t>FECHA DE EJECUCIÓN</w:t>
            </w:r>
          </w:p>
        </w:tc>
        <w:tc>
          <w:tcPr>
            <w:tcW w:type="dxa" w:w="3951"/>
            <w:gridSpan w:val="3"/>
          </w:tcPr>
          <w:p>
            <w:r/>
            <w:r>
              <w:rPr>
                <w:b w:val="0"/>
                <w:sz w:val="18"/>
              </w:rPr>
              <w:t>04/09/2026</w:t>
            </w:r>
          </w:p>
        </w:tc>
      </w:tr>
      <w:tr>
        <w:tc>
          <w:tcPr>
            <w:tcW w:type="dxa" w:w="1317"/>
            <w:vMerge/>
          </w:tcPr>
          <w:p/>
        </w:tc>
        <w:tc>
          <w:tcPr>
            <w:tcW w:type="dxa" w:w="2634"/>
            <w:gridSpan w:val="2"/>
          </w:tcPr>
          <w:p/>
        </w:tc>
        <w:tc>
          <w:tcPr>
            <w:tcW w:type="dxa" w:w="2634"/>
            <w:gridSpan w:val="2"/>
            <w:shd w:val="clear" w:color="auto" w:fill="D9E2F3"/>
          </w:tcPr>
          <w:p>
            <w:r/>
            <w:r>
              <w:rPr>
                <w:b/>
                <w:sz w:val="18"/>
              </w:rPr>
              <w:t>MÓDULO DEL SISTEMA</w:t>
            </w:r>
          </w:p>
        </w:tc>
        <w:tc>
          <w:tcPr>
            <w:tcW w:type="dxa" w:w="3951"/>
            <w:gridSpan w:val="3"/>
          </w:tcPr>
          <w:p>
            <w:r/>
            <w:r>
              <w:rPr>
                <w:b w:val="0"/>
                <w:sz w:val="18"/>
              </w:rPr>
              <w:t>Panel del doctor</w:t>
            </w:r>
          </w:p>
        </w:tc>
      </w:tr>
      <w:tr>
        <w:tc>
          <w:tcPr>
            <w:tcW w:type="dxa" w:w="3951"/>
            <w:gridSpan w:val="3"/>
            <w:shd w:val="clear" w:color="auto" w:fill="D9E2F3"/>
          </w:tcPr>
          <w:p>
            <w:r/>
            <w:r>
              <w:rPr>
                <w:b/>
                <w:sz w:val="18"/>
              </w:rPr>
              <w:t>Descripción de caso</w:t>
            </w:r>
          </w:p>
        </w:tc>
        <w:tc>
          <w:tcPr>
            <w:tcW w:type="dxa" w:w="6585"/>
            <w:gridSpan w:val="5"/>
          </w:tcPr>
          <w:p>
            <w:r/>
            <w:r>
              <w:rPr>
                <w:b w:val="0"/>
                <w:sz w:val="18"/>
              </w:rPr>
              <w:t>Se probará que un médico pueda listar los análisis de IA pendientes de revisión, consultar el detalle de un análisis, y aprobar, rechazar o ajustar la predicción del modelo registrando una firma electrónica, incluyendo el control de acceso por rol y el bloqueo de doble revisión.</w:t>
            </w:r>
          </w:p>
        </w:tc>
      </w:tr>
      <w:tr>
        <w:tc>
          <w:tcPr>
            <w:tcW w:type="dxa" w:w="10536"/>
            <w:gridSpan w:val="8"/>
            <w:shd w:val="clear" w:color="auto" w:fill="8EAADB"/>
          </w:tcPr>
          <w:p>
            <w:pPr>
              <w:jc w:val="center"/>
            </w:pPr>
            <w:r/>
            <w:r>
              <w:rPr>
                <w:b/>
                <w:sz w:val="18"/>
              </w:rPr>
              <w:t>Caso de Prueba — Tipo de prueba: Prueba de integración</w:t>
            </w:r>
          </w:p>
        </w:tc>
      </w:tr>
      <w:tr>
        <w:tc>
          <w:tcPr>
            <w:tcW w:type="dxa" w:w="10536"/>
            <w:gridSpan w:val="8"/>
            <w:shd w:val="clear" w:color="auto" w:fill="D9E2F3"/>
          </w:tcPr>
          <w:p>
            <w:r/>
            <w:r>
              <w:rPr>
                <w:b/>
                <w:sz w:val="18"/>
              </w:rPr>
              <w:t>Precondiciones que deben cumplirse para realizar la prueba</w:t>
            </w:r>
          </w:p>
        </w:tc>
      </w:tr>
      <w:tr>
        <w:tc>
          <w:tcPr>
            <w:tcW w:type="dxa" w:w="10536"/>
            <w:gridSpan w:val="8"/>
          </w:tcPr>
          <w:p>
            <w:r/>
            <w:r>
              <w:rPr>
                <w:b w:val="0"/>
                <w:sz w:val="18"/>
              </w:rPr>
              <w:t>Existen cuentas activas con roles paciente, doctor y administrador con tokens JWT válidos. Existe al menos un análisis de IA (AIAnalysisModel) registrado en la base de datos, con urgencia "high" y sin revisión previa (review=undefined).</w:t>
            </w:r>
          </w:p>
        </w:tc>
      </w:tr>
      <w:tr>
        <w:tc>
          <w:tcPr>
            <w:tcW w:type="dxa" w:w="10536"/>
            <w:gridSpan w:val="8"/>
            <w:shd w:val="clear" w:color="auto" w:fill="D9E2F3"/>
          </w:tcPr>
          <w:p>
            <w:r/>
            <w:r>
              <w:rPr>
                <w:b/>
                <w:sz w:val="18"/>
              </w:rPr>
              <w:t>Pasos secuenciales para ejecutar</w:t>
            </w:r>
          </w:p>
          <w:p>
            <w:r>
              <w:rPr>
                <w:b/>
                <w:sz w:val="18"/>
              </w:rPr>
              <w:t>Representa la secuencia de pasos que deberán ser ejecutados para verificar el caso de prueba</w:t>
            </w:r>
          </w:p>
        </w:tc>
      </w:tr>
      <w:tr>
        <w:tc>
          <w:tcPr>
            <w:tcW w:type="dxa" w:w="1317"/>
            <w:shd w:val="clear" w:color="auto" w:fill="8EAADB"/>
          </w:tcPr>
          <w:p>
            <w:pPr>
              <w:jc w:val="center"/>
            </w:pPr>
            <w:r/>
            <w:r>
              <w:rPr>
                <w:b/>
                <w:sz w:val="18"/>
              </w:rPr>
              <w:t>N°</w:t>
            </w:r>
          </w:p>
        </w:tc>
        <w:tc>
          <w:tcPr>
            <w:tcW w:type="dxa" w:w="3951"/>
            <w:gridSpan w:val="3"/>
            <w:shd w:val="clear" w:color="auto" w:fill="8EAADB"/>
          </w:tcPr>
          <w:p>
            <w:pPr>
              <w:jc w:val="center"/>
            </w:pPr>
            <w:r/>
            <w:r>
              <w:rPr>
                <w:b/>
                <w:sz w:val="18"/>
              </w:rPr>
              <w:t>Pasos</w:t>
            </w:r>
          </w:p>
        </w:tc>
        <w:tc>
          <w:tcPr>
            <w:tcW w:type="dxa" w:w="5268"/>
            <w:gridSpan w:val="4"/>
            <w:shd w:val="clear" w:color="auto" w:fill="8EAADB"/>
          </w:tcPr>
          <w:p>
            <w:pPr>
              <w:jc w:val="center"/>
            </w:pPr>
            <w:r/>
            <w:r>
              <w:rPr>
                <w:b/>
                <w:sz w:val="18"/>
              </w:rPr>
              <w:t>Resultado Esperado</w:t>
            </w:r>
          </w:p>
        </w:tc>
      </w:tr>
      <w:tr>
        <w:tc>
          <w:tcPr>
            <w:tcW w:type="dxa" w:w="10536"/>
            <w:gridSpan w:val="8"/>
            <w:shd w:val="clear" w:color="auto" w:fill="FCE4D6"/>
          </w:tcPr>
          <w:p>
            <w:r/>
            <w:r>
              <w:rPr>
                <w:b/>
                <w:sz w:val="18"/>
              </w:rPr>
              <w:t>Flujo Normal: Aprobación con firma electrónica</w:t>
            </w:r>
          </w:p>
        </w:tc>
      </w:tr>
      <w:tr>
        <w:tc>
          <w:tcPr>
            <w:tcW w:type="dxa" w:w="13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951"/>
            <w:gridSpan w:val="3"/>
          </w:tcPr>
          <w:p>
            <w:r/>
            <w:r>
              <w:rPr>
                <w:b w:val="0"/>
                <w:sz w:val="18"/>
              </w:rPr>
              <w:t>El doctor envía GET /api/v1/ai-analysis/pending con paginación por defecto.</w:t>
            </w:r>
          </w:p>
        </w:tc>
        <w:tc>
          <w:tcPr>
            <w:tcW w:type="dxa" w:w="5268"/>
            <w:gridSpan w:val="4"/>
          </w:tcPr>
          <w:p>
            <w:r/>
            <w:r>
              <w:rPr>
                <w:b w:val="0"/>
                <w:sz w:val="18"/>
              </w:rPr>
              <w:t>El sistema retorna la lista de análisis pendientes de revisión con success=true, incluyendo el análisis creado en la precondición.</w:t>
            </w:r>
          </w:p>
        </w:tc>
      </w:tr>
      <w:tr>
        <w:tc>
          <w:tcPr>
            <w:tcW w:type="dxa" w:w="13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951"/>
            <w:gridSpan w:val="3"/>
          </w:tcPr>
          <w:p>
            <w:r/>
            <w:r>
              <w:rPr>
                <w:b w:val="0"/>
                <w:sz w:val="18"/>
              </w:rPr>
              <w:t>El paciente dueño del análisis envía GET /api/v1/ai-analysis/:id.</w:t>
            </w:r>
          </w:p>
        </w:tc>
        <w:tc>
          <w:tcPr>
            <w:tcW w:type="dxa" w:w="5268"/>
            <w:gridSpan w:val="4"/>
          </w:tcPr>
          <w:p>
            <w:r/>
            <w:r>
              <w:rPr>
                <w:b w:val="0"/>
                <w:sz w:val="18"/>
              </w:rPr>
              <w:t>El sistema le permite consultar su propio análisis, retornando el detalle completo.</w:t>
            </w:r>
          </w:p>
        </w:tc>
      </w:tr>
      <w:tr>
        <w:tc>
          <w:tcPr>
            <w:tcW w:type="dxa" w:w="13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951"/>
            <w:gridSpan w:val="3"/>
          </w:tcPr>
          <w:p>
            <w:r/>
            <w:r>
              <w:rPr>
                <w:b w:val="0"/>
                <w:sz w:val="18"/>
              </w:rPr>
              <w:t>El doctor envía POST /api/v1/ai-analysis/:id/review con decision="approved", un comentario clínico y una firma electrónica (signatureData + signatureMethod="digital").</w:t>
            </w:r>
          </w:p>
        </w:tc>
        <w:tc>
          <w:tcPr>
            <w:tcW w:type="dxa" w:w="5268"/>
            <w:gridSpan w:val="4"/>
          </w:tcPr>
          <w:p>
            <w:r/>
            <w:r>
              <w:rPr>
                <w:b w:val="0"/>
                <w:sz w:val="18"/>
              </w:rPr>
              <w:t>El sistema responde 200, marca el estado de la revisión como "approved", registra el doctorId y la firma queda persistida en el análisis (persisted.review.signature).</w:t>
            </w:r>
          </w:p>
        </w:tc>
      </w:tr>
      <w:tr>
        <w:tc>
          <w:tcPr>
            <w:tcW w:type="dxa" w:w="13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951"/>
            <w:gridSpan w:val="3"/>
          </w:tcPr>
          <w:p>
            <w:r/>
            <w:r>
              <w:rPr>
                <w:b w:val="0"/>
                <w:sz w:val="18"/>
              </w:rPr>
              <w:t>El doctor envía POST /api/v1/ai-analysis/:id/review para otro análisis con decision="adjusted", un diagnóstico ajustado ("Bronquitis aguda") y una urgencia ajustada ("medium").</w:t>
            </w:r>
          </w:p>
        </w:tc>
        <w:tc>
          <w:tcPr>
            <w:tcW w:type="dxa" w:w="5268"/>
            <w:gridSpan w:val="4"/>
          </w:tcPr>
          <w:p>
            <w:r/>
            <w:r>
              <w:rPr>
                <w:b w:val="0"/>
                <w:sz w:val="18"/>
              </w:rPr>
              <w:t>El sistema responde 200, marca el estado como "adjusted" y persiste el diagnóstico y la urgencia ajustados por el médico.</w:t>
            </w:r>
          </w:p>
        </w:tc>
      </w:tr>
      <w:tr>
        <w:tc>
          <w:tcPr>
            <w:tcW w:type="dxa" w:w="13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951"/>
            <w:gridSpan w:val="3"/>
          </w:tcPr>
          <w:p>
            <w:r/>
            <w:r>
              <w:rPr>
                <w:b w:val="0"/>
                <w:sz w:val="18"/>
              </w:rPr>
              <w:t>Un usuario con rol administrador envía POST /api/v1/ai-analysis/:id/review con decision="rejected" sobre un análisis pendiente.</w:t>
            </w:r>
          </w:p>
        </w:tc>
        <w:tc>
          <w:tcPr>
            <w:tcW w:type="dxa" w:w="5268"/>
            <w:gridSpan w:val="4"/>
          </w:tcPr>
          <w:p>
            <w:r/>
            <w:r>
              <w:rPr>
                <w:b w:val="0"/>
                <w:sz w:val="18"/>
              </w:rPr>
              <w:t>El sistema permite la revisión (el rol admin también puede revisar) y marca el análisis como rechazado.</w:t>
            </w:r>
          </w:p>
        </w:tc>
      </w:tr>
      <w:tr>
        <w:tc>
          <w:tcPr>
            <w:tcW w:type="dxa" w:w="10536"/>
            <w:gridSpan w:val="8"/>
            <w:shd w:val="clear" w:color="auto" w:fill="FCE4D6"/>
          </w:tcPr>
          <w:p>
            <w:r/>
            <w:r>
              <w:rPr>
                <w:b/>
                <w:sz w:val="18"/>
              </w:rPr>
              <w:t>Flujo de Error: Acceso indebido, validación y doble revisión</w:t>
            </w:r>
          </w:p>
        </w:tc>
      </w:tr>
      <w:tr>
        <w:tc>
          <w:tcPr>
            <w:tcW w:type="dxa" w:w="13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951"/>
            <w:gridSpan w:val="3"/>
          </w:tcPr>
          <w:p>
            <w:r/>
            <w:r>
              <w:rPr>
                <w:b w:val="0"/>
                <w:sz w:val="18"/>
              </w:rPr>
              <w:t>Un paciente (rol "patient") intenta consultar GET /api/v1/ai-analysis/pending.</w:t>
            </w:r>
          </w:p>
        </w:tc>
        <w:tc>
          <w:tcPr>
            <w:tcW w:type="dxa" w:w="5268"/>
            <w:gridSpan w:val="4"/>
          </w:tcPr>
          <w:p>
            <w:r/>
            <w:r>
              <w:rPr>
                <w:b w:val="0"/>
                <w:sz w:val="18"/>
              </w:rPr>
              <w:t>El sistema rechaza el acceso, dado que el listado de pendientes es exclusivo de roles doctor/admin.</w:t>
            </w:r>
          </w:p>
        </w:tc>
      </w:tr>
      <w:tr>
        <w:tc>
          <w:tcPr>
            <w:tcW w:type="dxa" w:w="13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951"/>
            <w:gridSpan w:val="3"/>
          </w:tcPr>
          <w:p>
            <w:r/>
            <w:r>
              <w:rPr>
                <w:b w:val="0"/>
                <w:sz w:val="18"/>
              </w:rPr>
              <w:t>Un paciente intenta consultar el análisis de otro paciente distinto al dueño (GET /api/v1/ai-analysis/:id de un análisis ajeno).</w:t>
            </w:r>
          </w:p>
        </w:tc>
        <w:tc>
          <w:tcPr>
            <w:tcW w:type="dxa" w:w="5268"/>
            <w:gridSpan w:val="4"/>
          </w:tcPr>
          <w:p>
            <w:r/>
            <w:r>
              <w:rPr>
                <w:b w:val="0"/>
                <w:sz w:val="18"/>
              </w:rPr>
              <w:t>El sistema rechaza la consulta por no ser el paciente dueño del análisis.</w:t>
            </w:r>
          </w:p>
        </w:tc>
      </w:tr>
      <w:tr>
        <w:tc>
          <w:tcPr>
            <w:tcW w:type="dxa" w:w="13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951"/>
            <w:gridSpan w:val="3"/>
          </w:tcPr>
          <w:p>
            <w:r/>
            <w:r>
              <w:rPr>
                <w:b w:val="0"/>
                <w:sz w:val="18"/>
              </w:rPr>
              <w:t>El doctor envía POST /api/v1/ai-analysis/:id/review con decision="adjusted" pero sin indicar diagnóstico ni urgencia ajustada.</w:t>
            </w:r>
          </w:p>
        </w:tc>
        <w:tc>
          <w:tcPr>
            <w:tcW w:type="dxa" w:w="5268"/>
            <w:gridSpan w:val="4"/>
          </w:tcPr>
          <w:p>
            <w:r/>
            <w:r>
              <w:rPr>
                <w:b w:val="0"/>
                <w:sz w:val="18"/>
              </w:rPr>
              <w:t>El sistema responde 400, rechazando el ajuste por datos incompletos.</w:t>
            </w:r>
          </w:p>
        </w:tc>
      </w:tr>
      <w:tr>
        <w:tc>
          <w:tcPr>
            <w:tcW w:type="dxa" w:w="13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951"/>
            <w:gridSpan w:val="3"/>
          </w:tcPr>
          <w:p>
            <w:r/>
            <w:r>
              <w:rPr>
                <w:b w:val="0"/>
                <w:sz w:val="18"/>
              </w:rPr>
              <w:t>El doctor envía POST /api/v1/ai-analysis/:id/review con decision="approved" pero sin incluir el objeto de firma electrónica (signature).</w:t>
            </w:r>
          </w:p>
        </w:tc>
        <w:tc>
          <w:tcPr>
            <w:tcW w:type="dxa" w:w="5268"/>
            <w:gridSpan w:val="4"/>
          </w:tcPr>
          <w:p>
            <w:r/>
            <w:r>
              <w:rPr>
                <w:b w:val="0"/>
                <w:sz w:val="18"/>
              </w:rPr>
              <w:t>El sistema responde 400, exigiendo la firma electrónica como requisito obligatorio para aprobar/rechazar/ajustar cualquier predicción.</w:t>
            </w:r>
          </w:p>
        </w:tc>
      </w:tr>
      <w:tr>
        <w:tc>
          <w:tcPr>
            <w:tcW w:type="dxa" w:w="13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951"/>
            <w:gridSpan w:val="3"/>
          </w:tcPr>
          <w:p>
            <w:r/>
            <w:r>
              <w:rPr>
                <w:b w:val="0"/>
                <w:sz w:val="18"/>
              </w:rPr>
              <w:t>El doctor intenta revisar por segunda vez un análisis que ya fue aprobado/rechazado previamente.</w:t>
            </w:r>
          </w:p>
        </w:tc>
        <w:tc>
          <w:tcPr>
            <w:tcW w:type="dxa" w:w="5268"/>
            <w:gridSpan w:val="4"/>
          </w:tcPr>
          <w:p>
            <w:r/>
            <w:r>
              <w:rPr>
                <w:b w:val="0"/>
                <w:sz w:val="18"/>
              </w:rPr>
              <w:t>El sistema impide la doble revisión, respondiendo con un error controlado sin sobrescribir la revisión ya registrada.</w:t>
            </w:r>
          </w:p>
        </w:tc>
      </w:tr>
      <w:tr>
        <w:tc>
          <w:tcPr>
            <w:tcW w:type="dxa" w:w="13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3951"/>
            <w:gridSpan w:val="3"/>
          </w:tcPr>
          <w:p>
            <w:r/>
            <w:r>
              <w:rPr>
                <w:b w:val="0"/>
                <w:sz w:val="18"/>
              </w:rPr>
              <w:t>Un paciente intenta enviar POST /api/v1/ai-analysis/:id/review sobre cualquier análisis.</w:t>
            </w:r>
          </w:p>
        </w:tc>
        <w:tc>
          <w:tcPr>
            <w:tcW w:type="dxa" w:w="5268"/>
            <w:gridSpan w:val="4"/>
          </w:tcPr>
          <w:p>
            <w:r/>
            <w:r>
              <w:rPr>
                <w:b w:val="0"/>
                <w:sz w:val="18"/>
              </w:rPr>
              <w:t>El sistema rechaza el acceso, dado que solo los roles doctor/admin pueden revisar predicciones.</w:t>
            </w:r>
          </w:p>
        </w:tc>
      </w:tr>
      <w:tr>
        <w:tc>
          <w:tcPr>
            <w:tcW w:type="dxa" w:w="10536"/>
            <w:gridSpan w:val="8"/>
            <w:shd w:val="clear" w:color="auto" w:fill="D9E2F3"/>
          </w:tcPr>
          <w:p>
            <w:r/>
            <w:r>
              <w:rPr>
                <w:b/>
                <w:sz w:val="18"/>
              </w:rPr>
              <w:t>Postcondiciones que deben cumplirse tras la ejecución de la prueba</w:t>
            </w:r>
          </w:p>
        </w:tc>
      </w:tr>
      <w:tr>
        <w:tc>
          <w:tcPr>
            <w:tcW w:type="dxa" w:w="10536"/>
            <w:gridSpan w:val="8"/>
          </w:tcPr>
          <w:p>
            <w:r/>
            <w:r>
              <w:rPr>
                <w:b w:val="0"/>
                <w:sz w:val="18"/>
              </w:rPr>
              <w:t>El análisis queda con su estado de revisión final (approved/adjusted/rejected), la firma electrónica del médico persistida, y —cuando corresponde— una alerta generada hacia el paciente notificando el resultado de la revisión médica.</w:t>
            </w:r>
          </w:p>
        </w:tc>
      </w:tr>
      <w:tr>
        <w:tc>
          <w:tcPr>
            <w:tcW w:type="dxa" w:w="10536"/>
            <w:gridSpan w:val="8"/>
            <w:shd w:val="clear" w:color="auto" w:fill="4472C4"/>
          </w:tcPr>
          <w:p>
            <w:pPr>
              <w:jc w:val="center"/>
            </w:pPr>
            <w:r/>
            <w:r>
              <w:rPr>
                <w:b/>
                <w:sz w:val="22"/>
              </w:rPr>
              <w:t>RESULTADOS DE LA PRUEBA</w:t>
            </w:r>
          </w:p>
        </w:tc>
      </w:tr>
      <w:tr>
        <w:tc>
          <w:tcPr>
            <w:tcW w:type="dxa" w:w="7902"/>
            <w:gridSpan w:val="6"/>
            <w:shd w:val="clear" w:color="auto" w:fill="D9E2F3"/>
          </w:tcPr>
          <w:p>
            <w:r/>
            <w:r>
              <w:rPr>
                <w:b/>
                <w:sz w:val="18"/>
              </w:rPr>
              <w:t>Defectos y desviaciones encontradas en las pruebas</w:t>
            </w:r>
          </w:p>
        </w:tc>
        <w:tc>
          <w:tcPr>
            <w:tcW w:type="dxa" w:w="2634"/>
            <w:gridSpan w:val="2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RESULTADO (marcar X)</w:t>
            </w:r>
          </w:p>
        </w:tc>
      </w:tr>
      <w:tr>
        <w:tc>
          <w:tcPr>
            <w:tcW w:type="dxa" w:w="7902"/>
            <w:gridSpan w:val="6"/>
          </w:tcPr>
          <w:p>
            <w:r/>
            <w:r>
              <w:rPr>
                <w:b w:val="0"/>
                <w:sz w:val="18"/>
              </w:rPr>
              <w:t>La prueba se ejecutó exitosamente sin encontrar errores: 13/13 casos unitarios (100% statements/functions/lines en aiAnalysisReviewService.test.ts) y 11/11 casos de integración end-to-end sobre /api/v1/ai-analysis (aiAnalysisReview.integration.test.ts).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b/>
                <w:sz w:val="20"/>
              </w:rPr>
              <w:t>X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Con éxito</w:t>
            </w:r>
          </w:p>
        </w:tc>
      </w:tr>
      <w:tr>
        <w:tc>
          <w:tcPr>
            <w:tcW w:type="dxa" w:w="7902"/>
            <w:gridSpan w:val="6"/>
          </w:tcPr>
          <w:p>
            <w:r/>
            <w:r>
              <w:rPr>
                <w:b w:val="0"/>
                <w:sz w:val="18"/>
              </w:rPr>
              <w:t>No aplica — la prueba no fue interrumpida.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Paralizada</w:t>
            </w:r>
          </w:p>
        </w:tc>
      </w:tr>
      <w:tr>
        <w:tc>
          <w:tcPr>
            <w:tcW w:type="dxa" w:w="7902"/>
            <w:gridSpan w:val="6"/>
          </w:tcPr>
          <w:p>
            <w:r/>
            <w:r>
              <w:rPr>
                <w:b w:val="0"/>
                <w:sz w:val="18"/>
              </w:rPr>
              <w:t>No aplica — la prueba no fue suspendida.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Suspendida</w:t>
            </w:r>
          </w:p>
        </w:tc>
      </w:tr>
      <w:tr>
        <w:tc>
          <w:tcPr>
            <w:tcW w:type="dxa" w:w="5268"/>
            <w:gridSpan w:val="4"/>
            <w:shd w:val="clear" w:color="auto" w:fill="D9E2F3"/>
          </w:tcPr>
          <w:p>
            <w:r/>
            <w:r>
              <w:rPr>
                <w:b/>
                <w:sz w:val="18"/>
              </w:rPr>
              <w:t>Observaciones Generales</w:t>
            </w:r>
          </w:p>
        </w:tc>
        <w:tc>
          <w:tcPr>
            <w:tcW w:type="dxa" w:w="5268"/>
            <w:gridSpan w:val="4"/>
            <w:shd w:val="clear" w:color="auto" w:fill="D9E2F3"/>
          </w:tcPr>
          <w:p>
            <w:r/>
            <w:r>
              <w:rPr>
                <w:b/>
                <w:sz w:val="18"/>
              </w:rPr>
              <w:t>Responsable de Prueba</w:t>
            </w:r>
          </w:p>
        </w:tc>
      </w:tr>
      <w:tr>
        <w:tc>
          <w:tcPr>
            <w:tcW w:type="dxa" w:w="5268"/>
            <w:gridSpan w:val="4"/>
          </w:tcPr>
          <w:p>
            <w:r/>
            <w:r>
              <w:rPr>
                <w:b w:val="0"/>
                <w:sz w:val="18"/>
              </w:rPr>
              <w:t>Gap RF-007 cerrado en la versión 1.2 del Plan de Pruebas: se agregaron aiAnalysisReviewService.test.ts (unitario) y aiAnalysisReview.integration.test.ts (integración con mongodb-memory-server), cubriendo aprobar/rechazar/ajustar, firma electrónica, autorización por rol y bloqueo de doble revisión. Este caso ilustra el flujo clínico de supervisión humana ("human-in-the-loop") sobre las predicciones de IA.</w:t>
            </w:r>
          </w:p>
        </w:tc>
        <w:tc>
          <w:tcPr>
            <w:tcW w:type="dxa" w:w="5268"/>
            <w:gridSpan w:val="4"/>
          </w:tcPr>
          <w:p>
            <w:r/>
            <w:r>
              <w:rPr>
                <w:b w:val="0"/>
                <w:sz w:val="18"/>
              </w:rPr>
              <w:t>Firma: ____________________________</w:t>
            </w:r>
          </w:p>
          <w:p>
            <w:r>
              <w:rPr>
                <w:b w:val="0"/>
                <w:sz w:val="18"/>
              </w:rPr>
              <w:t>Nombre: Cesar Fabian Chávez Linares</w:t>
            </w:r>
          </w:p>
          <w:p>
            <w:r>
              <w:rPr>
                <w:b w:val="0"/>
                <w:sz w:val="18"/>
              </w:rPr>
              <w:t>Fecha: 04/09/2026</w:t>
            </w:r>
          </w:p>
          <w:p>
            <w:r>
              <w:rPr>
                <w:b w:val="0"/>
                <w:sz w:val="18"/>
              </w:rPr>
            </w:r>
          </w:p>
          <w:p>
            <w:r>
              <w:rPr>
                <w:b w:val="0"/>
                <w:sz w:val="18"/>
              </w:rPr>
              <w:t>Firma (Docente / Revisor): ____________________________</w:t>
            </w:r>
          </w:p>
          <w:p>
            <w:r>
              <w:rPr>
                <w:b w:val="0"/>
                <w:sz w:val="18"/>
              </w:rPr>
              <w:t>Nombre: Mag. Ricardo Eduardo Valcárcel Alvarado</w:t>
            </w:r>
          </w:p>
          <w:p>
            <w:r>
              <w:rPr>
                <w:b w:val="0"/>
                <w:sz w:val="18"/>
              </w:rPr>
              <w:t>Fecha: ______________</w:t>
            </w:r>
          </w:p>
        </w:tc>
      </w:tr>
    </w:tbl>
    <w:p/>
    <w:p>
      <w:r>
        <w:rPr>
          <w:i/>
          <w:sz w:val="16"/>
        </w:rPr>
        <w:t>Nota: esta especificación detalla, con fines de trazabilidad, un caso ya cubierto por pruebas automatizadas en el repositorio (backend/tests/unit/services/aiAnalysisReviewService.test.ts, backend/tests/integration/aiAnalysisReview.integration.test.ts). Los pasos, precondiciones y postcondiciones aquí descritos corresponden a los escenarios efectivamente verificados por dichas pruebas.</w:t>
      </w:r>
    </w:p>
    <w:sectPr w:rsidR="00FC693F" w:rsidRPr="0006063C" w:rsidSect="00034616">
      <w:pgSz w:w="12240" w:h="15840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