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Reunión Nro. </w:t>
      </w:r>
      <w:r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01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Sistema Web y Móvil para la detección de enfermedades respiratorias en Tacna en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22/08/2026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Cesar Fabian Chavez Linares (2019063854)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rtl w:val="0"/>
              </w:rPr>
              <w:t xml:space="preserve">Piero Alexander Paja de la Cruz (2020067576)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both"/>
              <w:rPr>
                <w:rFonts w:ascii="Roboto" w:cs="Roboto" w:eastAsia="Roboto" w:hAnsi="Roboto"/>
              </w:rPr>
            </w:pPr>
            <w:r>
              <w:rPr>
                <w:rFonts w:ascii="Roboto" w:cs="Roboto" w:eastAsia="Roboto" w:hAnsi="Roboto"/>
                <w:rtl w:val="0"/>
              </w:rPr>
              <w:t xml:space="preserve">Elaboración del Laboratorio N°01 "Revisión de Código"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Agenda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1:</w:t>
            </w:r>
            <w:r>
              <w:rPr>
                <w:rFonts w:ascii="Arial" w:cs="Arial" w:eastAsia="Arial" w:hAnsi="Arial"/>
                <w:rtl w:val="0"/>
              </w:rPr>
              <w:t xml:space="preserve"> Identificación de las reglas de calidad de código (Guía de Laboratorio N°01)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2:</w:t>
            </w:r>
            <w:r>
              <w:rPr>
                <w:rFonts w:ascii="Arial" w:cs="Arial" w:eastAsia="Arial" w:hAnsi="Arial"/>
                <w:rtl w:val="0"/>
              </w:rPr>
              <w:t xml:space="preserve"> Trazabilidad con los requerimientos funcionales del SRS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3:</w:t>
            </w:r>
            <w:r>
              <w:rPr>
                <w:rFonts w:ascii="Arial" w:cs="Arial" w:eastAsia="Arial" w:hAnsi="Arial"/>
                <w:rtl w:val="0"/>
              </w:rPr>
              <w:t xml:space="preserve"> Revisión del código y corrección de hallazgos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4:</w:t>
            </w:r>
            <w:r>
              <w:rPr>
                <w:rFonts w:ascii="Arial" w:cs="Arial" w:eastAsia="Arial" w:hAnsi="Arial"/>
                <w:rtl w:val="0"/>
              </w:rPr>
              <w:t xml:space="preserve"> Elaboración y validación del informe final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 y compromisos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line="257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57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twy0etjset19" w:id="0"/>
            <w:bookmarkEnd w:id="0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1: Identificación de las reglas de calidad de código (Guía de Laboratorio N°01)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Se revisó la Guía Práctica “Revisión del Código” del curso Construcción de Software II, identificando las 8 reglas a evidenciar: duplicidad del código, comentarios en el código, revelar fallas lo más pronto posible, nombres de variables claros, convenciones de lenguaje, indentación, uso prudente de variables globales y optimización de los valores de retorno. Se acordó enfocar la revisión exclusivamente en el módulo backend del sistema (Node.js + TypeScript, arquitectura limpia).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Guía de laboratorio revisada y las 8 reglas de calidad identificadas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 definido:</w:t>
            </w:r>
            <w:r>
              <w:rPr>
                <w:rFonts w:ascii="Arial" w:cs="Arial" w:eastAsia="Arial" w:hAnsi="Arial"/>
                <w:rtl w:val="0"/>
              </w:rPr>
              <w:t xml:space="preserve"> revisión limitada al módulo backend (Node.js + TypeScript)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 del entregable acordado:</w:t>
            </w:r>
            <w:r>
              <w:rPr>
                <w:rFonts w:ascii="Arial" w:cs="Arial" w:eastAsia="Arial" w:hAnsi="Arial"/>
                <w:rtl w:val="0"/>
              </w:rPr>
              <w:t xml:space="preserve"> informe de revisión de código en Word (.docx)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Fuente de las reglas documentada:</w:t>
            </w:r>
            <w:r>
              <w:rPr>
                <w:rFonts w:ascii="Arial" w:cs="Arial" w:eastAsia="Arial" w:hAnsi="Arial"/>
                <w:rtl w:val="0"/>
              </w:rPr>
              <w:t xml:space="preserve"> Guía Práctica “Revisión del Código” (Lab01-RevisionCodigo.pdf)</w:t>
            </w:r>
          </w:p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3zbtqo3g8k35" w:id="1"/>
            <w:bookmarkEnd w:id="1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2: Trazabilidad con los requerimientos funcionales del SRS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Se revisó el Informe SRS del Proyecto (FD03-EPIS) y se identificaron los 12 requerimientos funcionales del sistema (RF-001 a RF-012). Se seleccionaron los 5 más críticos para el backend — RF-001 Gestión de usuarios, RF-002 Diagnóstico inteligente de síntomas, RF-004 Reglas clínicas de emergencia, RF-008 Historial clínico electrónico y RF-009 Sistema de alertas y notificaciones —, priorizados por concentrar la lógica de negocio central del sistema y contar con evidencia verificable en backend/src.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 requerimientos funcionales del SRS mapeados a sus módulos backend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 requerimientos priorizados seleccionados y justificados (RF-001, RF-002, RF-004, RF-008, RF-009)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selección aplicado:</w:t>
            </w:r>
            <w:r>
              <w:rPr>
                <w:rFonts w:ascii="Arial" w:cs="Arial" w:eastAsia="Arial" w:hAnsi="Arial"/>
                <w:rtl w:val="0"/>
              </w:rPr>
              <w:t xml:space="preserve"> prioridad Alta/Media y evidencia verificable en el código backend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seleccionados documentados (dependientes de ai-services o no implementados)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cz2dykz4qhkh" w:id="2"/>
            <w:bookmarkEnd w:id="2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3: Revisión del código y corrección de hallazgos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Se revisó el código fuente de los módulos correspondientes a los 5 requerimientos seleccionados, evidenciando cada una de las 8 reglas de calidad con ejemplos reales (archivo:línea). Durante la revisión se detectó una duplicación real de código — el mismo parseo de paginación repetido en referralRoutes.ts e informedConsentRoutes.ts — y se corrigió centralizándolo en un nuevo archivo utils/pagination.ts, verificando el cambio con tsc --noEmit y ESLint sin errores nuevos.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 recolectada para las 8 reglas sobre los 5 requerimientos seleccionados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Duplicación de código detectada en referralRoutes.ts e informedConsentRoutes.ts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Corrección aplicada:</w:t>
            </w:r>
            <w:r>
              <w:rPr>
                <w:rFonts w:ascii="Arial" w:cs="Arial" w:eastAsia="Arial" w:hAnsi="Arial"/>
                <w:rtl w:val="0"/>
              </w:rPr>
              <w:t xml:space="preserve"> lógica de paginación centralizada en utils/pagination.ts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Cambio verificado sin errores nuevos con tsc --noEmit y ESLint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69dmzn9sr78p" w:id="3"/>
            <w:bookmarkEnd w:id="3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4: Elaboración y validación del informe final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Se generó el informe “Lab01_Revision_Codigo_Backend.docx” con la trazabilidad SRS-código, se validó su estructura XML y se realizó una verificación visual de las 10 páginas mediante conversión a PDF/JPEG antes de considerarlo entregable.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Informe Lab01_Revision_Codigo_Backend.docx generado con trazabilidad SRS-código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Estructura XML validada:</w:t>
            </w:r>
            <w:r>
              <w:rPr>
                <w:rFonts w:ascii="Arial" w:cs="Arial" w:eastAsia="Arial" w:hAnsi="Arial"/>
                <w:rtl w:val="0"/>
              </w:rPr>
              <w:t xml:space="preserve"> validate.py — 338 párrafos, todas las validaciones OK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Verificación visual realizada:</w:t>
            </w:r>
            <w:r>
              <w:rPr>
                <w:rFonts w:ascii="Arial" w:cs="Arial" w:eastAsia="Arial" w:hAnsi="Arial"/>
                <w:rtl w:val="0"/>
              </w:rPr>
              <w:t xml:space="preserve"> 10 páginas revisadas vía conversión a PDF/JPEG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 entregado en:</w:t>
            </w:r>
            <w:r>
              <w:rPr>
                <w:rFonts w:ascii="Arial" w:cs="Arial" w:eastAsia="Arial" w:hAnsi="Arial"/>
                <w:rtl w:val="0"/>
              </w:rPr>
              <w:t xml:space="preserve"> Documentation/Lab01_Revision_Codigo_Backend.docx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4"/>
                <w:szCs w:val="1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u w:val="single"/>
              </w:rPr>
            </w:pPr>
            <w:r>
              <w:rPr>
                <w:rFonts w:ascii="Arial" w:cs="Arial" w:eastAsia="Arial" w:hAnsi="Arial"/>
                <w:rtl w:val="0"/>
              </w:rPr>
              <w:t xml:space="preserve">Cesar Fabian Chavez Linares                      20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Piero Alexander Paja de la Cruz                  20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>
              <w:rPr/>
              <w:drawing>
                <wp:inline distB="114300" distT="114300" distL="114300" distR="114300">
                  <wp:extent cx="2552700" cy="1714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Arial" w:cs="Arial" w:eastAsia="Arial" w:hAnsi="Arial"/>
                <w:rtl w:val="0"/>
              </w:rPr>
              <w:t xml:space="preserve">Cesar Fabian Chavez Linares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b w:val="1"/>
                <w:bCs w:val="1"/>
              </w:rPr>
              <w:drawing>
                <wp:inline distB="114300" distT="114300" distL="114300" distR="114300">
                  <wp:extent cx="4762500" cy="180022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Piero Alexander Paja de la Cruz  </w:t>
            </w:r>
          </w:p>
        </w:tc>
      </w:tr>
    </w:tbl>
    <w:p w:rsidR="00000000" w:rsidDel="00000000" w:rsidP="00000000" w:rsidRDefault="00000000" w:rsidRPr="00000000" w14:paraId="00000078">
      <w:pPr>
        <w:tabs>
          <w:tab w:val="left" w:leader="none" w:pos="1455"/>
        </w:tabs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8M5GHo4IGIn4IoXZvdeWVBPdg==">CgMxLjAyDmgudHd5MGV0anNldDE5Mg5oLjN6YnRxbzNnOGszNTIOaC5jejJkeWt6NHFoa2gyDmguNjlkbXpuOXNyNzhwOAByITFWR0hGR0hqNk5US181WFRhSjA1OG51WUVvbGZMS2ZLWg==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2023-08-19T05:18:00Z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