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C0BC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16EF5BDD" wp14:editId="77A3E601">
            <wp:extent cx="999140" cy="1343105"/>
            <wp:effectExtent l="0" t="0" r="0" b="0"/>
            <wp:docPr id="14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7C94E1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4F684F6F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6FBC2B0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0CC170B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509CD6F0" w14:textId="77777777" w:rsidR="00633EC9" w:rsidRDefault="00633EC9" w:rsidP="00633EC9">
      <w:pPr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2BEE9C2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7BE8DA9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F16673D" w14:textId="77777777" w:rsidR="00633EC9" w:rsidRDefault="00633EC9" w:rsidP="00633EC9">
      <w:pPr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0983523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2026”</w:t>
      </w:r>
    </w:p>
    <w:p w14:paraId="0DF61DFE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35E93F1D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Curso: </w:t>
      </w:r>
      <w:r>
        <w:rPr>
          <w:rFonts w:ascii="Arial" w:eastAsia="Arial" w:hAnsi="Arial" w:cs="Arial"/>
          <w:i/>
          <w:sz w:val="32"/>
          <w:szCs w:val="32"/>
        </w:rPr>
        <w:t>Construcción de Software I</w:t>
      </w:r>
    </w:p>
    <w:p w14:paraId="50270AF5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04DC478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11B0B673" w14:textId="77777777" w:rsidR="00633EC9" w:rsidRDefault="00633EC9" w:rsidP="00633EC9">
      <w:pPr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43541A4A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C8171C9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5CF6EAE2" w14:textId="77777777" w:rsidR="00633EC9" w:rsidRDefault="00633EC9" w:rsidP="00633EC9">
      <w:pPr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079DC928" w14:textId="77777777" w:rsidR="00633EC9" w:rsidRDefault="00633EC9" w:rsidP="00633EC9">
      <w:pPr>
        <w:rPr>
          <w:rFonts w:ascii="Arial" w:eastAsia="Arial" w:hAnsi="Arial" w:cs="Arial"/>
          <w:color w:val="5B9BD5"/>
          <w:sz w:val="16"/>
          <w:szCs w:val="16"/>
        </w:rPr>
      </w:pPr>
    </w:p>
    <w:p w14:paraId="4B3AA9F8" w14:textId="77777777" w:rsidR="00633EC9" w:rsidRDefault="00633EC9" w:rsidP="00633EC9">
      <w:pPr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  <w:tab/>
        <w:tab/>
        <w:tab/>
        <w:t>(2019063854)</w:t>
      </w:r>
    </w:p>
    <w:p w14:paraId="24976FE7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0ACBE7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E13DB5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AD323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26C7A9F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92B9FA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600DC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1CDD96F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0F76023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D2FEC91" w14:textId="77777777" w:rsidR="00633EC9" w:rsidRDefault="00633EC9" w:rsidP="00633EC9">
      <w:pPr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729345F2" w14:textId="77777777" w:rsidR="00633EC9" w:rsidRDefault="00633EC9" w:rsidP="00633EC9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2026</w:t>
      </w:r>
    </w:p>
    <w:p w14:paraId="4BE69964" w14:textId="77777777" w:rsidR="00633EC9" w:rsidRDefault="00633EC9" w:rsidP="00633EC9">
      <w:pPr>
        <w:jc w:val="center"/>
        <w:rPr>
          <w:sz w:val="24"/>
          <w:szCs w:val="24"/>
        </w:rPr>
      </w:pPr>
    </w:p>
    <w:p w14:paraId="402A99D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72FC347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5256BD8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B36DCEC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BFDE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D1FA6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6263314E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684719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1CBF3183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9FEC021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B06E0B2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459BBC70" w14:textId="11E6F1B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  <w:t>“Sistema Web y Móvil para la detección de enfermedades respiratorias en Tacna en 2026”</w:t>
      </w:r>
    </w:p>
    <w:p w14:paraId="0298FCEB" w14:textId="77777777" w:rsidR="006262E0" w:rsidRPr="006262E0" w:rsidRDefault="006262E0" w:rsidP="006262E0">
      <w:pPr>
        <w:spacing w:after="160" w:line="259" w:lineRule="auto"/>
        <w:rPr>
          <w:color w:val="auto"/>
        </w:rPr>
      </w:pPr>
    </w:p>
    <w:p w14:paraId="422B69E2" w14:textId="573F2D1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0" w:name="_heading=h.ys0rz5hbiouq" w:colFirst="0" w:colLast="0"/>
      <w:bookmarkEnd w:id="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Documento de Especificación de Requerimientos de Software (SRS)</w:t>
      </w:r>
    </w:p>
    <w:p w14:paraId="1689EAE2" w14:textId="77777777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</w:p>
    <w:p w14:paraId="44049A2C" w14:textId="2C023568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Versión 2.0</w:t>
      </w:r>
    </w:p>
    <w:p w14:paraId="30263A6A" w14:textId="77777777" w:rsidR="006262E0" w:rsidRDefault="006262E0">
      <w:pPr>
        <w:spacing w:after="200"/>
        <w:jc w:val="center"/>
      </w:pPr>
    </w:p>
    <w:p w14:paraId="0ACE828A" w14:textId="77777777" w:rsidR="006262E0" w:rsidRDefault="006262E0">
      <w:pPr>
        <w:rPr>
          <w:b/>
          <w:bCs/>
          <w:color w:val="1F3864"/>
          <w:sz w:val="25"/>
          <w:szCs w:val="25"/>
        </w:rPr>
      </w:pPr>
      <w:r>
        <w:rPr>
          <w:color w:val="1F3864"/>
        </w:rPr>
        <w:br w:type="page"/>
      </w:r>
    </w:p>
    <w:p w14:paraId="0DD4BE8E" w14:textId="78CDD0C1" w:rsidR="00F72CD2" w:rsidRDefault="00000000">
      <w:pPr>
        <w:pStyle w:val="Ttulo2"/>
        <w:spacing w:before="120" w:after="120"/>
      </w:pPr>
      <w:r>
        <w:rPr>
          <w:color w:val="1F3864"/>
        </w:rPr>
        <w:lastRenderedPageBreak/>
        <w:t>CONTROL DE VERSIONES</w:t>
      </w:r>
    </w:p>
    <w:tbl>
      <w:tblPr>
        <w:tblW w:w="94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00"/>
        <w:gridCol w:w="1300"/>
        <w:gridCol w:w="1300"/>
        <w:gridCol w:w="1500"/>
        <w:gridCol w:w="3160"/>
      </w:tblGrid>
      <w:tr w:rsidR="00F72CD2" w14:paraId="6F9D0663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EF34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7AC4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Hecha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C9168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Revisada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31B9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Aprobada por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6D0D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79A0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F72CD2" w14:paraId="59CDC199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AE9D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BAC4B0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86216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7D124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222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24/06/2026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EEF8D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Versión original (PLN)</w:t>
            </w:r>
          </w:p>
        </w:tc>
      </w:tr>
      <w:tr w:rsidR="00F72CD2" w14:paraId="36A5789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8F4D5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2.0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255896" w14:textId="52C3C4F1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437B9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AAE1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167CAF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Julio 2026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9F97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Actualización: arquitectura IA real (modelos ML + CNN), datos clínicos reales, doble autoría, requerimientos y modelo lógico alineados con EPIC-03</w:t>
            </w:r>
          </w:p>
        </w:tc>
      </w:tr>
    </w:tbl>
    <w:p w14:paraId="05112C6E" w14:textId="2F729684" w:rsidR="00F72CD2" w:rsidRDefault="00F72CD2"/>
    <w:p w14:paraId="7EE22211" w14:textId="77777777" w:rsidR="00F72CD2" w:rsidRDefault="00000000">
      <w:pPr>
        <w:pStyle w:val="Ttulo1"/>
        <w:spacing w:before="0" w:after="120"/>
      </w:pPr>
      <w:r>
        <w:t>ÍNDICE GENERAL</w:t>
      </w:r>
    </w:p>
    <w:p w14:paraId="4441E986" w14:textId="77777777" w:rsidR="00F72CD2" w:rsidRDefault="00F72CD2">
      <w:pPr>
        <w:spacing w:after="80"/>
      </w:pPr>
    </w:p>
    <w:p w14:paraId="2FA8A38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Introducción</w:t>
        <w:tab/>
        <w:t>4</w:t>
      </w:r>
    </w:p>
    <w:p w14:paraId="73974B4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I. Generalidades de la Organización</w:t>
        <w:tab/>
        <w:t>4</w:t>
      </w:r>
    </w:p>
    <w:p w14:paraId="0E3115E8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II. Visionamiento del Proyecto</w:t>
        <w:tab/>
        <w:t>5</w:t>
      </w:r>
    </w:p>
    <w:p w14:paraId="0C2210AB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III. Análisis de Procesos</w:t>
        <w:tab/>
        <w:t>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Diagrama del Proceso Actual</w:t>
        <w:tab/>
        <w:t>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del Proceso Propuesto</w:t>
        <w:tab/>
        <w:t>8</w:t>
      </w:r>
    </w:p>
    <w:p w14:paraId="11E62A1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IV. Especificación de Requerimientos de Software</w:t>
        <w:tab/>
        <w:t>9</w:t>
      </w:r>
    </w:p>
    <w:p w14:paraId="45EA8B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Cuadro de Requerimientos Funcionales Inicial</w:t>
        <w:tab/>
        <w:t>9</w:t>
      </w:r>
    </w:p>
    <w:p w14:paraId="45EA8B01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Cuadro de Requerimientos No Funcionales</w:t>
        <w:tab/>
        <w:t>10</w:t>
      </w:r>
    </w:p>
    <w:p w14:paraId="51E3717D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Cuadro de Requerimientos Funcionales Final</w:t>
        <w:tab/>
        <w:t>11</w:t>
      </w:r>
    </w:p>
    <w:p w14:paraId="1D85B73B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d) Reglas de Negocio</w:t>
        <w:tab/>
        <w:t>12</w:t>
      </w:r>
    </w:p>
    <w:p w14:paraId="2DD31EB6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V. Fase de Desarrollo</w:t>
        <w:tab/>
        <w:t>13</w:t>
      </w:r>
    </w:p>
    <w:p w14:paraId="174E0283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1. Perfiles de Usuario</w:t>
        <w:tab/>
        <w:t>13</w:t>
      </w:r>
    </w:p>
    <w:p w14:paraId="26C31FA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2. Modelo Conceptual</w:t>
        <w:tab/>
        <w:t>13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Diagrama de Paquetes</w:t>
        <w:tab/>
        <w:t>13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 Casos de Uso</w:t>
        <w:tab/>
        <w:t>23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Escenarios de Caso de Uso (narrativa)</w:t>
        <w:tab/>
        <w:t>28</w:t>
      </w:r>
    </w:p>
    <w:p w14:paraId="26A11445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3. Modelo Lógico</w:t>
        <w:tab/>
        <w:t>34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Análisis de Objetos</w:t>
        <w:tab/>
        <w:t>34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 Actividades con objetos</w:t>
        <w:tab/>
        <w:t>36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Diagrama de Secuencia</w:t>
        <w:tab/>
        <w:t>47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d) Diagrama de Clases</w:t>
        <w:tab/>
        <w:t>54</w:t>
      </w:r>
    </w:p>
    <w:p w14:paraId="0C935810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Conclusiones</w:t>
        <w:tab/>
        <w:t>64</w:t>
      </w:r>
    </w:p>
    <w:p w14:paraId="0BA60BB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Recomendaciones</w:t>
        <w:tab/>
        <w:t>65</w:t>
      </w:r>
    </w:p>
    <w:p w14:paraId="7C1D5F1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Bibliografía</w:t>
        <w:tab/>
        <w:t>65</w:t>
      </w:r>
    </w:p>
    <w:p w14:paraId="0DD72612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Webgrafía</w:t>
        <w:tab/>
        <w:t>65</w:t>
      </w:r>
    </w:p>
    <w:p w14:paraId="11DC331E" w14:textId="77777777" w:rsidR="00F72CD2" w:rsidRDefault="00000000">
      <w:r>
        <w:br w:type="page"/>
      </w:r>
    </w:p>
    <w:p w14:paraId="47A1D0AD" w14:textId="77777777" w:rsidR="00F72CD2" w:rsidRDefault="00000000">
      <w:pPr>
        <w:pStyle w:val="Ttulo1"/>
        <w:spacing w:before="0" w:after="120"/>
      </w:pPr>
      <w:r>
        <w:lastRenderedPageBreak/>
        <w:t>Introducción</w:t>
      </w:r>
    </w:p>
    <w:p w14:paraId="25CF6154" w14:textId="77777777" w:rsidR="00F72CD2" w:rsidRDefault="00000000">
      <w:pPr>
        <w:spacing w:after="120" w:line="276" w:lineRule="auto"/>
        <w:jc w:val="both"/>
      </w:pPr>
      <w:r>
        <w:t>El presente documento define la Especificación de Requerimientos de Software (SRS) para el sistema RespiCare, una plataforma web y móvil orientada a la detección temprana y la gestión de enfermedades respiratorias en la región de Tacna. A diferencia de la versión inicial —basada en procesamiento de lenguaje natural—, esta especificación describe un motor de diagnóstico sustentado en modelos de aprendizaje automático (Random Forest, XGBoost y red neuronal MLP) entrenados con datos clínicos reales, complementado con una red neuronal convolucional (CNN) para el análisis de audio de tos, reglas clínicas de emergencia, validación de coherencia médica y explicabilidad mediante SHAP.</w:t>
      </w:r>
    </w:p>
    <w:p w14:paraId="1FD59D3F" w14:textId="77777777" w:rsidR="00F72CD2" w:rsidRDefault="00000000">
      <w:pPr>
        <w:spacing w:after="120" w:line="276" w:lineRule="auto"/>
        <w:jc w:val="both"/>
      </w:pPr>
      <w:r>
        <w:t>El sistema surge como respuesta a la problemática de salud pública identificada en Tacna, donde las enfermedades respiratorias representan una causa significativa de morbilidad y mortalidad, agravadas por factores socioeconómicos y la limitada infraestructura médica en áreas urbano-marginales.</w:t>
      </w:r>
    </w:p>
    <w:p w14:paraId="60FE4989" w14:textId="77777777" w:rsidR="00F72CD2" w:rsidRDefault="00000000">
      <w:pPr>
        <w:spacing w:after="120" w:line="276" w:lineRule="auto"/>
        <w:jc w:val="both"/>
      </w:pPr>
      <w:r>
        <w:t>El documento establece los requerimientos funcionales y no funcionales que guían el desarrollo del sistema, las reglas de negocio, los procesos actuales y propuestos, y el modelo conceptual y lógico de la solución, siguiendo la estructura de la norma IEEE 830 / ISO-IEC-IEEE 29148.</w:t>
      </w:r>
    </w:p>
    <w:p w14:paraId="1657E9D5" w14:textId="77777777" w:rsidR="00F72CD2" w:rsidRDefault="00000000">
      <w:pPr>
        <w:pStyle w:val="Ttulo1"/>
        <w:spacing w:before="240" w:after="120"/>
      </w:pPr>
      <w:r>
        <w:t>I. Generalidades de la Organización</w:t>
      </w:r>
    </w:p>
    <w:p w14:paraId="45B25AC8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Nombre de la Organización</w:t>
      </w:r>
    </w:p>
    <w:p w14:paraId="665192A8" w14:textId="77777777" w:rsidR="00F72CD2" w:rsidRDefault="00000000">
      <w:pPr>
        <w:spacing w:after="120" w:line="276" w:lineRule="auto"/>
        <w:jc w:val="both"/>
      </w:pPr>
      <w:r>
        <w:t>Dirección Regional de Salud de Tacna (DIRESA Tacna), en colaboración con la Universidad Privada de Tacna (Escuela Profesional de Ingeniería de Sistemas).</w:t>
      </w:r>
    </w:p>
    <w:p w14:paraId="627415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Visión</w:t>
      </w:r>
    </w:p>
    <w:p w14:paraId="1A6484ED" w14:textId="77777777" w:rsidR="00F72CD2" w:rsidRDefault="00000000">
      <w:pPr>
        <w:spacing w:after="120" w:line="276" w:lineRule="auto"/>
        <w:jc w:val="both"/>
      </w:pPr>
      <w:r>
        <w:t>Ser la institución líder en la región de Tacna en la promoción de la salud y la prevención de enfermedades, garantizando el acceso universal a servicios de salud de calidad mediante la innovación tecnológica y el uso de herramientas digitales.</w:t>
      </w:r>
    </w:p>
    <w:p w14:paraId="1D4C4068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Misión</w:t>
      </w:r>
    </w:p>
    <w:p w14:paraId="114F9420" w14:textId="77777777" w:rsidR="00F72CD2" w:rsidRDefault="00000000">
      <w:pPr>
        <w:spacing w:after="120" w:line="276" w:lineRule="auto"/>
        <w:jc w:val="both"/>
      </w:pPr>
      <w:r>
        <w:t>Proteger la dignidad de las personas, promoviendo la salud, previniendo las enfermedades y garantizando la atención integral de todos los habitantes de la región de Tacna, con especial énfasis en poblaciones vulnerables, mediante la implementación de tecnologías innovadoras y sistemas de información integrados.</w:t>
      </w:r>
    </w:p>
    <w:p w14:paraId="34F247E6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Organigrama</w:t>
      </w:r>
    </w:p>
    <w:p w14:paraId="4DBD05D7" w14:textId="77777777" w:rsidR="00F72CD2" w:rsidRDefault="00000000">
      <w:pPr>
        <w:spacing w:after="120" w:line="276" w:lineRule="auto"/>
        <w:jc w:val="both"/>
      </w:pPr>
      <w:r>
        <w:t>La organización responsable se estructura en tres niveles funcionales relevantes para el proyecto: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3160"/>
      </w:tblGrid>
      <w:tr w:rsidR="00F72CD2" w14:paraId="1A27E62A" w14:textId="77777777">
        <w:trPr>
          <w:tblHeader/>
        </w:trPr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5E74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D6E8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648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Función principal</w:t>
            </w:r>
          </w:p>
        </w:tc>
      </w:tr>
      <w:tr w:rsidR="00F72CD2" w14:paraId="5D727E2A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B59F8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Dirección Regional de Salud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659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directivo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4AB0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Define políticas de salud pública, aprueba la implementación y evalúa el impacto.</w:t>
            </w:r>
          </w:p>
        </w:tc>
      </w:tr>
      <w:tr w:rsidR="00F72CD2" w14:paraId="14A14888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F01C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Oficina de Epidemiología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4E89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técnico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AED6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 protocolos clínicos, supervisa algoritmos y vigila indicadores.</w:t>
            </w:r>
          </w:p>
        </w:tc>
      </w:tr>
      <w:tr w:rsidR="00F72CD2" w14:paraId="0D53D929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835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Oficina de Tecnologías de Información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927C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operativo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8BC7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 y mantiene los sistemas de información y la infraestructura.</w:t>
            </w:r>
          </w:p>
        </w:tc>
      </w:tr>
      <w:tr w:rsidR="00F72CD2" w14:paraId="3D951819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BEB3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UPT – EPIS (equipo de desarrollo)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7FB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Aliado académico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8CBF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Diseña, construye y prueba la plataforma RespiCare.</w:t>
            </w:r>
          </w:p>
        </w:tc>
      </w:tr>
    </w:tbl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5091084"/>
            <wp:effectExtent l="0" t="0" r="0" b="0"/>
            <wp:docPr id="1121" name="Figura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" name="Figura 121"/>
                    <pic:cNvPicPr/>
                  </pic:nvPicPr>
                  <pic:blipFill>
                    <a:blip xmlns:r="http://schemas.openxmlformats.org/officeDocument/2006/relationships" r:embed="rId2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121: Organigrama Institucional — Estructura Organizacional del Proyecto</w:t>
      </w:r>
    </w:p>
    <w:p w14:paraId="1BCA5A5D" w14:textId="77777777" w:rsidR="00F72CD2" w:rsidRDefault="00000000">
      <w:pPr>
        <w:pStyle w:val="Ttulo1"/>
        <w:spacing w:before="240" w:after="120"/>
      </w:pPr>
      <w:r>
        <w:t>II. Visionamiento del Proyecto</w:t>
      </w:r>
    </w:p>
    <w:p w14:paraId="3CF96F1D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Descripción del Problema</w:t>
      </w:r>
    </w:p>
    <w:p w14:paraId="48287065" w14:textId="77777777" w:rsidR="00F72CD2" w:rsidRDefault="00000000">
      <w:pPr>
        <w:spacing w:after="120" w:line="276" w:lineRule="auto"/>
        <w:jc w:val="both"/>
      </w:pPr>
      <w:r>
        <w:t>En la región de Tacna se ha identificado una problemática crítica relacionada con las enfermedades respiratorias que afecta significativamente la salud pública:</w:t>
      </w:r>
    </w:p>
    <w:p w14:paraId="526CA9C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Alta incidencia: las enfermedades respiratorias representan una causa significativa de morbilidad y mortalidad en la región.</w:t>
      </w:r>
    </w:p>
    <w:p w14:paraId="2DB953D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Detección tardía: los pacientes buscan atención médica en etapas avanzadas por desconocimiento de los síntomas tempranos.</w:t>
      </w:r>
    </w:p>
    <w:p w14:paraId="39D31DB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Limitado acceso a información: cerca del 70 % de las familias no cuenta con información adecuada para identificar síntomas respiratorios.</w:t>
      </w:r>
    </w:p>
    <w:p w14:paraId="732742C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Infraestructura médica limitada, especialmente en áreas urbano-marginales y rurales.</w:t>
      </w:r>
    </w:p>
    <w:p w14:paraId="4438C11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Factores socioeconómicos y ambientales que agravan la situación de salud respiratoria.</w:t>
      </w:r>
    </w:p>
    <w:p w14:paraId="5053E386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Objetivos de Negocio</w:t>
      </w:r>
    </w:p>
    <w:p w14:paraId="3D4C5B8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Objetivo general: </w:t>
      </w:r>
      <w:r>
        <w:t>Implementar un sistema que contribuya a reducir la mortalidad por enfermedades respiratorias agudas, mejorando la detección temprana y el acceso a información educativa preventiva en la región de Tacna.</w:t>
      </w:r>
    </w:p>
    <w:p w14:paraId="35612231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Objetivos específicos:</w:t>
      </w:r>
    </w:p>
    <w:p w14:paraId="6A696FD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Incrementar al 80 % el acceso a información preventiva en zonas prioritarias de Tacna.</w:t>
      </w:r>
    </w:p>
    <w:p w14:paraId="69F4743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Alcanzar una precisión superior al 95 % en la clasificación preliminar de síntomas mediante modelos de IA entrenados con datos clínicos reales.</w:t>
      </w:r>
    </w:p>
    <w:p w14:paraId="621BCF3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Facilitar la consulta médica oportuna mediante alertas tempranas del sistema.</w:t>
      </w:r>
    </w:p>
    <w:p w14:paraId="5FE8DA9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Generar una base de datos epidemiológica regional para investigación en salud pública.</w:t>
      </w:r>
    </w:p>
    <w:p w14:paraId="03162DB2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Objetivos de Diseño</w:t>
      </w:r>
    </w:p>
    <w:p w14:paraId="04E3B58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Desarrollar una interfaz intuitiva y accesible para usuarios de diferentes niveles educativos.</w:t>
      </w:r>
    </w:p>
    <w:p w14:paraId="2EB871F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Implementar modelos de aprendizaje automático especializados en la clasificación de patologías respiratorias.</w:t>
      </w:r>
    </w:p>
    <w:p w14:paraId="74F8BA61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Garantizar la interoperabilidad con los sistemas de información de salud existentes.</w:t>
      </w:r>
    </w:p>
    <w:p w14:paraId="05130BE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Asegurar la escalabilidad del sistema para atender a toda la región de Tacna mediante una arquitectura basada en contenedores.</w:t>
      </w:r>
    </w:p>
    <w:p w14:paraId="46BC1A9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Cumplir con estándares de seguridad y privacidad de datos médicos.</w:t>
      </w:r>
    </w:p>
    <w:p w14:paraId="39552138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Alcance del Proyecto</w:t>
      </w:r>
    </w:p>
    <w:p w14:paraId="11E83FA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Incluye:</w:t>
      </w:r>
    </w:p>
    <w:p w14:paraId="15DFC3F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web (Next.js) para pacientes, profesionales de salud y administradores.</w:t>
      </w:r>
    </w:p>
    <w:p w14:paraId="446E893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móvil Android (Capacitor) para pacientes y usuarios finales.</w:t>
      </w:r>
    </w:p>
    <w:p w14:paraId="5F92E7A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Motor de diagnóstico inteligente de síntomas mediante modelos ML (EPIC-03).</w:t>
      </w:r>
    </w:p>
    <w:p w14:paraId="21CF033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Módulo de análisis de tos por audio mediante CNN.</w:t>
      </w:r>
    </w:p>
    <w:p w14:paraId="1DBAF1E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Panel del doctor para validación de predicciones e historial clínico electrónico.</w:t>
      </w:r>
    </w:p>
    <w:p w14:paraId="27DF091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Gestión de usuarios y perfiles, reportes y estadísticas, y sistema de alertas.</w:t>
      </w:r>
    </w:p>
    <w:p w14:paraId="326D10A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No incluye:</w:t>
      </w:r>
    </w:p>
    <w:p w14:paraId="1D2480D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Diagnóstico médico definitivo (el sistema es una herramienta de apoyo, no un dispositivo de diagnóstico).</w:t>
      </w:r>
    </w:p>
    <w:p w14:paraId="1C700F2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Prescripción de medicamentos.</w:t>
      </w:r>
    </w:p>
    <w:p w14:paraId="12020A7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Telemedicina en tiempo real (videoconsulta).</w:t>
      </w:r>
    </w:p>
    <w:p w14:paraId="7358FD2D" w14:textId="77777777" w:rsidR="00F72CD2" w:rsidRDefault="00000000">
      <w:pPr>
        <w:pStyle w:val="Ttulo3"/>
        <w:spacing w:before="240" w:after="120"/>
      </w:pPr>
      <w:r>
        <w:rPr>
          <w:color w:val="1F3864"/>
        </w:rPr>
        <w:t>5. Viabilidad del Sistema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3960"/>
      </w:tblGrid>
      <w:tr w:rsidR="00F72CD2" w14:paraId="16BF94DF" w14:textId="77777777">
        <w:trPr>
          <w:tblHeader/>
        </w:trPr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F5A82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Dimensión</w:t>
            </w:r>
          </w:p>
        </w:tc>
        <w:tc>
          <w:tcPr>
            <w:tcW w:w="18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09C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1629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Sustento</w:t>
            </w:r>
          </w:p>
        </w:tc>
      </w:tr>
      <w:tr w:rsidR="00F72CD2" w14:paraId="6EDD9682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EDE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Técnica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C8D2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039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 maduros y validados con datos reales; infraestructura en contenedores escalable; equipo técnico disponible.</w:t>
            </w:r>
          </w:p>
        </w:tc>
      </w:tr>
      <w:tr w:rsidR="00F72CD2" w14:paraId="331C9546" w14:textId="77777777"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3F7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Económica</w:t>
            </w:r>
          </w:p>
        </w:tc>
        <w:tc>
          <w:tcPr>
            <w:tcW w:w="18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7262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Media-Alta</w:t>
            </w:r>
          </w:p>
        </w:tc>
        <w:tc>
          <w:tcPr>
            <w:tcW w:w="3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9E6F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Inversión moderada (stack open source) con retorno estimado en ~1.3 años y ahorros en salud pública.</w:t>
            </w:r>
          </w:p>
        </w:tc>
      </w:tr>
      <w:tr w:rsidR="00F72CD2" w14:paraId="59F55881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77C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Operativa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1995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5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Apoyo institucional de DIRESA Tacna y aceptación esperada de usuarios y profesionales.</w:t>
            </w:r>
          </w:p>
        </w:tc>
      </w:tr>
    </w:tbl>
    <w:p w14:paraId="34513623" w14:textId="77777777" w:rsidR="00F72CD2" w:rsidRDefault="00000000">
      <w:pPr>
        <w:pStyle w:val="Ttulo3"/>
        <w:spacing w:before="240" w:after="120"/>
      </w:pPr>
      <w:r>
        <w:rPr>
          <w:color w:val="1F3864"/>
        </w:rPr>
        <w:t>6. Levantamiento de Información</w:t>
      </w:r>
    </w:p>
    <w:p w14:paraId="2A96BE6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Técnicas utilizadas:</w:t>
      </w:r>
    </w:p>
    <w:p w14:paraId="741409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Entrevistas con profesionales de salud de DIRESA Tacna.</w:t>
      </w:r>
    </w:p>
    <w:p w14:paraId="3FC426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Encuestas a familias de diferentes distritos de Tacna.</w:t>
      </w:r>
    </w:p>
    <w:p w14:paraId="6314A1D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Observación directa en centros de salud.</w:t>
      </w:r>
    </w:p>
    <w:p w14:paraId="2990901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Revisión documental de historias clínicas y estadísticas epidemiológicas.</w:t>
      </w:r>
    </w:p>
    <w:p w14:paraId="29F5836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Hallazgos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60"/>
        <w:gridCol w:w="2500"/>
      </w:tblGrid>
      <w:tr w:rsidR="00F72CD2" w14:paraId="19202A51" w14:textId="77777777">
        <w:trPr>
          <w:tblHeader/>
        </w:trPr>
        <w:tc>
          <w:tcPr>
            <w:tcW w:w="5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BFACB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5294B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F72CD2" w14:paraId="35BD45C9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4263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Consultas por síntomas respiratorios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3BD09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40 %</w:t>
            </w:r>
          </w:p>
        </w:tc>
      </w:tr>
      <w:tr w:rsidR="00F72CD2" w14:paraId="66FE28A3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2B0B3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Pacientes que llegan en estados avanzados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9CC44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60 %</w:t>
            </w:r>
          </w:p>
        </w:tc>
      </w:tr>
      <w:tr w:rsidR="00F72CD2" w14:paraId="0C2A59FF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9F08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Usuarios con smartphone y acceso a internet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E03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85 %</w:t>
            </w:r>
          </w:p>
        </w:tc>
      </w:tr>
      <w:tr w:rsidR="00F72CD2" w14:paraId="7A71C024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B41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Disposición a usar una app de salud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D091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70 %</w:t>
            </w:r>
          </w:p>
        </w:tc>
      </w:tr>
    </w:tbl>
    <w:p w14:paraId="78E525A7" w14:textId="77777777" w:rsidR="00F72CD2" w:rsidRDefault="00000000">
      <w:pPr>
        <w:pStyle w:val="Ttulo1"/>
        <w:spacing w:before="240" w:after="120"/>
      </w:pPr>
      <w:r>
        <w:t>III. Análisis de Procesos</w:t>
      </w:r>
    </w:p>
    <w:p w14:paraId="09E26C2F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Diagrama del Proceso Actual</w:t>
      </w:r>
    </w:p>
    <w:p w14:paraId="4E5D0BEF" w14:textId="77777777" w:rsidR="00F72CD2" w:rsidRDefault="00000000">
      <w:pPr>
        <w:spacing w:after="120" w:line="276" w:lineRule="auto"/>
        <w:jc w:val="both"/>
      </w:pPr>
      <w:r>
        <w:t>El proceso actual de atención respiratoria sigue un modelo reactivo. El flujo típico es el siguiente:</w:t>
      </w:r>
    </w:p>
    <w:p w14:paraId="629FA6E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percibe síntomas respiratorios y espera su evolución.</w:t>
      </w:r>
    </w:p>
    <w:p w14:paraId="21D2553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Ante el agravamiento, acude a un centro de salud.</w:t>
      </w:r>
    </w:p>
    <w:p w14:paraId="1D1BF76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Realiza colas y espera la disponibilidad de un profesional.</w:t>
      </w:r>
    </w:p>
    <w:p w14:paraId="54EEC46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evalúa y, de ser necesario, deriva a un especialista.</w:t>
      </w:r>
    </w:p>
    <w:p w14:paraId="66F217D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espera una nueva cita, con demoras de 7 a 15 días.</w:t>
      </w:r>
    </w:p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00000" cy="4748052"/>
            <wp:effectExtent l="0" t="0" r="0" b="0"/>
            <wp:docPr id="1122" name="Figura 1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" name="Figura 122"/>
                    <pic:cNvPicPr/>
                  </pic:nvPicPr>
                  <pic:blipFill>
                    <a:blip xmlns:r="http://schemas.openxmlformats.org/officeDocument/2006/relationships" r:embed="rId2117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74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122: Diagrama de Actividades — Proceso Actual (modelo reactivo)</w:t>
      </w:r>
    </w:p>
    <w:p w14:paraId="708933D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Problemas identificados:</w:t>
      </w:r>
    </w:p>
    <w:p w14:paraId="5A96F42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Tiempo promedio de espera de 7 a 15 días.</w:t>
      </w:r>
    </w:p>
    <w:p w14:paraId="6C20903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Alrededor del 30 % de abandono del proceso por demora.</w:t>
      </w:r>
    </w:p>
    <w:p w14:paraId="3848B1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Falta de educación preventiva.</w:t>
      </w:r>
    </w:p>
    <w:p w14:paraId="57DA8F3E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Sobrecarga del sistema de salud.</w:t>
      </w:r>
    </w:p>
    <w:p w14:paraId="76B62213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del Proceso Propuesto (RespiCare)</w:t>
      </w:r>
    </w:p>
    <w:p w14:paraId="444629F7" w14:textId="77777777" w:rsidR="00F72CD2" w:rsidRDefault="00000000">
      <w:pPr>
        <w:spacing w:after="120" w:line="276" w:lineRule="auto"/>
        <w:jc w:val="both"/>
      </w:pPr>
      <w:r>
        <w:t>El proceso propuesto introduce un tamizaje inteligente previo a la consulta, priorizando los casos críticos:</w:t>
      </w:r>
    </w:p>
    <w:p w14:paraId="52C4B45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registra sus síntomas (y opcionalmente un audio de tos) en la app.</w:t>
      </w:r>
    </w:p>
    <w:p w14:paraId="5F4705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Las reglas clínicas de emergencia evalúan señales de alarma inmediatas.</w:t>
      </w:r>
    </w:p>
    <w:p w14:paraId="42A284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de IA generan una predicción preliminar con nivel de confianza.</w:t>
      </w:r>
    </w:p>
    <w:p w14:paraId="6FB991E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la confianza y clasifica el riesgo.</w:t>
      </w:r>
    </w:p>
    <w:p w14:paraId="3D200DC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recomienda una acción: autocuidado, seguimiento o derivación urgente.</w:t>
      </w:r>
    </w:p>
    <w:p w14:paraId="11BDA60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caso queda en el historial y, si corresponde, se notifica al profesional para su validación.</w:t>
      </w:r>
    </w:p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00000" cy="4783729"/>
            <wp:effectExtent l="0" t="0" r="0" b="0"/>
            <wp:docPr id="1123" name="Figura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" name="Figura 123"/>
                    <pic:cNvPicPr/>
                  </pic:nvPicPr>
                  <pic:blipFill>
                    <a:blip xmlns:r="http://schemas.openxmlformats.org/officeDocument/2006/relationships" r:embed="rId2118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78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123: Diagrama de Actividades — Proceso Propuesto (RespiCare, tamizaje inteligente)</w:t>
      </w:r>
    </w:p>
    <w:p w14:paraId="3396EB0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Beneficios del proceso propuesto:</w:t>
      </w:r>
    </w:p>
    <w:p w14:paraId="3FC343E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Evaluación inmediata disponible 24/7.</w:t>
      </w:r>
    </w:p>
    <w:p w14:paraId="411014D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Triaje automatizado inteligente basado en datos clínicos reales.</w:t>
      </w:r>
    </w:p>
    <w:p w14:paraId="20FD1B0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Educación preventiva continua.</w:t>
      </w:r>
    </w:p>
    <w:p w14:paraId="2901E27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Reducción de consultas no urgentes y priorización de casos graves.</w:t>
      </w:r>
    </w:p>
    <w:p w14:paraId="48598E53" w14:textId="77777777" w:rsidR="00F72CD2" w:rsidRDefault="00000000">
      <w:pPr>
        <w:pStyle w:val="Ttulo1"/>
        <w:spacing w:before="240" w:after="120"/>
      </w:pPr>
      <w:r>
        <w:t>IV. Especificación de Requerimientos de Software</w:t>
      </w:r>
    </w:p>
    <w:p w14:paraId="1A2B3C01" w14:textId="77777777" w:rsidR="00F72CD2" w:rsidRDefault="00000000">
      <w:pPr>
        <w:pStyle w:val="Ttulo2"/>
        <w:spacing w:after="120"/>
      </w:pPr>
      <w:r>
        <w:rPr>
          <w:color w:val="1F3864"/>
        </w:rPr>
        <w:t>a) Cuadro de Requerimientos Funcionales Inicial</w:t>
      </w:r>
    </w:p>
    <w:p w14:paraId="1A2B3C02" w14:textId="77777777" w:rsidR="00F72CD2" w:rsidRDefault="00000000">
      <w:pPr>
        <w:spacing w:after="120" w:line="276" w:lineRule="auto"/>
        <w:jc w:val="both"/>
      </w:pPr>
      <w:r>
        <w:t>A partir del levantamiento de información inicial con los usuarios y áreas involucradas, se identificaron los siguientes requerimientos funcionales preliminares del sistema, los cuales fueron posteriormente analizados y detallados en el cuadro final de requerimientos funcionales.</w:t>
      </w:r>
    </w:p>
    <w:tbl>
      <w:tblPr>
        <w:tblW w:w="5000" w:type="pct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5250"/>
      </w:tblGrid>
      <w:tr>
        <w:trPr>
          <w:tblHeader/>
        </w:trPr>
        <w:tc>
          <w:tcPr>
            <w:tcW w:w="8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28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RF-001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Gestión de usuarios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el registro e inicio de sesión de pacientes, médicos y administradores, cada uno con accesos diferenciados según su rol.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RF-002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Diagnóstico inteligente de síntomas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registrar los síntomas del paciente y, mediante inteligencia artificial, sugerir posibles enfermedades respiratorias con un nivel de confianza.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RF-003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de tos por audio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grabar o cargar un audio de tos del paciente y analizarlo para identificar patrones asociados a enfermedades respiratorias.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RF-004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Reglas clínicas de emergencia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alertar de forma inmediata cuando los síntomas o signos vitales registrados indiquen una posible emergencia médica.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RF-005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 de coherencia médica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verificar que las predicciones generadas sean clínicamente coherentes antes de mostrarlas al usuario.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RF-006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Explicabilidad del diagnóstico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mostrar al usuario qué síntomas o factores influyeron más en el resultado de la predicción.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RF-007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Panel del doctor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al médico revisar, aceptar, rechazar o ajustar las predicciones generadas por la IA.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RF-008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Historial clínico electrónico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registrar y mostrar el historial de evaluaciones y diagnósticos de cada paciente.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RF-009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alertas y notificaciones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notificar al paciente y/o médico cuando se detecte un riesgo relevante.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RF-010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y estadísticas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generar reportes con estadísticas de uso y datos epidemiológicos para fines de gestión en salud.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RF-011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Módulo educativo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brindar contenido informativo y preventivo sobre enfermedades respiratorias adaptado al usuario.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RF-012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Geolocalización de centros de salud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mostrar al usuario los centros de salud más cercanos a su ubicación.</w:t>
            </w:r>
          </w:p>
        </w:tc>
      </w:tr>
    </w:tbl>
    <w:p w14:paraId="052C07D7" w14:textId="77777777" w:rsidR="00F72CD2" w:rsidRDefault="00000000">
      <w:pPr>
        <w:pStyle w:val="Ttulo2"/>
        <w:spacing w:after="120"/>
      </w:pPr>
      <w:r>
        <w:rPr>
          <w:color w:val="1F3864"/>
        </w:rPr>
        <w:t>b) Cuadro de Requerimientos No Funcionales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2760"/>
        <w:gridCol w:w="2600"/>
      </w:tblGrid>
      <w:tr w:rsidR="00F72CD2" w14:paraId="56804F2E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5805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7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8B2F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7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76EA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6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6CAE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Métrica objetivo</w:t>
            </w:r>
          </w:p>
        </w:tc>
      </w:tr>
      <w:tr w:rsidR="00F72CD2" w14:paraId="5D7E2942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6A8CA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911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18A0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intuitiva y fácil de usar.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1804D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80 % de usuarios completan tareas sin ayuda</w:t>
            </w:r>
          </w:p>
        </w:tc>
      </w:tr>
      <w:tr w:rsidR="00F72CD2" w14:paraId="7C3942A5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1A6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FB72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Rendimiento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015E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de respuesta del análisis de IA.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935B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&lt; 3 s para la evaluación de síntomas</w:t>
            </w:r>
          </w:p>
        </w:tc>
      </w:tr>
      <w:tr w:rsidR="00F72CD2" w14:paraId="67A0ECDA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EA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RNF-003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496A9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8484F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operativo de forma continua.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ED108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99.5 % de uptime mensual</w:t>
            </w:r>
          </w:p>
        </w:tc>
      </w:tr>
      <w:tr w:rsidR="00F72CD2" w14:paraId="10A14E3A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AB5C4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RNF-004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118D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Seguridad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3D2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Protección de datos médicos sensibles.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41929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Cifrado en tránsito y reposo; cumplimiento de la Ley N.° 29733</w:t>
            </w:r>
          </w:p>
        </w:tc>
      </w:tr>
      <w:tr w:rsidR="00F72CD2" w14:paraId="28ED64AF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2B05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RNF-005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74701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Escalabilidad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FE1F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Soporte del crecimiento de usuarios.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1A4D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Hasta 10 000 usuarios concurrentes</w:t>
            </w:r>
          </w:p>
        </w:tc>
      </w:tr>
      <w:tr w:rsidR="00F72CD2" w14:paraId="2FCAAA89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3C573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RNF-006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EB3B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Compatibilidad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47A8B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Web y móvil multiplataforma.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206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Android 8+, navegadores modernos</w:t>
            </w:r>
          </w:p>
        </w:tc>
      </w:tr>
      <w:tr w:rsidR="00F72CD2" w14:paraId="55216AFE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D16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RNF-007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4F373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6F00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Exactitud del modelo de clasificación.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3256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&gt; 95 % en la clasificación de síntomas (datos reales)</w:t>
            </w:r>
          </w:p>
        </w:tc>
      </w:tr>
      <w:tr w:rsidR="00F72CD2" w14:paraId="3EA16327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12805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RNF-008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2834A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Interoperabilidad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387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Integración con sistemas de salud.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6396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APIs REST y estándar HL7 FHIR</w:t>
            </w:r>
          </w:p>
        </w:tc>
      </w:tr>
      <w:tr w:rsidR="00F72CD2" w14:paraId="3FEB8503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5A85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RNF-009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7A48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Mantenibilidad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71006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Facilidad de actualización y soporte.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A46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Clean Architecture, modular, documentación completa</w:t>
            </w:r>
          </w:p>
        </w:tc>
      </w:tr>
      <w:tr w:rsidR="00F72CD2" w14:paraId="7FF6DA5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A89B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RNF-010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61680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Confiabilidad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1944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Consistencia en el funcionamiento.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1AA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MTBF &gt; 720 h, MTTR &lt; 4 h</w:t>
            </w:r>
          </w:p>
        </w:tc>
      </w:tr>
      <w:tr w:rsidR="00F72CD2" w14:paraId="2E78213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46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8F712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Explicabilidad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AB5BD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Transparencia de las predicciones de IA.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EEE29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de alto riesgo incluye explicación SHAP</w:t>
            </w:r>
          </w:p>
        </w:tc>
      </w:tr>
      <w:tr w:rsidR="00F72CD2" w14:paraId="487D0E1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9DF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D075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Cobertura de pruebas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E0730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Calidad verificable del código.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AA5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Cobertura ≥ 80 % en módulos críticos (Jest + Pytest)</w:t>
            </w:r>
          </w:p>
        </w:tc>
      </w:tr>
    </w:tbl>
    <w:p w14:paraId="2EB5EE9B" w14:textId="77777777" w:rsidR="00F72CD2" w:rsidRDefault="00000000">
      <w:pPr>
        <w:pStyle w:val="Ttulo2"/>
        <w:spacing w:after="120"/>
      </w:pPr>
      <w:r>
        <w:rPr>
          <w:color w:val="1F3864"/>
        </w:rPr>
        <w:t>c) Cuadro de Requerimientos Funcionales Final</w:t>
      </w:r>
    </w:p>
    <w:p w14:paraId="148F6BBB" w14:textId="77777777" w:rsidR="00F72CD2" w:rsidRDefault="00000000">
      <w:pPr>
        <w:spacing w:after="120" w:line="276" w:lineRule="auto"/>
        <w:jc w:val="both"/>
      </w:pPr>
      <w:r>
        <w:lastRenderedPageBreak/>
        <w:t>La siguiente tabla detalla los requerimientos funcionales del sistema, incluyendo entrada, proceso y salida para cada uno.</w:t>
      </w:r>
    </w:p>
    <w:tbl>
      <w:tblPr>
        <w:tblW w:w="5000" w:type="pct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9"/>
        <w:gridCol w:w="1367"/>
        <w:gridCol w:w="1655"/>
        <w:gridCol w:w="1237"/>
        <w:gridCol w:w="2030"/>
        <w:gridCol w:w="1532"/>
        <w:gridCol w:w="890"/>
      </w:tblGrid>
      <w:tr w:rsidR="00F72CD2" w14:paraId="76C24467" w14:textId="77777777" w:rsidTr="00633EC9">
        <w:trPr>
          <w:tblHeader/>
        </w:trPr>
        <w:tc>
          <w:tcPr>
            <w:tcW w:w="423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99F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31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34231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9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36C0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4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3D1E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110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58A62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82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BA74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  <w:tc>
          <w:tcPr>
            <w:tcW w:w="47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7BFDB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F72CD2" w14:paraId="67DC0F73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7104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8BD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Gestión de usuarios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90FC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Registro, autenticación y gestión de perfiles (paciente, médico, administrador).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FBB4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personales, credenciales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09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Validación, cifrado, almacenamiento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42B1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Cuenta de usuario activa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6350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E20DFE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498F7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07B4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Diagnóstico inteligente de síntomas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71A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preliminar de enfermedad a partir de los síntomas mediante modelos ML.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B2E7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seleccionados / descritos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68DF71" w14:textId="77777777" w:rsidR="00F72CD2" w:rsidRPr="00633EC9" w:rsidRDefault="00000000">
            <w:pPr>
              <w:spacing w:line="248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Preprocesamiento + Random Forest / XGBoost / MLP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0AA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Enfermedad probable + confianza + recomendaciones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B9F46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78607890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3F9A2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RF-003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9E0A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de tos por audio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99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espectral del audio de tos mediante CNN.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12D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Audio de tos (≥ 3 s)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D0B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Conversión a espectrograma mel + CNN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AF2FA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Indicadores de anomalía en el patrón de tos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C33F4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3C45774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E15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RF-004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5DB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Reglas clínicas de emergencia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C6E40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Detección de señales de alarma previas al modelo.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73F4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y signos vitales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46D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Motor de reglas (EmergencyRuleSystem)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E707D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temprana de emergencia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537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A4094F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5BDD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RF-005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4D41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 de coherencia médica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AA3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Ajuste de la confianza según coherencia clínica de la predicción.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CC82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del modelo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6FFB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MedicalValidationRules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9D0C3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con confianza ajustada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EB443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70BDAFB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05D8B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RF-006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6D29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Explicabilidad (SHAP)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9F8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Explicación de las variables que influyen en cada predicción.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B191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y features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9ECF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Cálculo de valores SHAP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F4E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Gráfico/tabla de contribución de variables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5FE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0B29BC6E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C9B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RF-007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58F35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Panel del doctor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7CB7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Revisión, aceptación, rechazo o ajuste de las predicciones de 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CB5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Predicciones de pacientes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954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Filtrado, validación, firma médica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5D1D9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en el historial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4A2E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CBEC687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E72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RF-008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A981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Historial clínico electrónico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A004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cronológico de síntomas, predicciones y validaciones.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96D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Evaluaciones y validaciones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13D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Organización cronológica, búsqueda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6702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Vista del historial del paciente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2A384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4B771EB8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D310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RF-009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3631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alertas y notificaciones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330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Generación de alertas según el nivel de riesgo.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CF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Resultado de la evaluación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3E3A7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Clasificación de urgencia, scheduling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5F1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médica o recordatorio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ECCE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701FDB2F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E255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RF-010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9B0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y estadísticas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751A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epidemiológicos y de uso del sistema.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4E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agregados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79FB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estadístico, visualización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E8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gráficos y numéricos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5A4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69FDCC94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89D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2662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Módulo educativo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885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Contenido preventivo personalizado </w:t>
              <w:lastRenderedPageBreak/>
              <w:t>sobre salud respiratoria.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7A8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Perfil e historial del usuario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ACAA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Personalización y filtrado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C43D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Contenido educativo relevante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2DE7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  <w:tr w:rsidR="00F72CD2" w14:paraId="68D31726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E36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AE619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Geolocalización de centros de salud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E3A8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 centros de salud cercanos.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ED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del usuario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BEAA5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Búsqueda geoespacial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897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Mapa con centros de salud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F6A6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</w:tbl>
    <w:p w14:paraId="0093150D" w14:textId="77777777" w:rsidR="00F72CD2" w:rsidRDefault="00000000">
      <w:pPr>
        <w:pStyle w:val="Ttulo2"/>
        <w:spacing w:after="120"/>
      </w:pPr>
      <w:r>
        <w:rPr>
          <w:color w:val="1F3864"/>
        </w:rPr>
        <w:t>d) Reglas de Negocio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960"/>
      </w:tblGrid>
      <w:tr w:rsidR="00F72CD2" w14:paraId="5C09F97F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B55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1DE92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4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616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152AEF1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55D2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RN-001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23B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Clasificación de usuarios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054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(registra síntomas y recibe recomendaciones), Médico (revisa y valida casos) y Administrador (gestiona el sistema y reportes).</w:t>
            </w:r>
          </w:p>
        </w:tc>
      </w:tr>
      <w:tr w:rsidR="00F72CD2" w14:paraId="59ACD99B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23E30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RN-002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CA80C8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Evaluación de riesgo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BB33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Riesgo bajo: recomendaciones preventivas. Riesgo medio: seguimiento en 24–48 h. Riesgo alto: derivación médica inmediata.</w:t>
            </w:r>
          </w:p>
        </w:tc>
      </w:tr>
      <w:tr w:rsidR="00F72CD2" w14:paraId="4781DF8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5031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RN-003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F3BBBB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Manejo de datos médicos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75C7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Todos los datos se cifran en tránsito y en reposo; el acceso requiere consentimiento del usuario; retención según normativa vigente.</w:t>
            </w:r>
          </w:p>
        </w:tc>
      </w:tr>
      <w:tr w:rsidR="00F72CD2" w14:paraId="0019BEE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6806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RN-004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A22D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Criterios de alerta médica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6626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Dificultad respiratoria severa, fiebre alta persistente (&gt; 38.5 °C por 3+ días), dolor torácico intenso, tos con sangre o antecedentes de enfermedad respiratoria crónica.</w:t>
            </w:r>
          </w:p>
        </w:tc>
      </w:tr>
      <w:tr w:rsidR="00F72CD2" w14:paraId="5317E84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BE0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RN-005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CD876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 del sistema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992B1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Disponible 24/7 para evaluaciones; mantenimiento programado fuera de horas pico (2:00–5:00); plan de contingencia ante fallos.</w:t>
            </w:r>
          </w:p>
        </w:tc>
      </w:tr>
      <w:tr w:rsidR="00F72CD2" w14:paraId="54454CF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37B9F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RN-006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663C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 del modelo de IA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F30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Los modelos deben mantener una precisión superior al 95 %; reentrenamiento periódico con nuevos datos y validación continua con médicos.</w:t>
            </w:r>
          </w:p>
        </w:tc>
      </w:tr>
      <w:tr w:rsidR="00F72CD2" w14:paraId="52192B7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744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RN-007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F229E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Privacidad y consentimiento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DAC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Consentimiento explícito para el uso de datos médicos; opción de anonimizar para investigación; derecho a la eliminación de datos (derechos ARCO).</w:t>
            </w:r>
          </w:p>
        </w:tc>
      </w:tr>
      <w:tr w:rsidR="00F72CD2" w14:paraId="62D5ACC4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A436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RN-008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9D3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Integración con el sistema de salud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D356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Derivaciones automáticas a centros de DIRESA Tacna; notificación al médico asignado en casos de alta prioridad; sincronización con la agenda cuando esté disponible.</w:t>
            </w:r>
          </w:p>
        </w:tc>
      </w:tr>
      <w:tr w:rsidR="00F72CD2" w14:paraId="3324E5D5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1D5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RN-009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91F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Contenido educativo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967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Información validada por profesionales médicos; actualización periódica; personalización según el perfil del usuario.</w:t>
            </w:r>
          </w:p>
        </w:tc>
      </w:tr>
      <w:tr w:rsidR="00F72CD2" w14:paraId="59E3F58D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1DC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RN-010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B60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Métricas de seguimiento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332A2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de tiempo de respuesta, precisión diagnóstica, satisfacción del usuario y adopción del sistema.</w:t>
            </w:r>
          </w:p>
        </w:tc>
      </w:tr>
    </w:tbl>
    <w:p w14:paraId="194FF997" w14:textId="77777777" w:rsidR="00F72CD2" w:rsidRDefault="00000000">
      <w:pPr>
        <w:pStyle w:val="Ttulo1"/>
        <w:spacing w:before="240" w:after="120"/>
      </w:pPr>
      <w:r>
        <w:t>V. Fase de Desarrollo</w:t>
      </w:r>
    </w:p>
    <w:p w14:paraId="2C26E7C1" w14:textId="77777777" w:rsidR="00F72CD2" w:rsidRDefault="00000000">
      <w:pPr>
        <w:pStyle w:val="Ttulo2"/>
        <w:spacing w:after="120"/>
      </w:pPr>
      <w:r>
        <w:rPr>
          <w:color w:val="1F3864"/>
        </w:rPr>
        <w:t>1. Perfiles de Usuario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60"/>
        <w:gridCol w:w="2300"/>
        <w:gridCol w:w="1500"/>
      </w:tblGrid>
      <w:tr w:rsidR="00F72CD2" w14:paraId="66594A9A" w14:textId="77777777">
        <w:trPr>
          <w:tblHeader/>
        </w:trPr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959F0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22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351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Características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FC4A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Necesidades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84F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Limitaciones</w:t>
            </w:r>
          </w:p>
        </w:tc>
      </w:tr>
      <w:tr w:rsidR="00F72CD2" w14:paraId="0D9E631F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FD0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Usuario final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D02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18–65 años; nivel tecnológico básico-intermedio; smartphone Android.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6CF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Evaluación rápida de síntomas, información confiable y derivación oportuna.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AB24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Conectividad limitada; nivel educativo variable.</w:t>
            </w:r>
          </w:p>
        </w:tc>
      </w:tr>
      <w:tr w:rsidR="00F72CD2" w14:paraId="01D631F9" w14:textId="77777777"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4D483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Profesional médico</w:t>
            </w:r>
          </w:p>
        </w:tc>
        <w:tc>
          <w:tcPr>
            <w:tcW w:w="22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9644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Medicina general, neumología o medicina interna; nivel intermedio-avanzado.</w:t>
            </w:r>
          </w:p>
        </w:tc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8543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Triaje eficiente, información previa del paciente y reportes epidemiológicos.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F31E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limitado; alta carga laboral.</w:t>
            </w:r>
          </w:p>
        </w:tc>
      </w:tr>
      <w:tr w:rsidR="00F72CD2" w14:paraId="12BF5903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7DA3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Administrador del sistema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BA27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 de TI de DIRESA e investigadores; nivel avanzado.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E46CF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Monitoreo, generación de reportes y configuración de parámetros.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559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Disponibilidad de mantenimiento en horarios específicos.</w:t>
            </w:r>
          </w:p>
        </w:tc>
      </w:tr>
    </w:tbl>
    <w:p w14:paraId="51C67CEA" w14:textId="77777777" w:rsidR="00F72CD2" w:rsidRDefault="00000000">
      <w:pPr>
        <w:pStyle w:val="Ttulo2"/>
        <w:spacing w:after="120"/>
      </w:pPr>
      <w:r>
        <w:rPr>
          <w:color w:val="1F3864"/>
        </w:rPr>
        <w:t>2. Modelo Conceptual</w:t>
      </w:r>
    </w:p>
    <w:p w14:paraId="46B2F905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Diagrama de Paquetes</w:t>
      </w:r>
    </w:p>
    <w:p w14:paraId="5B0810C1" w14:textId="77777777" w:rsidR="00F72CD2" w:rsidRDefault="00000000">
      <w:pPr>
        <w:spacing w:after="120" w:line="276" w:lineRule="auto"/>
        <w:jc w:val="both"/>
      </w:pPr>
      <w:r>
        <w:lastRenderedPageBreak/>
        <w:t>El sistema se organiza, bajo Clean Architecture, en los siguientes paquetes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3460"/>
      </w:tblGrid>
      <w:tr w:rsidR="00F72CD2" w14:paraId="52656C2F" w14:textId="77777777">
        <w:trPr>
          <w:tblHeader/>
        </w:trPr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791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Paquete</w:t>
            </w:r>
          </w:p>
        </w:tc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05ABB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998A8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F72CD2" w14:paraId="150ADE6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F437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Presentación (Web/Móvil)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1FA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Next.js 14 + Capacitor 6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D6230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de usuario, formularios de síntomas, panel del doctor.</w:t>
            </w:r>
          </w:p>
        </w:tc>
      </w:tr>
      <w:tr w:rsidR="00F72CD2" w14:paraId="19EB75FF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39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 / Aplicación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881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Node.js + 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CCE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Casos de uso, orquestación y reglas de negocio.</w:t>
            </w:r>
          </w:p>
        </w:tc>
      </w:tr>
      <w:tr w:rsidR="00F72CD2" w14:paraId="4E927771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1A7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Servicios de IA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018C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Python + FastAPI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6A5C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ML, CNN, reglas de emergencia, validación y SHAP.</w:t>
            </w:r>
          </w:p>
        </w:tc>
      </w:tr>
      <w:tr w:rsidR="00F72CD2" w14:paraId="22781AEE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D141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Dominio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F7F7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147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Entidades y lógica de negocio independiente de frameworks.</w:t>
            </w:r>
          </w:p>
        </w:tc>
      </w:tr>
      <w:tr w:rsidR="00F72CD2" w14:paraId="73C279B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DCF6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Infraestructura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FADC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MongoDB + Redis + Docker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F41B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Persistencia, caché y despliegue en contenedores.</w:t>
            </w:r>
          </w:p>
        </w:tc>
      </w:tr>
    </w:tbl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paquetes individuales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114925" cy="4467225"/>
            <wp:effectExtent l="0" t="0" r="0" b="0"/>
            <wp:docPr id="1001" name="Figura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a 1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1: Diagrama de Paquete — Registrarse en el sistema (CU-001) — fase análisis</w:t>
      </w:r>
    </w:p>
    <w:p w14:paraId="32E4682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697704" cy="7200000"/>
            <wp:effectExtent l="0" t="0" r="0" b="0"/>
            <wp:docPr id="1011" name="Figura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ura 11"/>
                    <pic:cNvPicPr/>
                  </pic:nvPicPr>
                  <pic:blipFill>
                    <a:blip xmlns:r="http://schemas.openxmlformats.org/officeDocument/2006/relationships" r:embed="rId2011"/>
                    <a:stretch>
                      <a:fillRect/>
                    </a:stretch>
                  </pic:blipFill>
                  <pic:spPr>
                    <a:xfrm>
                      <a:off x="0" y="0"/>
                      <a:ext cx="4697704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952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11: Diagrama de Paquete — Analizar síntomas con IA (CU-003) — fase análisis</w:t>
      </w:r>
    </w:p>
    <w:p w14:paraId="3C687D3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29250" cy="5924550"/>
            <wp:effectExtent l="0" t="0" r="0" b="0"/>
            <wp:docPr id="1021" name="Figura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Figura 21"/>
                    <pic:cNvPicPr/>
                  </pic:nvPicPr>
                  <pic:blipFill>
                    <a:blip xmlns:r="http://schemas.openxmlformats.org/officeDocument/2006/relationships" r:embed="rId2021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3AF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21: Diagrama de Paquete — Analizar audio de tos (CU-005) — fase análisis</w:t>
      </w:r>
    </w:p>
    <w:p w14:paraId="0636964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5412766"/>
            <wp:effectExtent l="0" t="0" r="0" b="0"/>
            <wp:docPr id="1031" name="Figura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Figura 31"/>
                    <pic:cNvPicPr/>
                  </pic:nvPicPr>
                  <pic:blipFill>
                    <a:blip xmlns:r="http://schemas.openxmlformats.org/officeDocument/2006/relationships" r:embed="rId20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BE42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31: Diagrama de Paquete — Detección de emergencia por síntomas críticos — fase análisis</w:t>
      </w:r>
    </w:p>
    <w:p w14:paraId="42E9E70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14975" cy="4686300"/>
            <wp:effectExtent l="0" t="0" r="0" b="0"/>
            <wp:docPr id="1041" name="Figura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Figura 41"/>
                    <pic:cNvPicPr/>
                  </pic:nvPicPr>
                  <pic:blipFill>
                    <a:blip xmlns:r="http://schemas.openxmlformats.org/officeDocument/2006/relationships" r:embed="rId2041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3D9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41: Diagrama de Paquete — Validación de coherencia médica — fase análisis</w:t>
      </w:r>
    </w:p>
    <w:p w14:paraId="44F3D0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583465"/>
            <wp:effectExtent l="0" t="0" r="0" b="0"/>
            <wp:docPr id="1051" name="Figura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Figura 51"/>
                    <pic:cNvPicPr/>
                  </pic:nvPicPr>
                  <pic:blipFill>
                    <a:blip xmlns:r="http://schemas.openxmlformats.org/officeDocument/2006/relationships" r:embed="rId20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266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51: Diagrama de Paquetes — Explicabilidad del diagnóstico (RF-006) — fase análisis</w:t>
      </w:r>
    </w:p>
    <w:p w14:paraId="1A466645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48275" cy="3448050"/>
            <wp:effectExtent l="0" t="0" r="0" b="0"/>
            <wp:docPr id="1061" name="Figura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" name="Figura 61"/>
                    <pic:cNvPicPr/>
                  </pic:nvPicPr>
                  <pic:blipFill>
                    <a:blip xmlns:r="http://schemas.openxmlformats.org/officeDocument/2006/relationships" r:embed="rId2061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BD0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61: Diagrama de Paquetes — Panel del doctor (RF-007) — fase análisis</w:t>
      </w:r>
    </w:p>
    <w:p w14:paraId="542FCC6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15025" cy="2209800"/>
            <wp:effectExtent l="0" t="0" r="0" b="0"/>
            <wp:docPr id="1071" name="Figura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" name="Figura 71"/>
                    <pic:cNvPicPr/>
                  </pic:nvPicPr>
                  <pic:blipFill>
                    <a:blip xmlns:r="http://schemas.openxmlformats.org/officeDocument/2006/relationships" r:embed="rId207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BBA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71: Diagrama de Paquetes — Historial clínico electrónico (RF-008) — fase análisis</w:t>
      </w:r>
    </w:p>
    <w:p w14:paraId="2217596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338651"/>
            <wp:effectExtent l="0" t="0" r="0" b="0"/>
            <wp:docPr id="1081" name="Figura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" name="Figura 81"/>
                    <pic:cNvPicPr/>
                  </pic:nvPicPr>
                  <pic:blipFill>
                    <a:blip xmlns:r="http://schemas.openxmlformats.org/officeDocument/2006/relationships" r:embed="rId20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F4A3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81: Diagrama de Paquetes — Sistema de alertas y notificaciones (RF-009) — fase análisis</w:t>
      </w:r>
    </w:p>
    <w:p w14:paraId="6A4C07D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619750" cy="3448050"/>
            <wp:effectExtent l="0" t="0" r="0" b="0"/>
            <wp:docPr id="1091" name="Figura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" name="Figura 91"/>
                    <pic:cNvPicPr/>
                  </pic:nvPicPr>
                  <pic:blipFill>
                    <a:blip xmlns:r="http://schemas.openxmlformats.org/officeDocument/2006/relationships" r:embed="rId209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00F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91: Diagrama de Paquetes — Reportes y estadísticas (RF-010) — fase análisis</w:t>
      </w:r>
    </w:p>
    <w:p w14:paraId="4E8CE99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38750" cy="4686300"/>
            <wp:effectExtent l="0" t="0" r="0" b="0"/>
            <wp:docPr id="1101" name="Figura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" name="Figura 101"/>
                    <pic:cNvPicPr/>
                  </pic:nvPicPr>
                  <pic:blipFill>
                    <a:blip xmlns:r="http://schemas.openxmlformats.org/officeDocument/2006/relationships" r:embed="rId210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E34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101: Diagrama de Paquetes — Módulo educativo (RF-011) — fase análisis</w:t>
      </w:r>
    </w:p>
    <w:p w14:paraId="6C471B7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64092"/>
            <wp:effectExtent l="0" t="0" r="0" b="0"/>
            <wp:docPr id="1111" name="Figura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" name="Figura 111"/>
                    <pic:cNvPicPr/>
                  </pic:nvPicPr>
                  <pic:blipFill>
                    <a:blip xmlns:r="http://schemas.openxmlformats.org/officeDocument/2006/relationships" r:embed="rId2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07C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111: Diagrama de Paquetes — Geolocalización de centros de salud (RF-012) — fase análisis</w:t>
      </w:r>
    </w:p>
    <w:p w14:paraId="06C527F2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 Casos de Uso</w:t>
      </w:r>
    </w:p>
    <w:p w14:paraId="549A3220" w14:textId="77777777" w:rsidR="00F72CD2" w:rsidRDefault="00000000">
      <w:pPr>
        <w:spacing w:after="120" w:line="276" w:lineRule="auto"/>
        <w:jc w:val="both"/>
      </w:pPr>
      <w:r>
        <w:t>Los casos de uso principales del sistema, agrupados por actor, son los siguientes: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460"/>
        <w:gridCol w:w="2500"/>
      </w:tblGrid>
      <w:tr w:rsidR="00F72CD2" w14:paraId="047149D5" w14:textId="77777777">
        <w:trPr>
          <w:tblHeader/>
        </w:trPr>
        <w:tc>
          <w:tcPr>
            <w:tcW w:w="10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81CCD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C3E6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13D2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Actor(es)</w:t>
            </w:r>
          </w:p>
        </w:tc>
      </w:tr>
      <w:tr w:rsidR="00F72CD2" w14:paraId="3CF746DC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A1D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CU-001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B447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Registrarse en el sistema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0DB5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7222366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63B5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CU-002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F55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 síntomas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722C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197D8F4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8D78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CU-003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65F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síntomas con IA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ADA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</w:t>
            </w:r>
          </w:p>
        </w:tc>
      </w:tr>
      <w:tr w:rsidR="00F72CD2" w14:paraId="4CE400AA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F9AA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CU-004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BA63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Recibir evaluación de riesgo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39D3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2259E8D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A60A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CU-005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A0F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audio de tos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B1DF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Sistema de IA</w:t>
            </w:r>
          </w:p>
        </w:tc>
      </w:tr>
      <w:tr w:rsidR="00F72CD2" w14:paraId="756CC89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7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CU-006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F2F5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Validar predicción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C91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</w:t>
            </w:r>
          </w:p>
        </w:tc>
      </w:tr>
      <w:tr w:rsidR="00F72CD2" w14:paraId="3AE4E28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7A07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CU-007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3F92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Consultar información educativa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B2E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6E8B97AD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D468E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CU-008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967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Generar reportes estadísticos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9EC22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 / Administrador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CU-009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Detectar emergencia por síntomas críticos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 / Paciente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CU-010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Validar coherencia médica de la predicción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CU-011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Explicar el diagnóstico generado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CU-012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Consultar historial clínico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CU-013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Recibir alertas y notificaciones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CU-014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Ubicar centros de salud cercanos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</w:tbl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UML de casos de uso individuales correspondientes a cada requerimiento funcional (RF-001 a RF-012), en fase de análisis.</w:t>
      </w:r>
    </w:p>
    <w:p w14:paraId="11C075D4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10200" cy="5810250"/>
            <wp:effectExtent l="0" t="0" r="0" b="0"/>
            <wp:docPr id="1002" name="Figura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a 2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2: Diagrama de Caso de Uso — Registrarse en el sistema (CU-001) — fase análisis</w:t>
      </w:r>
    </w:p>
    <w:p w14:paraId="69BAC12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042920"/>
            <wp:effectExtent l="0" t="0" r="0" b="0"/>
            <wp:docPr id="1012" name="Figura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ura 12"/>
                    <pic:cNvPicPr/>
                  </pic:nvPicPr>
                  <pic:blipFill>
                    <a:blip xmlns:r="http://schemas.openxmlformats.org/officeDocument/2006/relationships" r:embed="rId20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E37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12: Diagrama de Caso de Uso — Analizar síntomas con IA (CU-003) — fase análisis</w:t>
      </w:r>
    </w:p>
    <w:p w14:paraId="64C23EC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741944"/>
            <wp:effectExtent l="0" t="0" r="0" b="0"/>
            <wp:docPr id="1022" name="Figura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Figura 22"/>
                    <pic:cNvPicPr/>
                  </pic:nvPicPr>
                  <pic:blipFill>
                    <a:blip xmlns:r="http://schemas.openxmlformats.org/officeDocument/2006/relationships" r:embed="rId20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552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22: Diagrama de Caso de Uso — Analizar audio de tos (CU-005) — fase análisis</w:t>
      </w:r>
    </w:p>
    <w:p w14:paraId="53600E3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926838"/>
            <wp:effectExtent l="0" t="0" r="0" b="0"/>
            <wp:docPr id="1032" name="Figura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Figura 32"/>
                    <pic:cNvPicPr/>
                  </pic:nvPicPr>
                  <pic:blipFill>
                    <a:blip xmlns:r="http://schemas.openxmlformats.org/officeDocument/2006/relationships" r:embed="rId20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D0F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32: Diagrama de Caso de Uso — Detección de emergencia por síntomas críticos — fase análisis</w:t>
      </w:r>
    </w:p>
    <w:p w14:paraId="3816DA5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189715"/>
            <wp:effectExtent l="0" t="0" r="0" b="0"/>
            <wp:docPr id="1042" name="Figura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Figura 42"/>
                    <pic:cNvPicPr/>
                  </pic:nvPicPr>
                  <pic:blipFill>
                    <a:blip xmlns:r="http://schemas.openxmlformats.org/officeDocument/2006/relationships" r:embed="rId20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627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42: Diagrama de Caso de Uso — Validación de coherencia médica — fase análisis</w:t>
      </w:r>
    </w:p>
    <w:p w14:paraId="74E6008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905869"/>
            <wp:effectExtent l="0" t="0" r="0" b="0"/>
            <wp:docPr id="1052" name="Figura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Figura 52"/>
                    <pic:cNvPicPr/>
                  </pic:nvPicPr>
                  <pic:blipFill>
                    <a:blip xmlns:r="http://schemas.openxmlformats.org/officeDocument/2006/relationships" r:embed="rId20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182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52: Diagrama de Caso de Uso — Explicabilidad del diagnóstico — fase análisis</w:t>
      </w:r>
    </w:p>
    <w:p w14:paraId="3D7700E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589370"/>
            <wp:effectExtent l="0" t="0" r="0" b="0"/>
            <wp:docPr id="1062" name="Figura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" name="Figura 62"/>
                    <pic:cNvPicPr/>
                  </pic:nvPicPr>
                  <pic:blipFill>
                    <a:blip xmlns:r="http://schemas.openxmlformats.org/officeDocument/2006/relationships" r:embed="rId20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939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62: Diagrama de Caso de Uso — Panel del doctor — fase análisis</w:t>
      </w:r>
    </w:p>
    <w:p w14:paraId="02DB2C9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681206"/>
            <wp:effectExtent l="0" t="0" r="0" b="0"/>
            <wp:docPr id="1072" name="Figura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" name="Figura 72"/>
                    <pic:cNvPicPr/>
                  </pic:nvPicPr>
                  <pic:blipFill>
                    <a:blip xmlns:r="http://schemas.openxmlformats.org/officeDocument/2006/relationships" r:embed="rId20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89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72: Diagrama de Caso de Uso — Historial clínico electrónico — fase análisis</w:t>
      </w:r>
    </w:p>
    <w:p w14:paraId="6E619A1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02038"/>
            <wp:effectExtent l="0" t="0" r="0" b="0"/>
            <wp:docPr id="1082" name="Figura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" name="Figura 82"/>
                    <pic:cNvPicPr/>
                  </pic:nvPicPr>
                  <pic:blipFill>
                    <a:blip xmlns:r="http://schemas.openxmlformats.org/officeDocument/2006/relationships" r:embed="rId20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63A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82: Diagrama de Caso de Uso — Sistema de alertas y notificaciones — fase análisis</w:t>
      </w:r>
    </w:p>
    <w:p w14:paraId="37A511B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079463"/>
            <wp:effectExtent l="0" t="0" r="0" b="0"/>
            <wp:docPr id="1092" name="Figura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" name="Figura 92"/>
                    <pic:cNvPicPr/>
                  </pic:nvPicPr>
                  <pic:blipFill>
                    <a:blip xmlns:r="http://schemas.openxmlformats.org/officeDocument/2006/relationships" r:embed="rId20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C7B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92: Diagrama de Caso de Uso — Reportes y estadísticas — fase análisis</w:t>
      </w:r>
    </w:p>
    <w:p w14:paraId="3EB3DC6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159037"/>
            <wp:effectExtent l="0" t="0" r="0" b="0"/>
            <wp:docPr id="1102" name="Figura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" name="Figura 102"/>
                    <pic:cNvPicPr/>
                  </pic:nvPicPr>
                  <pic:blipFill>
                    <a:blip xmlns:r="http://schemas.openxmlformats.org/officeDocument/2006/relationships" r:embed="rId2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F75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102: Diagrama de Caso de Uso — Módulo educativo — fase análisis</w:t>
      </w:r>
    </w:p>
    <w:p w14:paraId="521B984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842910"/>
            <wp:effectExtent l="0" t="0" r="0" b="0"/>
            <wp:docPr id="1112" name="Figura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Figura 112"/>
                    <pic:cNvPicPr/>
                  </pic:nvPicPr>
                  <pic:blipFill>
                    <a:blip xmlns:r="http://schemas.openxmlformats.org/officeDocument/2006/relationships" r:embed="rId2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DDF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112: Diagrama de Caso de Uso — Geolocalización de centros de salud — fase análisis</w:t>
      </w:r>
    </w:p>
    <w:p w14:paraId="7C46C08E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Escenarios de Caso de Uso (narrativa)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CU-001: Registrarse en el sistema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Médico, Administrador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acceso a la aplicación web o móvil y no posee una cuenta activa.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“Crear cuenta”.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solicita datos personales y credenciales de acceso.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completa el formulario y selecciona su rol.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valida el formato de los datos y la unicidad del correo electrónico.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cifra las credenciales y crea la cuenta.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envía una confirmación y redirige al inicio de sesión.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inicia sesión con sus credenciales.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Cuenta de usuario activa y sesión iniciada.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Correo ya registrado: el sistema muestra un mensaje de error y solicita otro correo.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Datos incompletos o inválidos: el sistema resalta los campos con error.</w:t>
      </w:r>
    </w:p>
    <w:p w14:paraId="4155F96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CU-002: Registrar síntomas</w:t>
      </w:r>
    </w:p>
    <w:p w14:paraId="1A4DBAF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330A415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en el sistema.</w:t>
      </w:r>
    </w:p>
    <w:p w14:paraId="2B79758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6D9DB9F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“Evaluar síntomas”.</w:t>
      </w:r>
    </w:p>
    <w:p w14:paraId="56F42C5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el formulario guiado de síntomas.</w:t>
      </w:r>
    </w:p>
    <w:p w14:paraId="7056104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o describe sus síntomas y su duración.</w:t>
      </w:r>
    </w:p>
    <w:p w14:paraId="30BC15C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agrega, opcionalmente, información contextual.</w:t>
      </w:r>
    </w:p>
    <w:p w14:paraId="3A9BD83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confirma el envío de la información.</w:t>
      </w:r>
    </w:p>
    <w:p w14:paraId="07C3ACC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los síntomas para su análisis.</w:t>
      </w:r>
    </w:p>
    <w:p w14:paraId="78C7F12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Síntomas registrados y disponibles para el análisis de IA.</w:t>
      </w:r>
    </w:p>
    <w:p w14:paraId="297A90F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Flujos alternativos:</w:t>
      </w:r>
    </w:p>
    <w:p w14:paraId="5E178D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síntomas indicados: el sistema muestra campos sugeridos.</w:t>
      </w:r>
    </w:p>
    <w:p w14:paraId="48A89F6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6a. Error de procesamiento: el sistema solicita reintentar.</w:t>
      </w:r>
    </w:p>
    <w:p w14:paraId="07F93F9E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CU-003: Analizar síntomas con IA</w:t>
      </w:r>
    </w:p>
    <w:p w14:paraId="000A3F2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</w:t>
      </w:r>
    </w:p>
    <w:p w14:paraId="2425A23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Existen síntomas registrados por el usuario.</w:t>
      </w:r>
    </w:p>
    <w:p w14:paraId="52CC28A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D3FDFD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servicio de IA recibe los síntomas del paciente.</w:t>
      </w:r>
    </w:p>
    <w:p w14:paraId="167B00C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Aplica el preprocesamiento y la codificación de variables.</w:t>
      </w:r>
    </w:p>
    <w:p w14:paraId="07DA1C8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motor de reglas de emergencia evalúa señales de alarma.</w:t>
      </w:r>
    </w:p>
    <w:p w14:paraId="5585240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(Random Forest, XGBoost, MLP) generan la predicción.</w:t>
      </w:r>
    </w:p>
    <w:p w14:paraId="6FC4419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el nivel de confianza.</w:t>
      </w:r>
    </w:p>
    <w:p w14:paraId="5714186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Se calcula la explicación con SHAP y el nivel de riesgo.</w:t>
      </w:r>
    </w:p>
    <w:p w14:paraId="38F971F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almacena en el historial del usuario.</w:t>
      </w:r>
    </w:p>
    <w:p w14:paraId="5495502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Evaluación de riesgo generada, validada y explicable.</w:t>
      </w:r>
    </w:p>
    <w:p w14:paraId="7F305F3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7DC302D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Señal de alarma detectada: se activa el protocolo de emergencia.</w:t>
      </w:r>
    </w:p>
    <w:p w14:paraId="3D512E8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Error en un modelo: se usa un modelo de respaldo del ensemble.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CU-004: Recibir evaluación de riesgo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sistema cuenta con una predicción validada por el motor de IA y las reglas clínicas.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consolida la predicción del modelo, el resultado de las reglas de emergencia y la validación de coherencia médica.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clasifica el nivel de riesgo (bajo, moderado, alto, emergencia).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al usuario la enfermedad probable, el nivel de confianza y el nivel de riesgo.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recomienda una acción: autocuidado, seguimiento médico o derivación urgente.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visualiza la explicación de los factores que influyeron en el resultado.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Evaluación de riesgo mostrada al usuario y registrada en su historial.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Riesgo de emergencia detectado: el sistema prioriza la alerta y notifica de forma inmediata.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El usuario solicita más información: el sistema muestra contenido educativo relacionado.</w:t>
      </w:r>
    </w:p>
    <w:p w14:paraId="6E73AA7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CU-005: Analizar audio de tos</w:t>
      </w:r>
    </w:p>
    <w:p w14:paraId="665F8FD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Sistema de IA</w:t>
      </w:r>
    </w:p>
    <w:p w14:paraId="7B1EFC3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y otorga permiso de micrófono.</w:t>
      </w:r>
    </w:p>
    <w:p w14:paraId="6EBE5EC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1848183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graba un audio de tos (mínimo 3 segundos).</w:t>
      </w:r>
    </w:p>
    <w:p w14:paraId="20D6014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convierte el audio a espectrograma mel.</w:t>
      </w:r>
    </w:p>
    <w:p w14:paraId="4CFBA79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CNN analiza el espectrograma en busca de patrones anómalos.</w:t>
      </w:r>
    </w:p>
    <w:p w14:paraId="6D59C29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devuelve indicadores del análisis.</w:t>
      </w:r>
    </w:p>
    <w:p w14:paraId="278B208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asocia al historial del paciente.</w:t>
      </w:r>
    </w:p>
    <w:p w14:paraId="1F6BB6A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Análisis de tos disponible como apoyo a la evaluación.</w:t>
      </w:r>
    </w:p>
    <w:p w14:paraId="024C10A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3B2859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1a. Permiso de micrófono denegado: el sistema muestra un mensaje claro y ofrece alternativa.</w:t>
      </w:r>
    </w:p>
    <w:p w14:paraId="1605D8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Audio insuficiente: el sistema solicita una nueva grabación.</w:t>
      </w:r>
    </w:p>
    <w:p w14:paraId="795E311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CU-006: Validar predicción</w:t>
      </w:r>
    </w:p>
    <w:p w14:paraId="2D8D204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Médico</w:t>
      </w:r>
    </w:p>
    <w:p w14:paraId="1A1C528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 xml:space="preserve">Precondiciones: </w:t>
      </w:r>
      <w:r>
        <w:t>Existen predicciones de IA pendientes de validación.</w:t>
      </w:r>
    </w:p>
    <w:p w14:paraId="4B97063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BD671E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accede al panel del doctor.</w:t>
      </w:r>
    </w:p>
    <w:p w14:paraId="6CDB8EE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Filtra las predicciones por fecha o enfermedad.</w:t>
      </w:r>
    </w:p>
    <w:p w14:paraId="3E06A09E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Revisa la predicción, su confianza y la explicación SHAP.</w:t>
      </w:r>
    </w:p>
    <w:p w14:paraId="1F4C9FB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Acepta, rechaza o ajusta la predicción.</w:t>
      </w:r>
    </w:p>
    <w:p w14:paraId="59992DC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la validación con la firma del médico.</w:t>
      </w:r>
    </w:p>
    <w:p w14:paraId="647D87B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se integra al historial clínico del paciente.</w:t>
      </w:r>
    </w:p>
    <w:p w14:paraId="3ECBD38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Predicción validada e incorporada al historial clínico.</w:t>
      </w:r>
    </w:p>
    <w:p w14:paraId="2C7E419A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2A771D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Predicción incorrecta: el médico la corrige y retroalimenta al modelo.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CU-007: Consultar información educativa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tiene una sesión activa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educativo.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identifica el perfil y el historial del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filtra y presenta contenido preventivo relevante para 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contenido para revisarlo en detalle.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la consulta en el historial de actividad del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Contenido educativo mostrado y registrado como consultado.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historial disponible: el sistema muestra contenido preventivo general.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CU-008: Generar reportes estadísticos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Médico, Administrador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Existen datos agregados de evaluaciones y diagnósticos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reportes.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el periodo y los filtros de interés (zona, síntomas, rango de fechas).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consulta y agrega los datos correspondientes.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genera visualizaciones estadísticas y epidemiológicas.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exporta o descarga el reporte generado.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Reporte generado y disponible para su descarga o consulta.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datos suficientes para el filtro seleccionado: el sistema notifica al usuario.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CU-009: Detectar emergencia por síntomas críticos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IA, 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paciente ha registrado síntomas y/o signos vitales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motor de reglas clínicas (EmergencyRuleSystem) evalúa los síntomas y signos vitales registrados.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compara los valores contra los umbrales clínicos de alarma definidos.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Si se detecta una señal de alarma, el sistema genera una alerta de emergencia previa a la predicción del modelo de IA.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notifica de forma inmediata al paciente con la recomendación de acudir a un centro de salud.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el evento en el historial clínico del paciente.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Alerta temprana de emergencia generada y registrada.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No se detectan señales de alarma: el flujo continúa con la predicción normal del modelo de IA.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CU-010: Validar coherencia médica de la predicción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modelo de IA ha generado una predicción preliminar de enfermedad.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aplica las reglas de validación médica (MedicalValidationRules) sobre la predicción generada.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contrasta la predicción con los síntomas reportados y patrones clínicos conocidos.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ajusta el nivel de confianza de la predicción según el grado de coherencia clínica encontrado.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entrega la predicción validada, junto con la confianza ajustada, al módulo de evaluación de riesgo.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Predicción validada con confianza ajustada, lista para su presentación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Incoherencia clínica relevante detectada: el sistema reduce significativamente la confianza y sugiere validación médica manual.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CU-011: Explicar el diagnóstico generado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IA, 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 una predicción generada por el modelo de IA para el caso evaluado.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calcula los valores SHAP correspondientes a la predicción generada.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identifica las variables (síntomas y factores) con mayor influencia en el resultado.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genera una representación gráfica o tabular de la contribución de cada variable.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la explicación junto con el resultado de la predicción.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Explicación de la predicción disponible para el usuario y el médico.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Predicción sin variables determinantes claras: el sistema indica que el resultado es de baja especificidad.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CU-012: Consultar historial clínico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evaluaciones y/o validaciones previas registradas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historial clínico.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recupera cronológicamente las evaluaciones, predicciones y validaciones del paciente.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organiza la información y habilita filtros de búsqueda (fecha, síntoma, diagnóstico).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registro para visualizar el detalle completo.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Historial clínico del paciente mostrado de forma organizada.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Sin registros previos: el sistema muestra un historial vacío con la opción de iniciar una nueva evaluación.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CU-013: Recibir alertas y notificaciones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sistema ha generado un resultado de evaluación que requiere ser comunicado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clasifica el nivel de urgencia del resultado de la evaluación.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determina el canal y el momento adecuado para la notificación (inmediata o programada).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envía la alerta médica o el recordatorio correspondiente al paciente y/o al médico.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recibe y visualiza la notificación en la aplicación.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Alerta o recordatorio entregado al destinatario correspondiente.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1a. Urgencia crítica: el sistema envía la notificación de forma inmediata y prioritaria.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CU-014: Ubicar centros de salud cercanos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una evaluación que recomienda acudir a un centro de salud, y ha habilitado su ubicación.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geolocalización.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obtiene la ubicación actual del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realiza una búsqueda geoespacial de los centros de salud cercanos.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un mapa con los centros de salud disponibles y sus datos de contacto.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centro de salud para obtener indicaciones de ruta.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Mapa con centros de salud cercanos mostrado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Ubicación no disponible: el sistema solicita al usuario ingresar su distrito manualmente.</w:t>
      </w:r>
    </w:p>
    <w:p w14:paraId="6CC6DDC1" w14:textId="77777777" w:rsidR="00F72CD2" w:rsidRDefault="00000000">
      <w:pPr>
        <w:pStyle w:val="Ttulo2"/>
        <w:spacing w:after="120"/>
      </w:pPr>
      <w:r>
        <w:rPr>
          <w:color w:val="1F3864"/>
        </w:rPr>
        <w:t>3. Modelo Lógico</w:t>
      </w:r>
    </w:p>
    <w:p w14:paraId="24362C1B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Análisis de Objetos</w:t>
      </w:r>
    </w:p>
    <w:p w14:paraId="4D46BD15" w14:textId="77777777" w:rsidR="00F72CD2" w:rsidRDefault="00000000">
      <w:pPr>
        <w:spacing w:after="120" w:line="276" w:lineRule="auto"/>
        <w:jc w:val="both"/>
      </w:pPr>
      <w:r>
        <w:t>Las clases principales del dominio de RespiCare son las siguientes:</w:t>
      </w:r>
    </w:p>
    <w:p w14:paraId="2DD0AE17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Usuario</w:t>
      </w:r>
    </w:p>
    <w:p w14:paraId="39B36B91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33270E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3121C52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nombre: String</w:t>
      </w:r>
    </w:p>
    <w:p w14:paraId="7795395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apellido: String</w:t>
      </w:r>
    </w:p>
    <w:p w14:paraId="32C5A61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email: String (único)</w:t>
      </w:r>
    </w:p>
    <w:p w14:paraId="6381479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password: String (hash)</w:t>
      </w:r>
    </w:p>
    <w:p w14:paraId="71A5905A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tipoUsuario: Enum(Paciente, Medico, Admin)</w:t>
      </w:r>
    </w:p>
    <w:p w14:paraId="779FB49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fechaRegistro: DateTime</w:t>
      </w:r>
    </w:p>
    <w:p w14:paraId="44E10F34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activo: Boolean</w:t>
      </w:r>
    </w:p>
    <w:p w14:paraId="091116D6" w14:textId="77777777" w:rsidR="00F72CD2" w:rsidRPr="006262E0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6FA5B428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registrar(): Boolean</w:t>
      </w:r>
    </w:p>
    <w:p w14:paraId="42FD470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autenticar(email, password): Boolean</w:t>
      </w:r>
    </w:p>
    <w:p w14:paraId="099A07E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actualizarPerfil(): Boolean</w:t>
      </w:r>
    </w:p>
    <w:p w14:paraId="752DB2C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obtenerHistorial(): List&lt;Prediccion&gt;</w:t>
      </w:r>
    </w:p>
    <w:p w14:paraId="75318823" w14:textId="77777777" w:rsidR="00F72CD2" w:rsidRPr="00633EC9" w:rsidRDefault="00000000">
      <w:pPr>
        <w:pStyle w:val="Ttulo3"/>
        <w:spacing w:after="120"/>
        <w:rPr>
          <w:lang w:val="en-US"/>
        </w:rPr>
      </w:pPr>
      <w:r>
        <w:rPr>
          <w:color w:val="1F3864"/>
          <w:sz w:val="21"/>
          <w:szCs w:val="21"/>
          <w:lang w:val="en-US"/>
        </w:rPr>
        <w:t>Clase: SymptomRecord</w:t>
      </w:r>
    </w:p>
    <w:p w14:paraId="084097EF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r>
        <w:rPr>
          <w:b/>
          <w:bCs/>
          <w:lang w:val="en-US"/>
        </w:rPr>
        <w:t>Atributos:</w:t>
      </w:r>
    </w:p>
    <w:p w14:paraId="31117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0528402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7430D78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sintomas: List&lt;String&gt;</w:t>
      </w:r>
    </w:p>
    <w:p w14:paraId="10C92FF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duracionHoras: Integer</w:t>
      </w:r>
    </w:p>
    <w:p w14:paraId="1141A2A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createdAt: DateTime</w:t>
      </w:r>
    </w:p>
    <w:p w14:paraId="1E09693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contexto: JSON</w:t>
      </w:r>
    </w:p>
    <w:p w14:paraId="6A160B37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6AB92B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registrar(): Boolean</w:t>
      </w:r>
    </w:p>
    <w:p w14:paraId="5CC9842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validar(): Boolean</w:t>
      </w:r>
    </w:p>
    <w:p w14:paraId="39DF157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obtenerPorPaciente(patientId): List&lt;SymptomRecord&gt;</w:t>
      </w:r>
    </w:p>
    <w:p w14:paraId="3E4785DE" w14:textId="77777777" w:rsidR="00F72CD2" w:rsidRPr="006262E0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lastRenderedPageBreak/>
        <w:t>Clase: AIPrediction</w:t>
      </w:r>
    </w:p>
    <w:p w14:paraId="58E7775B" w14:textId="77777777" w:rsidR="00F72CD2" w:rsidRPr="006262E0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42DAB281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5AFECD89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symptomRecordId: ObjectId (FK)</w:t>
      </w:r>
    </w:p>
    <w:p w14:paraId="7C1FF6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enfermedad: String</w:t>
      </w:r>
    </w:p>
    <w:p w14:paraId="7139F47E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confianza: Float</w:t>
      </w:r>
    </w:p>
    <w:p w14:paraId="576568E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nivelRiesgo: Enum(Bajo, Medio, Alto)</w:t>
      </w:r>
    </w:p>
    <w:p w14:paraId="68764BB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modeloUsado: String</w:t>
      </w:r>
    </w:p>
    <w:p w14:paraId="1D44B27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shapValues: JSON</w:t>
      </w:r>
    </w:p>
    <w:p w14:paraId="6F7F04B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recomendaciones: Text</w:t>
      </w:r>
    </w:p>
    <w:p w14:paraId="76E42AD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2A4C051F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416D44B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predecir(): AIPrediction</w:t>
      </w:r>
    </w:p>
    <w:p w14:paraId="17F1DAC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ajustarConfianza(): Float</w:t>
      </w:r>
    </w:p>
    <w:p w14:paraId="3462C3E8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explicar(): JSON</w:t>
      </w:r>
    </w:p>
    <w:p w14:paraId="4C027D49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clasificarRiesgo(): String</w:t>
      </w:r>
    </w:p>
    <w:p w14:paraId="168D49D7" w14:textId="77777777" w:rsidR="00F72CD2" w:rsidRPr="00633EC9" w:rsidRDefault="00000000">
      <w:pPr>
        <w:pStyle w:val="Ttulo3"/>
        <w:spacing w:after="120"/>
        <w:rPr>
          <w:lang w:val="en-US"/>
        </w:rPr>
      </w:pPr>
      <w:r>
        <w:rPr>
          <w:color w:val="1F3864"/>
          <w:sz w:val="21"/>
          <w:szCs w:val="21"/>
          <w:lang w:val="en-US"/>
        </w:rPr>
        <w:t>Clase: CoughAnalysis</w:t>
      </w:r>
    </w:p>
    <w:p w14:paraId="45567B4C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r>
        <w:rPr>
          <w:b/>
          <w:bCs/>
          <w:lang w:val="en-US"/>
        </w:rPr>
        <w:t>Atributos:</w:t>
      </w:r>
    </w:p>
    <w:p w14:paraId="21C4E34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1951193B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5741A38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audioRef: String</w:t>
      </w:r>
    </w:p>
    <w:p w14:paraId="0C2A791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espectrograma: Binary</w:t>
      </w:r>
    </w:p>
    <w:p w14:paraId="5474FA9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resultadoCNN: JSON</w:t>
      </w:r>
    </w:p>
    <w:p w14:paraId="26BD6CE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anomalia: Boolean</w:t>
      </w:r>
    </w:p>
    <w:p w14:paraId="4C06FCA2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4316A7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719FD6A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procesarAudio(): Boolean</w:t>
      </w:r>
    </w:p>
    <w:p w14:paraId="1B1B9ED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generarEspectrograma(): Binary</w:t>
      </w:r>
    </w:p>
    <w:p w14:paraId="0DA90442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analizarCNN(): JSON</w:t>
      </w:r>
    </w:p>
    <w:p w14:paraId="28151844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MLModel</w:t>
      </w:r>
    </w:p>
    <w:p w14:paraId="4C50BCB3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5063EA4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241EA78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nombre: String</w:t>
      </w:r>
    </w:p>
    <w:p w14:paraId="470E3080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tipo: Enum(RandomForest, XGBoost, MLP, CNN)</w:t>
      </w:r>
    </w:p>
    <w:p w14:paraId="0667706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version: String</w:t>
      </w:r>
    </w:p>
    <w:p w14:paraId="494FC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precision: Float</w:t>
      </w:r>
    </w:p>
    <w:p w14:paraId="13AB6BC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fechaEntrenamiento: DateTime</w:t>
      </w:r>
    </w:p>
    <w:p w14:paraId="325257C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activo: Boolean</w:t>
      </w:r>
    </w:p>
    <w:p w14:paraId="1BFF619D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2F508D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predecir(features): Object</w:t>
      </w:r>
    </w:p>
    <w:p w14:paraId="404FE85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evaluarPrecision(): Float</w:t>
      </w:r>
    </w:p>
    <w:p w14:paraId="54924BB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reentrenar(dataset): Boolean</w:t>
      </w:r>
    </w:p>
    <w:p w14:paraId="0B6EB493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Alerta</w:t>
      </w:r>
    </w:p>
    <w:p w14:paraId="311214C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1DB360D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0598114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35DC529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predictionId: ObjectId (FK)</w:t>
      </w:r>
    </w:p>
    <w:p w14:paraId="605A78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tipo: Enum(Emergencia, Seguimiento, Preventiva)</w:t>
      </w:r>
    </w:p>
    <w:p w14:paraId="09D07EF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lastRenderedPageBreak/>
        <w:t>mensaje: Text</w:t>
      </w:r>
    </w:p>
    <w:p w14:paraId="1EA2875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leida: Boolean</w:t>
      </w:r>
    </w:p>
    <w:p w14:paraId="5C2FF43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36B9D9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12CF2C5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generar(): Boolean</w:t>
      </w:r>
    </w:p>
    <w:p w14:paraId="30E5984B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marcarLeida(): Boolean</w:t>
      </w:r>
    </w:p>
    <w:p w14:paraId="73104B0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enviarNotificacion(): Boolean</w:t>
      </w:r>
    </w:p>
    <w:p w14:paraId="531B97A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escalar(): Boolean</w:t>
      </w:r>
    </w:p>
    <w:p w14:paraId="64958D0D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ValidacionMedica</w:t>
      </w:r>
    </w:p>
    <w:p w14:paraId="58510C1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8494BB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6EEB376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predictionId: ObjectId (FK)</w:t>
      </w:r>
    </w:p>
    <w:p w14:paraId="50BA190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medicoId: ObjectId (FK)</w:t>
      </w:r>
    </w:p>
    <w:p w14:paraId="0E5FFA7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decision: Enum(Aceptada, Rechazada, Ajustada)</w:t>
      </w:r>
    </w:p>
    <w:p w14:paraId="1317780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observaciones: Text</w:t>
      </w:r>
    </w:p>
    <w:p w14:paraId="06654AA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firma: String</w:t>
      </w:r>
    </w:p>
    <w:p w14:paraId="76ED26B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02F3B3C5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A444C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registrar(): Boolean</w:t>
      </w:r>
    </w:p>
    <w:p w14:paraId="093122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integrarHistorial(): Boolean</w:t>
      </w:r>
    </w:p>
    <w:p w14:paraId="3D03E19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retroalimentarModelo(): Boolean</w:t>
      </w:r>
    </w:p>
    <w:p w14:paraId="58F1ED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Relaciones entre Clases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6"/>
        <w:gridCol w:w="1158"/>
        <w:gridCol w:w="2088"/>
        <w:gridCol w:w="2628"/>
      </w:tblGrid>
      <w:tr w:rsidR="00F72CD2" w14:paraId="1738F99B" w14:textId="77777777">
        <w:trPr>
          <w:tblHeader/>
        </w:trPr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BF9A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A</w:t>
            </w:r>
          </w:p>
        </w:tc>
        <w:tc>
          <w:tcPr>
            <w:tcW w:w="1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45E1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Cardinalidad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A98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B</w:t>
            </w:r>
          </w:p>
        </w:tc>
        <w:tc>
          <w:tcPr>
            <w:tcW w:w="26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79D6F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0E5BCAE5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CC7F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0B0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7FC4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SymptomRecord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56B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registra muchos conjuntos de síntomas.</w:t>
            </w:r>
          </w:p>
        </w:tc>
      </w:tr>
      <w:tr w:rsidR="00F72CD2" w14:paraId="78ADB12C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371D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SymptomRecord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2CC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5D09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2630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registro de síntomas genera una predicción.</w:t>
            </w:r>
          </w:p>
        </w:tc>
      </w:tr>
      <w:tr w:rsidR="00F72CD2" w14:paraId="43D3AE02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2D69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EAD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C46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CoughAnalysis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81DF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puede tener varios análisis de tos.</w:t>
            </w:r>
          </w:p>
        </w:tc>
      </w:tr>
      <w:tr w:rsidR="00F72CD2" w14:paraId="55563F50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C74B8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A75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72628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ValidacionMedica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B34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puede ser validada por un médico.</w:t>
            </w:r>
          </w:p>
        </w:tc>
      </w:tr>
      <w:tr w:rsidR="00F72CD2" w14:paraId="54814F8F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C7CF7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6F7F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2EC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8F8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Una predicción puede originar una o más alertas.</w:t>
            </w:r>
          </w:p>
        </w:tc>
      </w:tr>
      <w:tr w:rsidR="00F72CD2" w14:paraId="0CBEB548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5F8E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MLModel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B0C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3404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55FC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modelo produce muchas predicciones.</w:t>
            </w:r>
          </w:p>
        </w:tc>
      </w:tr>
    </w:tbl>
    <w:p w14:paraId="0B3D418F" w14:textId="77777777" w:rsidR="00F72CD2" w:rsidRDefault="00000000">
      <w:pPr>
        <w:pStyle w:val="Ttulo3"/>
        <w:spacing w:before="240" w:after="120"/>
      </w:pPr>
      <w:r>
        <w:rPr>
          <w:color w:val="1F3864"/>
        </w:rPr>
        <w:t>Nota sobre Diagramas UML</w:t>
      </w:r>
    </w:p>
    <w:p w14:paraId="4808B97B" w14:textId="77777777" w:rsidR="00F72CD2" w:rsidRDefault="00000000">
      <w:pPr>
        <w:spacing w:after="120" w:line="276" w:lineRule="auto"/>
        <w:jc w:val="both"/>
      </w:pPr>
      <w:r>
        <w:t>Los diagramas UML de paquetes, casos de uso, secuencia, clases y actividades correspondientes a cada requerimiento funcional (RF-001 a RF-012) se incorporan como figuras numeradas en la fase de análisis de este documento (SRS) y en la fase de diseño del documento SAD (FD04), permitiendo su referencia directa en la Matriz de Trazabilidad de Implementación. Las fuentes editables (PlantUML/Mermaid) se conservan además en el repositorio del proyecto (docs/diagramas/) y se han producido, adicionalmente, como diagramas C4 interactivos (contenedor, componente y modelo entidad-relación). Estos artefactos se actualizan junto con el software, conforme a la trazabilidad SWEBOK V4.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 Actividades con objetos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actividades con objetos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A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37836" cy="7772400"/>
            <wp:effectExtent l="0" t="0" r="0" b="0"/>
            <wp:docPr id="1005" name="Figura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a 5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837836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B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5: Diagrama de Actividades — Registrarse en el sistema (CU-001) — fase análisis</w:t>
      </w:r>
    </w:p>
    <w:p w14:paraId="2EADA1F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6875198"/>
            <wp:effectExtent l="0" t="0" r="0" b="0"/>
            <wp:docPr id="1015" name="Figura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ura 15"/>
                    <pic:cNvPicPr/>
                  </pic:nvPicPr>
                  <pic:blipFill>
                    <a:blip xmlns:r="http://schemas.openxmlformats.org/officeDocument/2006/relationships" r:embed="rId20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2C5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15: Diagrama de Actividades — Analizar síntomas con IA (CU-003) — fase análisis</w:t>
      </w:r>
    </w:p>
    <w:p w14:paraId="4357F30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304276"/>
            <wp:effectExtent l="0" t="0" r="0" b="0"/>
            <wp:docPr id="1025" name="Figura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Figura 25"/>
                    <pic:cNvPicPr/>
                  </pic:nvPicPr>
                  <pic:blipFill>
                    <a:blip xmlns:r="http://schemas.openxmlformats.org/officeDocument/2006/relationships" r:embed="rId20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41D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25: Diagrama de Actividades — Analizar audio de tos (CU-005) — fase análisis</w:t>
      </w:r>
    </w:p>
    <w:p w14:paraId="1D6112A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170371"/>
            <wp:effectExtent l="0" t="0" r="0" b="0"/>
            <wp:docPr id="1035" name="Figura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Figura 35"/>
                    <pic:cNvPicPr/>
                  </pic:nvPicPr>
                  <pic:blipFill>
                    <a:blip xmlns:r="http://schemas.openxmlformats.org/officeDocument/2006/relationships" r:embed="rId20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D4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35: Diagrama de Actividades — Detección de emergencia por síntomas críticos — fase análisis</w:t>
      </w:r>
    </w:p>
    <w:p w14:paraId="0FE7CC9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05500" cy="4838700"/>
            <wp:effectExtent l="0" t="0" r="0" b="0"/>
            <wp:docPr id="1045" name="Figura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Figura 45"/>
                    <pic:cNvPicPr/>
                  </pic:nvPicPr>
                  <pic:blipFill>
                    <a:blip xmlns:r="http://schemas.openxmlformats.org/officeDocument/2006/relationships" r:embed="rId2045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AAE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45: Diagrama de Actividades — Validación de coherencia médica — fase análisis</w:t>
      </w:r>
    </w:p>
    <w:p w14:paraId="495CB57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734050" cy="3714750"/>
            <wp:effectExtent l="0" t="0" r="0" b="0"/>
            <wp:docPr id="1055" name="Figura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Figura 55"/>
                    <pic:cNvPicPr/>
                  </pic:nvPicPr>
                  <pic:blipFill>
                    <a:blip xmlns:r="http://schemas.openxmlformats.org/officeDocument/2006/relationships" r:embed="rId205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194B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55: Diagrama de Actividades — Explicabilidad del diagnóstico — fase análisis</w:t>
      </w:r>
    </w:p>
    <w:p w14:paraId="1656568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791075" cy="5448300"/>
            <wp:effectExtent l="0" t="0" r="0" b="0"/>
            <wp:docPr id="1065" name="Figura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" name="Figura 65"/>
                    <pic:cNvPicPr/>
                  </pic:nvPicPr>
                  <pic:blipFill>
                    <a:blip xmlns:r="http://schemas.openxmlformats.org/officeDocument/2006/relationships" r:embed="rId206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F0B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65: Diagrama de Actividades — Panel del doctor — fase análisis</w:t>
      </w:r>
    </w:p>
    <w:p w14:paraId="4BBC5C9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72125" cy="3714750"/>
            <wp:effectExtent l="0" t="0" r="0" b="0"/>
            <wp:docPr id="1075" name="Figura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" name="Figura 75"/>
                    <pic:cNvPicPr/>
                  </pic:nvPicPr>
                  <pic:blipFill>
                    <a:blip xmlns:r="http://schemas.openxmlformats.org/officeDocument/2006/relationships" r:embed="rId207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3DD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75: Diagrama de Actividades — Historial clínico electrónico — fase análisis</w:t>
      </w:r>
    </w:p>
    <w:p w14:paraId="75FA93C4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26394"/>
            <wp:effectExtent l="0" t="0" r="0" b="0"/>
            <wp:docPr id="1085" name="Figura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" name="Figura 85"/>
                    <pic:cNvPicPr/>
                  </pic:nvPicPr>
                  <pic:blipFill>
                    <a:blip xmlns:r="http://schemas.openxmlformats.org/officeDocument/2006/relationships" r:embed="rId20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3D06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85: Diagrama de Actividades — Sistema de alertas y notificaciones — fase análisis</w:t>
      </w:r>
    </w:p>
    <w:p w14:paraId="386C4ED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76850" cy="5105400"/>
            <wp:effectExtent l="0" t="0" r="0" b="0"/>
            <wp:docPr id="1095" name="Figura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" name="Figura 95"/>
                    <pic:cNvPicPr/>
                  </pic:nvPicPr>
                  <pic:blipFill>
                    <a:blip xmlns:r="http://schemas.openxmlformats.org/officeDocument/2006/relationships" r:embed="rId2095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8DE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95: Diagrama de Actividades — Reportes y estadísticas — fase análisis</w:t>
      </w:r>
    </w:p>
    <w:p w14:paraId="1A371C5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95850" cy="3200400"/>
            <wp:effectExtent l="0" t="0" r="0" b="0"/>
            <wp:docPr id="1105" name="Figura 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" name="Figura 105"/>
                    <pic:cNvPicPr/>
                  </pic:nvPicPr>
                  <pic:blipFill>
                    <a:blip xmlns:r="http://schemas.openxmlformats.org/officeDocument/2006/relationships" r:embed="rId2105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572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105: Diagrama de Actividades — Módulo educativo — fase análisis</w:t>
      </w:r>
    </w:p>
    <w:p w14:paraId="6F6A6987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599385"/>
            <wp:effectExtent l="0" t="0" r="0" b="0"/>
            <wp:docPr id="1115" name="Figura 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" name="Figura 115"/>
                    <pic:cNvPicPr/>
                  </pic:nvPicPr>
                  <pic:blipFill>
                    <a:blip xmlns:r="http://schemas.openxmlformats.org/officeDocument/2006/relationships" r:embed="rId2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6D17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115: Diagrama de Actividades — Geolocalización de centros de salud — fase análisis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Diagrama de Secuencia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secuencia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29250" cy="5743575"/>
            <wp:effectExtent l="0" t="0" r="0" b="0"/>
            <wp:docPr id="1003" name="Figura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a 3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7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3: Diagrama de Secuencia — Iniciar sesión (CU-001) — fase análisis</w:t>
      </w:r>
    </w:p>
    <w:p w14:paraId="5EFE2F8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366956"/>
            <wp:effectExtent l="0" t="0" r="0" b="0"/>
            <wp:docPr id="1013" name="Figura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ura 13"/>
                    <pic:cNvPicPr/>
                  </pic:nvPicPr>
                  <pic:blipFill>
                    <a:blip xmlns:r="http://schemas.openxmlformats.org/officeDocument/2006/relationships" r:embed="rId20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3C3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13: Diagrama de Secuencia — Analizar síntomas con IA (CU-003) — fase análisis</w:t>
      </w:r>
    </w:p>
    <w:p w14:paraId="01BC191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66982"/>
            <wp:effectExtent l="0" t="0" r="0" b="0"/>
            <wp:docPr id="1023" name="Figura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Figura 23"/>
                    <pic:cNvPicPr/>
                  </pic:nvPicPr>
                  <pic:blipFill>
                    <a:blip xmlns:r="http://schemas.openxmlformats.org/officeDocument/2006/relationships" r:embed="rId20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8AF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23: Diagrama de Secuencia — Analizar audio de tos (CU-005) — fase análisis</w:t>
      </w:r>
    </w:p>
    <w:p w14:paraId="5F45352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613182"/>
            <wp:effectExtent l="0" t="0" r="0" b="0"/>
            <wp:docPr id="1033" name="Figura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Figura 33"/>
                    <pic:cNvPicPr/>
                  </pic:nvPicPr>
                  <pic:blipFill>
                    <a:blip xmlns:r="http://schemas.openxmlformats.org/officeDocument/2006/relationships" r:embed="rId20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4EA2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33: Diagrama de Secuencia — Detección de emergencia por síntomas críticos — fase análisis</w:t>
      </w:r>
    </w:p>
    <w:p w14:paraId="63ED4D4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715000" cy="3895725"/>
            <wp:effectExtent l="0" t="0" r="0" b="0"/>
            <wp:docPr id="1043" name="Figura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Figura 43"/>
                    <pic:cNvPicPr/>
                  </pic:nvPicPr>
                  <pic:blipFill>
                    <a:blip xmlns:r="http://schemas.openxmlformats.org/officeDocument/2006/relationships" r:embed="rId20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19B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43: Diagrama de Secuencia — Validación de coherencia médica — fase análisis</w:t>
      </w:r>
    </w:p>
    <w:p w14:paraId="460487A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322509"/>
            <wp:effectExtent l="0" t="0" r="0" b="0"/>
            <wp:docPr id="1053" name="Figura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Figura 53"/>
                    <pic:cNvPicPr/>
                  </pic:nvPicPr>
                  <pic:blipFill>
                    <a:blip xmlns:r="http://schemas.openxmlformats.org/officeDocument/2006/relationships" r:embed="rId20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1A7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53: Diagrama de Secuencia — Explicabilidad del diagnóstico — fase análisis</w:t>
      </w:r>
    </w:p>
    <w:p w14:paraId="042D45B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81532"/>
            <wp:effectExtent l="0" t="0" r="0" b="0"/>
            <wp:docPr id="1063" name="Figura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Figura 63"/>
                    <pic:cNvPicPr/>
                  </pic:nvPicPr>
                  <pic:blipFill>
                    <a:blip xmlns:r="http://schemas.openxmlformats.org/officeDocument/2006/relationships" r:embed="rId20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8E06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63: Diagrama de Secuencia — Panel del doctor — fase análisis</w:t>
      </w:r>
    </w:p>
    <w:p w14:paraId="0223E4E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373394"/>
            <wp:effectExtent l="0" t="0" r="0" b="0"/>
            <wp:docPr id="1073" name="Figura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" name="Figura 73"/>
                    <pic:cNvPicPr/>
                  </pic:nvPicPr>
                  <pic:blipFill>
                    <a:blip xmlns:r="http://schemas.openxmlformats.org/officeDocument/2006/relationships" r:embed="rId20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D51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73: Diagrama de Secuencia — Historial clínico electrónico — fase análisis</w:t>
      </w:r>
    </w:p>
    <w:p w14:paraId="3829D38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77689"/>
            <wp:effectExtent l="0" t="0" r="0" b="0"/>
            <wp:docPr id="1083" name="Figura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" name="Figura 83"/>
                    <pic:cNvPicPr/>
                  </pic:nvPicPr>
                  <pic:blipFill>
                    <a:blip xmlns:r="http://schemas.openxmlformats.org/officeDocument/2006/relationships" r:embed="rId20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3AF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83: Diagrama de Secuencia — Sistema de alertas y notificaciones — fase análisis</w:t>
      </w:r>
    </w:p>
    <w:p w14:paraId="61DCBF8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238595"/>
            <wp:effectExtent l="0" t="0" r="0" b="0"/>
            <wp:docPr id="1093" name="Figura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" name="Figura 93"/>
                    <pic:cNvPicPr/>
                  </pic:nvPicPr>
                  <pic:blipFill>
                    <a:blip xmlns:r="http://schemas.openxmlformats.org/officeDocument/2006/relationships" r:embed="rId20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C3B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93: Diagrama de Secuencia — Reportes y estadísticas — fase análisis</w:t>
      </w:r>
    </w:p>
    <w:p w14:paraId="0C0B44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26539"/>
            <wp:effectExtent l="0" t="0" r="0" b="0"/>
            <wp:docPr id="1103" name="Figura 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" name="Figura 103"/>
                    <pic:cNvPicPr/>
                  </pic:nvPicPr>
                  <pic:blipFill>
                    <a:blip xmlns:r="http://schemas.openxmlformats.org/officeDocument/2006/relationships" r:embed="rId2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19C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103: Diagrama de Secuencia — Módulo educativo — fase análisis</w:t>
      </w:r>
    </w:p>
    <w:p w14:paraId="6051464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230039"/>
            <wp:effectExtent l="0" t="0" r="0" b="0"/>
            <wp:docPr id="1113" name="Figura 1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" name="Figura 113"/>
                    <pic:cNvPicPr/>
                  </pic:nvPicPr>
                  <pic:blipFill>
                    <a:blip xmlns:r="http://schemas.openxmlformats.org/officeDocument/2006/relationships" r:embed="rId2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0E1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113: Diagrama de Secuencia — Geolocalización de centros de salud — fase análisis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d) Diagrama de Clases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clases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124450" cy="2486025"/>
            <wp:effectExtent l="0" t="0" r="0" b="0"/>
            <wp:docPr id="1004" name="Figura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a 4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4: Diagrama de Clases — Registrarse en el sistema (CU-001) — fase análisis</w:t>
      </w:r>
    </w:p>
    <w:p w14:paraId="478D5D1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3916960" cy="7199999"/>
            <wp:effectExtent l="0" t="0" r="0" b="0"/>
            <wp:docPr id="1014" name="Figura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ura 14"/>
                    <pic:cNvPicPr/>
                  </pic:nvPicPr>
                  <pic:blipFill>
                    <a:blip xmlns:r="http://schemas.openxmlformats.org/officeDocument/2006/relationships" r:embed="rId2014"/>
                    <a:stretch>
                      <a:fillRect/>
                    </a:stretch>
                  </pic:blipFill>
                  <pic:spPr>
                    <a:xfrm>
                      <a:off x="0" y="0"/>
                      <a:ext cx="3916960" cy="71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FC02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14: Diagrama de Clases — Analizar síntomas con IA (CU-003) — fase análisis</w:t>
      </w:r>
    </w:p>
    <w:p w14:paraId="52034BF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334000" cy="6791325"/>
            <wp:effectExtent l="0" t="0" r="0" b="0"/>
            <wp:docPr id="1024" name="Figura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Figura 24"/>
                    <pic:cNvPicPr/>
                  </pic:nvPicPr>
                  <pic:blipFill>
                    <a:blip xmlns:r="http://schemas.openxmlformats.org/officeDocument/2006/relationships" r:embed="rId20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0DB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24: Diagrama de Clases — Analizar audio de tos (CU-005) — fase análisis</w:t>
      </w:r>
    </w:p>
    <w:p w14:paraId="70A8027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6588299"/>
            <wp:effectExtent l="0" t="0" r="0" b="0"/>
            <wp:docPr id="1034" name="Figura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Figura 34"/>
                    <pic:cNvPicPr/>
                  </pic:nvPicPr>
                  <pic:blipFill>
                    <a:blip xmlns:r="http://schemas.openxmlformats.org/officeDocument/2006/relationships" r:embed="rId20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518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34: Diagrama de Clases — Detección de emergencia por síntomas críticos — fase análisis</w:t>
      </w:r>
    </w:p>
    <w:p w14:paraId="5723A5E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19725" cy="5915025"/>
            <wp:effectExtent l="0" t="0" r="0" b="0"/>
            <wp:docPr id="1044" name="Figura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" name="Figura 44"/>
                    <pic:cNvPicPr/>
                  </pic:nvPicPr>
                  <pic:blipFill>
                    <a:blip xmlns:r="http://schemas.openxmlformats.org/officeDocument/2006/relationships" r:embed="rId204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0A5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44: Diagrama de Clases — Validación de coherencia médica — fase análisis</w:t>
      </w:r>
    </w:p>
    <w:p w14:paraId="5BB6DF6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48275" cy="4410075"/>
            <wp:effectExtent l="0" t="0" r="0" b="0"/>
            <wp:docPr id="1054" name="Figura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Figura 54"/>
                    <pic:cNvPicPr/>
                  </pic:nvPicPr>
                  <pic:blipFill>
                    <a:blip xmlns:r="http://schemas.openxmlformats.org/officeDocument/2006/relationships" r:embed="rId205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CF3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54: Diagrama de Clases — Explicabilidad del diagnóstico — fase análisis</w:t>
      </w:r>
    </w:p>
    <w:p w14:paraId="485185D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305300" cy="4572000"/>
            <wp:effectExtent l="0" t="0" r="0" b="0"/>
            <wp:docPr id="1064" name="Figura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" name="Figura 64"/>
                    <pic:cNvPicPr/>
                  </pic:nvPicPr>
                  <pic:blipFill>
                    <a:blip xmlns:r="http://schemas.openxmlformats.org/officeDocument/2006/relationships" r:embed="rId2064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E8E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64: Diagrama de Clases — Panel del doctor — fase análisis</w:t>
      </w:r>
    </w:p>
    <w:p w14:paraId="5683208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086350" cy="3219450"/>
            <wp:effectExtent l="0" t="0" r="0" b="0"/>
            <wp:docPr id="1074" name="Figura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Figura 74"/>
                    <pic:cNvPicPr/>
                  </pic:nvPicPr>
                  <pic:blipFill>
                    <a:blip xmlns:r="http://schemas.openxmlformats.org/officeDocument/2006/relationships" r:embed="rId2074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4491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74: Diagrama de Clases — Historial clínico electrónico — fase análisis</w:t>
      </w:r>
    </w:p>
    <w:p w14:paraId="3789662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91175" cy="4410075"/>
            <wp:effectExtent l="0" t="0" r="0" b="0"/>
            <wp:docPr id="1084" name="Figura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" name="Figura 84"/>
                    <pic:cNvPicPr/>
                  </pic:nvPicPr>
                  <pic:blipFill>
                    <a:blip xmlns:r="http://schemas.openxmlformats.org/officeDocument/2006/relationships" r:embed="rId208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776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84: Diagrama de Clases — Sistema de alertas y notificaciones — fase análisis</w:t>
      </w:r>
    </w:p>
    <w:p w14:paraId="18A87B6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791075" cy="4572000"/>
            <wp:effectExtent l="0" t="0" r="0" b="0"/>
            <wp:docPr id="1094" name="Figura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" name="Figura 94"/>
                    <pic:cNvPicPr/>
                  </pic:nvPicPr>
                  <pic:blipFill>
                    <a:blip xmlns:r="http://schemas.openxmlformats.org/officeDocument/2006/relationships" r:embed="rId209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1B4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94: Diagrama de Clases — Reportes y estadísticas — fase análisis</w:t>
      </w:r>
    </w:p>
    <w:p w14:paraId="5AAF482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410075" cy="4257675"/>
            <wp:effectExtent l="0" t="0" r="0" b="0"/>
            <wp:docPr id="1104" name="Figura 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" name="Figura 104"/>
                    <pic:cNvPicPr/>
                  </pic:nvPicPr>
                  <pic:blipFill>
                    <a:blip xmlns:r="http://schemas.openxmlformats.org/officeDocument/2006/relationships" r:embed="rId2104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200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104: Diagrama de Clases — Módulo educativo — fase análisis</w:t>
      </w:r>
    </w:p>
    <w:p w14:paraId="5801F4E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648325" cy="5600700"/>
            <wp:effectExtent l="0" t="0" r="0" b="0"/>
            <wp:docPr id="1114" name="Figura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" name="Figura 114"/>
                    <pic:cNvPicPr/>
                  </pic:nvPicPr>
                  <pic:blipFill>
                    <a:blip xmlns:r="http://schemas.openxmlformats.org/officeDocument/2006/relationships" r:embed="rId2114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182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114: Diagrama de Clases — Geolocalización de centros de salud — fase análisis</w:t>
      </w:r>
    </w:p>
    <w:p w14:paraId="11C075CF" w14:textId="77777777" w:rsidR="00F72CD2" w:rsidRDefault="00000000">
      <w:pPr>
        <w:pStyle w:val="Ttulo1"/>
        <w:spacing w:before="240" w:after="120"/>
      </w:pPr>
      <w:r>
        <w:t>Conclusiones</w:t>
      </w:r>
    </w:p>
    <w:p w14:paraId="1F743C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Viabilidad técnica confirmada: los modelos de aprendizaje automático entrenados con datos clínicos reales superan la precisión requerida, validando el enfoque de diagnóstico preliminar de síntomas respiratorios.</w:t>
      </w:r>
    </w:p>
    <w:p w14:paraId="49486E5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Arquitectura escalable: el diseño modular bajo Clean Architecture y contenedores permite el crecimiento progresivo del sistema, desde un piloto hasta la cobertura completa de Tacna.</w:t>
      </w:r>
    </w:p>
    <w:p w14:paraId="7ABE1A5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Integración con el sistema de salud: los requerimientos contemplan la interoperabilidad (HL7 FHIR) necesaria con la infraestructura de DIRESA Tacna.</w:t>
      </w:r>
    </w:p>
    <w:p w14:paraId="6A050C1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Enfoque centrado en el usuario: los perfiles identificados aseguran accesibilidad tanto para población con nivel tecnológico básico como para profesionales médicos.</w:t>
      </w:r>
    </w:p>
    <w:p w14:paraId="5EADA6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Confianza clínica y transparencia: las reglas de emergencia, la validación de coherencia médica y la explicabilidad (SHAP) refuerzan la fiabilidad de las predicciones.</w:t>
      </w:r>
    </w:p>
    <w:p w14:paraId="46E0DA6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Cumplimiento normativo: las especificaciones incluyen los controles para cumplir con la protección de datos médicos y las normativas sanitarias peruanas.</w:t>
      </w:r>
    </w:p>
    <w:p w14:paraId="3B284052" w14:textId="77777777" w:rsidR="00F72CD2" w:rsidRDefault="00000000">
      <w:pPr>
        <w:pStyle w:val="Ttulo1"/>
        <w:spacing w:before="240" w:after="120"/>
      </w:pPr>
      <w:r>
        <w:t>Recomendaciones</w:t>
      </w:r>
    </w:p>
    <w:p w14:paraId="1238508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Desarrollo iterativo: implementar el sistema mediante metodología ágil con entregas incrementales y validación continua.</w:t>
      </w:r>
    </w:p>
    <w:p w14:paraId="1575EA2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Validación médica continua: establecer un comité médico consultor que supervise la precisión de los modelos y valide el contenido educativo.</w:t>
      </w:r>
    </w:p>
    <w:p w14:paraId="67A4292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Plan de capacitación: desarrollar un programa integral para los distintos tipos de usuario, con énfasis en poblaciones con menor acceso tecnológico.</w:t>
      </w:r>
    </w:p>
    <w:p w14:paraId="1FCC12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Monitoreo de métricas: implementar un sistema robusto de métricas para evaluar la precisión diagnóstica y el impacto en salud pública.</w:t>
      </w:r>
    </w:p>
    <w:p w14:paraId="72DCE5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Escalamiento gradual: iniciar con un piloto en zona urbana de Tacna antes de expandir a áreas rurales.</w:t>
      </w:r>
    </w:p>
    <w:p w14:paraId="1F4BC7E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Colaboración interinstitucional: fortalecer alianzas con DIRESA Tacna, universidades y centros de investigación para asegurar la sostenibilidad.</w:t>
      </w:r>
    </w:p>
    <w:p w14:paraId="39412BA8" w14:textId="77777777" w:rsidR="00F72CD2" w:rsidRDefault="00000000">
      <w:pPr>
        <w:pStyle w:val="Ttulo1"/>
        <w:spacing w:before="240" w:after="120"/>
      </w:pPr>
      <w:r>
        <w:t>Bibliografía</w:t>
      </w:r>
    </w:p>
    <w:p w14:paraId="1434A91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Organización Mundial de la Salud. (2023). Enfermedades respiratorias: prevención y control. Ginebra: OMS.</w:t>
      </w:r>
    </w:p>
    <w:p w14:paraId="4347C81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Ministerio de Salud del Perú. (2024). Análisis de situación de salud – Región Tacna. Lima: MINSA.</w:t>
      </w:r>
    </w:p>
    <w:p w14:paraId="33D53543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>
        <w:rPr>
          <w:lang w:val="en-US"/>
        </w:rPr>
        <w:t>IEEE / ISO. (2021). Software Engineering Body of Knowledge (SWEBOK) V4.</w:t>
      </w:r>
    </w:p>
    <w:p w14:paraId="156929AD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>
        <w:rPr>
          <w:lang w:val="en-US"/>
        </w:rPr>
        <w:t>ISO/IEC/IEEE 29148. (2018). Requirements engineering.</w:t>
      </w:r>
    </w:p>
    <w:p w14:paraId="7E709F9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rPr>
          <w:lang w:val="en-US"/>
        </w:rPr>
        <w:t xml:space="preserve">Lundberg, S. &amp; Lee, S. (2017). A Unified Approach to Interpreting Model Predictions (SHAP). </w:t>
      </w:r>
      <w:r>
        <w:t>NeurIPS.</w:t>
      </w:r>
    </w:p>
    <w:p w14:paraId="41A8856E" w14:textId="77777777" w:rsidR="00F72CD2" w:rsidRDefault="00000000">
      <w:pPr>
        <w:pStyle w:val="Ttulo1"/>
        <w:spacing w:before="240" w:after="120"/>
      </w:pPr>
      <w:r>
        <w:t>Webgrafía</w:t>
      </w:r>
    </w:p>
    <w:p w14:paraId="7913B1BD" w14:textId="77777777" w:rsidR="00F72CD2" w:rsidRDefault="00000000">
      <w:pPr>
        <w:spacing w:after="60" w:line="264" w:lineRule="auto"/>
      </w:pPr>
      <w:hyperlink r:id="rId8" w:history="1">
        <w:r>
          <w:rPr>
            <w:color w:val="2E75B6"/>
            <w:sz w:val="20"/>
            <w:szCs w:val="20"/>
            <w:u w:val="single"/>
          </w:rPr>
          <w:t>https://nextjs.org/docs</w:t>
        </w:r>
      </w:hyperlink>
      <w:r>
        <w:rPr>
          <w:color w:val="444444"/>
          <w:sz w:val="20"/>
          <w:szCs w:val="20"/>
        </w:rPr>
        <w:t xml:space="preserve">  —  Documentación oficial de Next.js</w:t>
      </w:r>
    </w:p>
    <w:p w14:paraId="03968544" w14:textId="77777777" w:rsidR="00F72CD2" w:rsidRDefault="00000000">
      <w:pPr>
        <w:spacing w:after="60" w:line="264" w:lineRule="auto"/>
      </w:pPr>
      <w:hyperlink r:id="rId9" w:history="1">
        <w:r>
          <w:rPr>
            <w:color w:val="2E75B6"/>
            <w:sz w:val="20"/>
            <w:szCs w:val="20"/>
            <w:u w:val="single"/>
          </w:rPr>
          <w:t>https://capacitorjs.com/docs</w:t>
        </w:r>
      </w:hyperlink>
      <w:r>
        <w:rPr>
          <w:color w:val="444444"/>
          <w:sz w:val="20"/>
          <w:szCs w:val="20"/>
        </w:rPr>
        <w:t xml:space="preserve">  —  Documentación oficial de Capacitor</w:t>
      </w:r>
    </w:p>
    <w:p w14:paraId="408340DE" w14:textId="77777777" w:rsidR="00F72CD2" w:rsidRDefault="00000000">
      <w:pPr>
        <w:spacing w:after="60" w:line="264" w:lineRule="auto"/>
      </w:pPr>
      <w:hyperlink r:id="rId10" w:history="1">
        <w:r>
          <w:rPr>
            <w:color w:val="2E75B6"/>
            <w:sz w:val="20"/>
            <w:szCs w:val="20"/>
            <w:u w:val="single"/>
          </w:rPr>
          <w:t>https://fastapi.tiangolo.com</w:t>
        </w:r>
      </w:hyperlink>
      <w:r>
        <w:rPr>
          <w:color w:val="444444"/>
          <w:sz w:val="20"/>
          <w:szCs w:val="20"/>
        </w:rPr>
        <w:t xml:space="preserve">  —  Documentación oficial de FastAPI</w:t>
      </w:r>
    </w:p>
    <w:p w14:paraId="065C6336" w14:textId="77777777" w:rsidR="00F72CD2" w:rsidRDefault="00000000">
      <w:pPr>
        <w:spacing w:after="60" w:line="264" w:lineRule="auto"/>
      </w:pPr>
      <w:hyperlink r:id="rId11" w:history="1">
        <w:r>
          <w:rPr>
            <w:color w:val="2E75B6"/>
            <w:sz w:val="20"/>
            <w:szCs w:val="20"/>
            <w:u w:val="single"/>
          </w:rPr>
          <w:t>https://scikit-learn.org/stable/</w:t>
        </w:r>
      </w:hyperlink>
      <w:r>
        <w:rPr>
          <w:color w:val="444444"/>
          <w:sz w:val="20"/>
          <w:szCs w:val="20"/>
        </w:rPr>
        <w:t xml:space="preserve">  —  Documentación de scikit-learn</w:t>
      </w:r>
    </w:p>
    <w:p w14:paraId="2156CAF0" w14:textId="77777777" w:rsidR="00F72CD2" w:rsidRDefault="00000000">
      <w:pPr>
        <w:spacing w:after="60" w:line="264" w:lineRule="auto"/>
      </w:pPr>
      <w:hyperlink r:id="rId12" w:history="1">
        <w:r>
          <w:rPr>
            <w:color w:val="2E75B6"/>
            <w:sz w:val="20"/>
            <w:szCs w:val="20"/>
            <w:u w:val="single"/>
          </w:rPr>
          <w:t>https://zenodo.org/records/7024894</w:t>
        </w:r>
      </w:hyperlink>
      <w:r>
        <w:rPr>
          <w:color w:val="444444"/>
          <w:sz w:val="20"/>
          <w:szCs w:val="20"/>
        </w:rPr>
        <w:t xml:space="preserve">  —  Dataset de audio de tos COUGHVID (Zenodo)</w:t>
      </w:r>
    </w:p>
    <w:p w14:paraId="19B41522" w14:textId="77777777" w:rsidR="00F72CD2" w:rsidRDefault="00000000">
      <w:pPr>
        <w:spacing w:after="60" w:line="264" w:lineRule="auto"/>
      </w:pPr>
      <w:hyperlink r:id="rId13" w:history="1">
        <w:r>
          <w:rPr>
            <w:color w:val="2E75B6"/>
            <w:sz w:val="20"/>
            <w:szCs w:val="20"/>
            <w:u w:val="single"/>
          </w:rPr>
          <w:t>https://www.diresatacna.gob.pe/</w:t>
        </w:r>
      </w:hyperlink>
      <w:r>
        <w:rPr>
          <w:color w:val="444444"/>
          <w:sz w:val="20"/>
          <w:szCs w:val="20"/>
        </w:rPr>
        <w:t xml:space="preserve">  —  DIRESA Tacna – Portal oficial</w:t>
      </w:r>
    </w:p>
    <w:sectPr w:rsidR="00F72CD2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A032B" w14:textId="77777777" w:rsidR="008F05D3" w:rsidRDefault="008F05D3">
      <w:r>
        <w:separator/>
      </w:r>
    </w:p>
  </w:endnote>
  <w:endnote w:type="continuationSeparator" w:id="0">
    <w:p w14:paraId="011EA373" w14:textId="77777777" w:rsidR="008F05D3" w:rsidRDefault="008F0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D29B3" w14:textId="77777777" w:rsidR="00F72CD2" w:rsidRDefault="00000000">
    <w:pPr>
      <w:pBdr>
        <w:top w:val="single" w:sz="4" w:space="2" w:color="BBD0E8"/>
      </w:pBdr>
      <w:jc w:val="center"/>
    </w:pPr>
    <w:r>
      <w:rPr>
        <w:color w:val="888888"/>
        <w:sz w:val="16"/>
        <w:szCs w:val="16"/>
      </w:rPr>
      <w:t xml:space="preserve">Universidad Privada de Tacna – EPIS  |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33EC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EF85C" w14:textId="77777777" w:rsidR="008F05D3" w:rsidRDefault="008F05D3">
      <w:r>
        <w:separator/>
      </w:r>
    </w:p>
  </w:footnote>
  <w:footnote w:type="continuationSeparator" w:id="0">
    <w:p w14:paraId="5BE01ACA" w14:textId="77777777" w:rsidR="008F05D3" w:rsidRDefault="008F05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ADCC0" w14:textId="77777777" w:rsidR="00F72CD2" w:rsidRDefault="00000000">
    <w:pPr>
      <w:pBdr>
        <w:bottom w:val="single" w:sz="4" w:space="2" w:color="BBD0E8"/>
      </w:pBdr>
      <w:jc w:val="right"/>
    </w:pPr>
    <w:r>
      <w:rPr>
        <w:color w:val="888888"/>
        <w:sz w:val="16"/>
        <w:szCs w:val="16"/>
      </w:rPr>
      <w:t>RespiCare · SRS · FD03-EPIS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B3063"/>
    <w:multiLevelType w:val="hybridMultilevel"/>
    <w:tmpl w:val="E4065D12"/>
    <w:lvl w:ilvl="0" w:tplc="E06E5AFA">
      <w:start w:val="1"/>
      <w:numFmt w:val="bullet"/>
      <w:lvlText w:val="●"/>
      <w:lvlJc w:val="left"/>
      <w:pPr>
        <w:ind w:left="720" w:hanging="360"/>
      </w:pPr>
    </w:lvl>
    <w:lvl w:ilvl="1" w:tplc="AA9C97CA">
      <w:start w:val="1"/>
      <w:numFmt w:val="bullet"/>
      <w:lvlText w:val="○"/>
      <w:lvlJc w:val="left"/>
      <w:pPr>
        <w:ind w:left="1440" w:hanging="360"/>
      </w:pPr>
    </w:lvl>
    <w:lvl w:ilvl="2" w:tplc="B692B768">
      <w:start w:val="1"/>
      <w:numFmt w:val="bullet"/>
      <w:lvlText w:val="■"/>
      <w:lvlJc w:val="left"/>
      <w:pPr>
        <w:ind w:left="2160" w:hanging="360"/>
      </w:pPr>
    </w:lvl>
    <w:lvl w:ilvl="3" w:tplc="8D28A058">
      <w:start w:val="1"/>
      <w:numFmt w:val="bullet"/>
      <w:lvlText w:val="●"/>
      <w:lvlJc w:val="left"/>
      <w:pPr>
        <w:ind w:left="2880" w:hanging="360"/>
      </w:pPr>
    </w:lvl>
    <w:lvl w:ilvl="4" w:tplc="DDD61D12">
      <w:start w:val="1"/>
      <w:numFmt w:val="bullet"/>
      <w:lvlText w:val="○"/>
      <w:lvlJc w:val="left"/>
      <w:pPr>
        <w:ind w:left="3600" w:hanging="360"/>
      </w:pPr>
    </w:lvl>
    <w:lvl w:ilvl="5" w:tplc="8E8E82BA">
      <w:start w:val="1"/>
      <w:numFmt w:val="bullet"/>
      <w:lvlText w:val="■"/>
      <w:lvlJc w:val="left"/>
      <w:pPr>
        <w:ind w:left="4320" w:hanging="360"/>
      </w:pPr>
    </w:lvl>
    <w:lvl w:ilvl="6" w:tplc="85DA7AFC">
      <w:start w:val="1"/>
      <w:numFmt w:val="bullet"/>
      <w:lvlText w:val="●"/>
      <w:lvlJc w:val="left"/>
      <w:pPr>
        <w:ind w:left="5040" w:hanging="360"/>
      </w:pPr>
    </w:lvl>
    <w:lvl w:ilvl="7" w:tplc="BAE45892">
      <w:start w:val="1"/>
      <w:numFmt w:val="bullet"/>
      <w:lvlText w:val="●"/>
      <w:lvlJc w:val="left"/>
      <w:pPr>
        <w:ind w:left="5760" w:hanging="360"/>
      </w:pPr>
    </w:lvl>
    <w:lvl w:ilvl="8" w:tplc="529455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0471EA"/>
    <w:multiLevelType w:val="hybridMultilevel"/>
    <w:tmpl w:val="D07A8DEA"/>
    <w:lvl w:ilvl="0" w:tplc="ED520368">
      <w:start w:val="1"/>
      <w:numFmt w:val="decimal"/>
      <w:lvlText w:val="%1."/>
      <w:lvlJc w:val="left"/>
      <w:pPr>
        <w:ind w:left="520" w:hanging="300"/>
      </w:pPr>
      <w:rPr>
        <w:b/>
        <w:bCs/>
        <w:color w:val="1F3864"/>
      </w:rPr>
    </w:lvl>
    <w:lvl w:ilvl="1" w:tplc="282C6FBA">
      <w:numFmt w:val="decimal"/>
      <w:lvlText w:val=""/>
      <w:lvlJc w:val="left"/>
    </w:lvl>
    <w:lvl w:ilvl="2" w:tplc="C3763450">
      <w:numFmt w:val="decimal"/>
      <w:lvlText w:val=""/>
      <w:lvlJc w:val="left"/>
    </w:lvl>
    <w:lvl w:ilvl="3" w:tplc="3CAE64DE">
      <w:numFmt w:val="decimal"/>
      <w:lvlText w:val=""/>
      <w:lvlJc w:val="left"/>
    </w:lvl>
    <w:lvl w:ilvl="4" w:tplc="05E22384">
      <w:numFmt w:val="decimal"/>
      <w:lvlText w:val=""/>
      <w:lvlJc w:val="left"/>
    </w:lvl>
    <w:lvl w:ilvl="5" w:tplc="ED98A094">
      <w:numFmt w:val="decimal"/>
      <w:lvlText w:val=""/>
      <w:lvlJc w:val="left"/>
    </w:lvl>
    <w:lvl w:ilvl="6" w:tplc="DF1CB7B0">
      <w:numFmt w:val="decimal"/>
      <w:lvlText w:val=""/>
      <w:lvlJc w:val="left"/>
    </w:lvl>
    <w:lvl w:ilvl="7" w:tplc="83B08908">
      <w:numFmt w:val="decimal"/>
      <w:lvlText w:val=""/>
      <w:lvlJc w:val="left"/>
    </w:lvl>
    <w:lvl w:ilvl="8" w:tplc="5922D710">
      <w:numFmt w:val="decimal"/>
      <w:lvlText w:val=""/>
      <w:lvlJc w:val="left"/>
    </w:lvl>
  </w:abstractNum>
  <w:abstractNum w:abstractNumId="2" w15:restartNumberingAfterBreak="0">
    <w:nsid w:val="5D304710"/>
    <w:multiLevelType w:val="hybridMultilevel"/>
    <w:tmpl w:val="F104EC36"/>
    <w:lvl w:ilvl="0" w:tplc="54F4932A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40822372">
      <w:start w:val="1"/>
      <w:numFmt w:val="bullet"/>
      <w:lvlText w:val="◦"/>
      <w:lvlJc w:val="left"/>
      <w:pPr>
        <w:ind w:left="920" w:hanging="260"/>
      </w:pPr>
      <w:rPr>
        <w:color w:val="2E75B6"/>
      </w:rPr>
    </w:lvl>
    <w:lvl w:ilvl="2" w:tplc="389E7F74">
      <w:numFmt w:val="decimal"/>
      <w:lvlText w:val=""/>
      <w:lvlJc w:val="left"/>
    </w:lvl>
    <w:lvl w:ilvl="3" w:tplc="037AD14E">
      <w:numFmt w:val="decimal"/>
      <w:lvlText w:val=""/>
      <w:lvlJc w:val="left"/>
    </w:lvl>
    <w:lvl w:ilvl="4" w:tplc="13BA2F80">
      <w:numFmt w:val="decimal"/>
      <w:lvlText w:val=""/>
      <w:lvlJc w:val="left"/>
    </w:lvl>
    <w:lvl w:ilvl="5" w:tplc="8864C370">
      <w:numFmt w:val="decimal"/>
      <w:lvlText w:val=""/>
      <w:lvlJc w:val="left"/>
    </w:lvl>
    <w:lvl w:ilvl="6" w:tplc="37B479F2">
      <w:numFmt w:val="decimal"/>
      <w:lvlText w:val=""/>
      <w:lvlJc w:val="left"/>
    </w:lvl>
    <w:lvl w:ilvl="7" w:tplc="DC6C96B4">
      <w:numFmt w:val="decimal"/>
      <w:lvlText w:val=""/>
      <w:lvlJc w:val="left"/>
    </w:lvl>
    <w:lvl w:ilvl="8" w:tplc="1DCC9258">
      <w:numFmt w:val="decimal"/>
      <w:lvlText w:val=""/>
      <w:lvlJc w:val="left"/>
    </w:lvl>
  </w:abstractNum>
  <w:num w:numId="1" w16cid:durableId="258103204">
    <w:abstractNumId w:val="0"/>
    <w:lvlOverride w:ilvl="0">
      <w:startOverride w:val="1"/>
    </w:lvlOverride>
  </w:num>
  <w:num w:numId="2" w16cid:durableId="949094872">
    <w:abstractNumId w:val="2"/>
    <w:lvlOverride w:ilvl="0">
      <w:startOverride w:val="1"/>
    </w:lvlOverride>
  </w:num>
  <w:num w:numId="3" w16cid:durableId="1545867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CD2"/>
    <w:rsid w:val="005D7BA5"/>
    <w:rsid w:val="006262E0"/>
    <w:rsid w:val="00633EC9"/>
    <w:rsid w:val="008F05D3"/>
    <w:rsid w:val="008F3673"/>
    <w:rsid w:val="00E3748C"/>
    <w:rsid w:val="00F7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61B04"/>
  <w15:docId w15:val="{4A94408C-9874-4C04-B9AB-2EA7F5DC6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1F4E79"/>
      <w:sz w:val="25"/>
      <w:szCs w:val="25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nextjs.org/docs" TargetMode="External"/><Relationship Id="rId13" Type="http://schemas.openxmlformats.org/officeDocument/2006/relationships/hyperlink" Target="https://www.diresatacna.gob.pe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zenodo.org/records/7024894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ikit-learn.org/stable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fastapi.tiangol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pacitorjs.com/docs" TargetMode="External"/><Relationship Id="rId14" Type="http://schemas.openxmlformats.org/officeDocument/2006/relationships/header" Target="header1.xml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2011" Type="http://schemas.openxmlformats.org/officeDocument/2006/relationships/image" Target="media/image_fig11.png"/><Relationship Id="rId2012" Type="http://schemas.openxmlformats.org/officeDocument/2006/relationships/image" Target="media/image_fig12.png"/><Relationship Id="rId2013" Type="http://schemas.openxmlformats.org/officeDocument/2006/relationships/image" Target="media/image_fig13.png"/><Relationship Id="rId2014" Type="http://schemas.openxmlformats.org/officeDocument/2006/relationships/image" Target="media/image_fig14.png"/><Relationship Id="rId2015" Type="http://schemas.openxmlformats.org/officeDocument/2006/relationships/image" Target="media/image_fig15.png"/><Relationship Id="rId2021" Type="http://schemas.openxmlformats.org/officeDocument/2006/relationships/image" Target="media/image_fig21.png"/><Relationship Id="rId2022" Type="http://schemas.openxmlformats.org/officeDocument/2006/relationships/image" Target="media/image_fig22.png"/><Relationship Id="rId2023" Type="http://schemas.openxmlformats.org/officeDocument/2006/relationships/image" Target="media/image_fig23.png"/><Relationship Id="rId2024" Type="http://schemas.openxmlformats.org/officeDocument/2006/relationships/image" Target="media/image_fig24.png"/><Relationship Id="rId2025" Type="http://schemas.openxmlformats.org/officeDocument/2006/relationships/image" Target="media/image_fig25.png"/><Relationship Id="rId2031" Type="http://schemas.openxmlformats.org/officeDocument/2006/relationships/image" Target="media/image_fig31.png"/><Relationship Id="rId2032" Type="http://schemas.openxmlformats.org/officeDocument/2006/relationships/image" Target="media/image_fig32.png"/><Relationship Id="rId2033" Type="http://schemas.openxmlformats.org/officeDocument/2006/relationships/image" Target="media/image_fig33.png"/><Relationship Id="rId2034" Type="http://schemas.openxmlformats.org/officeDocument/2006/relationships/image" Target="media/image_fig34.png"/><Relationship Id="rId2035" Type="http://schemas.openxmlformats.org/officeDocument/2006/relationships/image" Target="media/image_fig35.png"/><Relationship Id="rId2041" Type="http://schemas.openxmlformats.org/officeDocument/2006/relationships/image" Target="media/image_fig41.png"/><Relationship Id="rId2042" Type="http://schemas.openxmlformats.org/officeDocument/2006/relationships/image" Target="media/image_fig42.png"/><Relationship Id="rId2043" Type="http://schemas.openxmlformats.org/officeDocument/2006/relationships/image" Target="media/image_fig43.png"/><Relationship Id="rId2044" Type="http://schemas.openxmlformats.org/officeDocument/2006/relationships/image" Target="media/image_fig44.png"/><Relationship Id="rId2045" Type="http://schemas.openxmlformats.org/officeDocument/2006/relationships/image" Target="media/image_fig45.png"/><Relationship Id="rId2051" Type="http://schemas.openxmlformats.org/officeDocument/2006/relationships/image" Target="media/image_fig51.png"/><Relationship Id="rId2052" Type="http://schemas.openxmlformats.org/officeDocument/2006/relationships/image" Target="media/image_fig52.png"/><Relationship Id="rId2053" Type="http://schemas.openxmlformats.org/officeDocument/2006/relationships/image" Target="media/image_fig53.png"/><Relationship Id="rId2054" Type="http://schemas.openxmlformats.org/officeDocument/2006/relationships/image" Target="media/image_fig54.png"/><Relationship Id="rId2055" Type="http://schemas.openxmlformats.org/officeDocument/2006/relationships/image" Target="media/image_fig55.png"/><Relationship Id="rId2061" Type="http://schemas.openxmlformats.org/officeDocument/2006/relationships/image" Target="media/image_fig61.png"/><Relationship Id="rId2062" Type="http://schemas.openxmlformats.org/officeDocument/2006/relationships/image" Target="media/image_fig62.png"/><Relationship Id="rId2063" Type="http://schemas.openxmlformats.org/officeDocument/2006/relationships/image" Target="media/image_fig63.png"/><Relationship Id="rId2064" Type="http://schemas.openxmlformats.org/officeDocument/2006/relationships/image" Target="media/image_fig64.png"/><Relationship Id="rId2065" Type="http://schemas.openxmlformats.org/officeDocument/2006/relationships/image" Target="media/image_fig65.png"/><Relationship Id="rId2071" Type="http://schemas.openxmlformats.org/officeDocument/2006/relationships/image" Target="media/image_fig71.png"/><Relationship Id="rId2072" Type="http://schemas.openxmlformats.org/officeDocument/2006/relationships/image" Target="media/image_fig72.png"/><Relationship Id="rId2073" Type="http://schemas.openxmlformats.org/officeDocument/2006/relationships/image" Target="media/image_fig73.png"/><Relationship Id="rId2074" Type="http://schemas.openxmlformats.org/officeDocument/2006/relationships/image" Target="media/image_fig74.png"/><Relationship Id="rId2075" Type="http://schemas.openxmlformats.org/officeDocument/2006/relationships/image" Target="media/image_fig75.png"/><Relationship Id="rId2081" Type="http://schemas.openxmlformats.org/officeDocument/2006/relationships/image" Target="media/image_fig81.png"/><Relationship Id="rId2082" Type="http://schemas.openxmlformats.org/officeDocument/2006/relationships/image" Target="media/image_fig82.png"/><Relationship Id="rId2083" Type="http://schemas.openxmlformats.org/officeDocument/2006/relationships/image" Target="media/image_fig83.png"/><Relationship Id="rId2084" Type="http://schemas.openxmlformats.org/officeDocument/2006/relationships/image" Target="media/image_fig84.png"/><Relationship Id="rId2085" Type="http://schemas.openxmlformats.org/officeDocument/2006/relationships/image" Target="media/image_fig85.png"/><Relationship Id="rId2091" Type="http://schemas.openxmlformats.org/officeDocument/2006/relationships/image" Target="media/image_fig91.png"/><Relationship Id="rId2092" Type="http://schemas.openxmlformats.org/officeDocument/2006/relationships/image" Target="media/image_fig92.png"/><Relationship Id="rId2093" Type="http://schemas.openxmlformats.org/officeDocument/2006/relationships/image" Target="media/image_fig93.png"/><Relationship Id="rId2094" Type="http://schemas.openxmlformats.org/officeDocument/2006/relationships/image" Target="media/image_fig94.png"/><Relationship Id="rId2095" Type="http://schemas.openxmlformats.org/officeDocument/2006/relationships/image" Target="media/image_fig95.png"/><Relationship Id="rId2101" Type="http://schemas.openxmlformats.org/officeDocument/2006/relationships/image" Target="media/image_fig101.png"/><Relationship Id="rId2102" Type="http://schemas.openxmlformats.org/officeDocument/2006/relationships/image" Target="media/image_fig102.png"/><Relationship Id="rId2103" Type="http://schemas.openxmlformats.org/officeDocument/2006/relationships/image" Target="media/image_fig103.png"/><Relationship Id="rId2104" Type="http://schemas.openxmlformats.org/officeDocument/2006/relationships/image" Target="media/image_fig104.png"/><Relationship Id="rId2105" Type="http://schemas.openxmlformats.org/officeDocument/2006/relationships/image" Target="media/image_fig105.png"/><Relationship Id="rId2111" Type="http://schemas.openxmlformats.org/officeDocument/2006/relationships/image" Target="media/image_fig111.png"/><Relationship Id="rId2112" Type="http://schemas.openxmlformats.org/officeDocument/2006/relationships/image" Target="media/image_fig112.png"/><Relationship Id="rId2113" Type="http://schemas.openxmlformats.org/officeDocument/2006/relationships/image" Target="media/image_fig113.png"/><Relationship Id="rId2114" Type="http://schemas.openxmlformats.org/officeDocument/2006/relationships/image" Target="media/image_fig114.png"/><Relationship Id="rId2115" Type="http://schemas.openxmlformats.org/officeDocument/2006/relationships/image" Target="media/image_fig115.png"/><Relationship Id="rId2116" Type="http://schemas.openxmlformats.org/officeDocument/2006/relationships/image" Target="media/image_fig121.png"/><Relationship Id="rId2117" Type="http://schemas.openxmlformats.org/officeDocument/2006/relationships/image" Target="media/image_fig122.png"/><Relationship Id="rId2118" Type="http://schemas.openxmlformats.org/officeDocument/2006/relationships/image" Target="media/image_fig1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3906</Words>
  <Characters>21486</Characters>
  <Application>Microsoft Office Word</Application>
  <DocSecurity>0</DocSecurity>
  <Lines>179</Lines>
  <Paragraphs>50</Paragraphs>
  <ScaleCrop>false</ScaleCrop>
  <Company/>
  <LinksUpToDate>false</LinksUpToDate>
  <CharactersWithSpaces>25342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— RespiCare</dc:title>
  <dc:creator>RespiCare — UPT EPIS</dc:creator>
  <dc:description>FD03-EPIS Especificación de Requerimientos de Software</dc:description>
  <cp:lastModifiedBy>Cesar Fabián Chavez Linares</cp:lastModifiedBy>
  <cp:revision>3</cp:revision>
  <dcterms:created xsi:type="dcterms:W3CDTF">2026-07-03T00:46:00Z</dcterms:created>
  <dcterms:modified xsi:type="dcterms:W3CDTF">2026-07-04T15:52:00Z</dcterms:modified>
</cp:coreProperties>
</file>