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jc w:val="center"/>
        <w:rPr/>
      </w:pPr>
      <w:r w:rsidDel="00000000" w:rsidR="00000000" w:rsidRPr="00000000">
        <w:rPr>
          <w:rFonts w:ascii="Arial" w:cs="Arial" w:eastAsia="Arial" w:hAnsi="Arial"/>
          <w:i w:val="0"/>
          <w:iCs w:val="0"/>
          <w:color w:val="1a2e5a"/>
          <w:sz w:val="32"/>
          <w:szCs w:val="32"/>
          <w:rtl w:val="0"/>
        </w:rPr>
        <w:t xml:space="preserve">UNIVERSIDAD PRIVADA DE TACNA</w:t>
      </w:r>
      <w:r w:rsidDel="00000000" w:rsidR="00000000" w:rsidRPr="00000000">
        <w:rPr>
          <w:rFonts w:ascii="Arial" w:cs="Arial" w:eastAsia="Arial" w:hAnsi="Arial"/>
          <w:i w:val="0"/>
          <w:iCs w:val="0"/>
          <w:color w:val="1d7a8c"/>
          <w:sz w:val="28"/>
          <w:szCs w:val="28"/>
          <w:rtl w:val="0"/>
        </w:rPr>
        <w:t xml:space="preserve">  ·  </w:t>
      </w:r>
      <w:r w:rsidDel="00000000" w:rsidR="00000000" w:rsidRPr="00000000">
        <w:rPr>
          <w:rFonts w:ascii="Arial" w:cs="Arial" w:eastAsia="Arial" w:hAnsi="Arial"/>
          <w:i w:val="0"/>
          <w:iCs w:val="0"/>
          <w:color w:val="1a2e5a"/>
          <w:sz w:val="28"/>
          <w:szCs w:val="28"/>
          <w:rtl w:val="0"/>
        </w:rPr>
        <w:t xml:space="preserve">FACULTAD DE INGENIERÍA</w:t>
      </w:r>
      <w:r w:rsidDel="00000000" w:rsidR="00000000" w:rsidRPr="00000000">
        <w:rPr>
          <w:rtl w:val="0"/>
        </w:rPr>
      </w:r>
    </w:p>
    <w:p w:rsidR="00000000" w:rsidDel="00000000" w:rsidP="00000000" w:rsidRDefault="00000000" w:rsidRPr="00000000" w14:paraId="00000002">
      <w:pPr>
        <w:spacing w:after="40" w:before="0" w:lineRule="auto"/>
        <w:jc w:val="center"/>
        <w:rPr/>
      </w:pPr>
      <w:r w:rsidDel="00000000" w:rsidR="00000000" w:rsidRPr="00000000">
        <w:rPr>
          <w:rFonts w:ascii="Arial" w:cs="Arial" w:eastAsia="Arial" w:hAnsi="Arial"/>
          <w:i w:val="0"/>
          <w:iCs w:val="0"/>
          <w:color w:val="5a5a5a"/>
          <w:sz w:val="22"/>
          <w:szCs w:val="22"/>
          <w:rtl w:val="0"/>
        </w:rPr>
        <w:t xml:space="preserve">Escuela Profesional de Ingeniería de Sistemas e Informática</w:t>
      </w:r>
      <w:r w:rsidDel="00000000" w:rsidR="00000000" w:rsidRPr="00000000">
        <w:rPr>
          <w:rtl w:val="0"/>
        </w:rPr>
      </w:r>
    </w:p>
    <w:p w:rsidR="00000000" w:rsidDel="00000000" w:rsidP="00000000" w:rsidRDefault="00000000" w:rsidRPr="00000000" w14:paraId="00000003">
      <w:pPr>
        <w:spacing w:after="0" w:before="0" w:lineRule="auto"/>
        <w:rPr/>
      </w:pPr>
      <w:r w:rsidDel="00000000" w:rsidR="00000000" w:rsidRPr="00000000">
        <w:rPr>
          <w:rtl w:val="0"/>
        </w:rPr>
      </w:r>
    </w:p>
    <w:p w:rsidR="00000000" w:rsidDel="00000000" w:rsidP="00000000" w:rsidRDefault="00000000" w:rsidRPr="00000000" w14:paraId="00000004">
      <w:pPr>
        <w:spacing w:after="0" w:before="0" w:lineRule="auto"/>
        <w:rPr/>
      </w:pPr>
      <w:r w:rsidDel="00000000" w:rsidR="00000000" w:rsidRPr="00000000">
        <w:rPr>
          <w:rtl w:val="0"/>
        </w:rPr>
      </w:r>
    </w:p>
    <w:p w:rsidR="00000000" w:rsidDel="00000000" w:rsidP="00000000" w:rsidRDefault="00000000" w:rsidRPr="00000000" w14:paraId="00000005">
      <w:pPr>
        <w:pBdr>
          <w:top w:color="1d7a8c" w:space="0" w:sz="12" w:val="single"/>
          <w:bottom w:color="1d7a8c" w:space="0" w:sz="12" w:val="single"/>
        </w:pBdr>
        <w:spacing w:after="40" w:before="40" w:lineRule="auto"/>
        <w:jc w:val="center"/>
        <w:rPr/>
      </w:pPr>
      <w:r w:rsidDel="00000000" w:rsidR="00000000" w:rsidRPr="00000000">
        <w:rPr>
          <w:rFonts w:ascii="Arial" w:cs="Arial" w:eastAsia="Arial" w:hAnsi="Arial"/>
          <w:i w:val="0"/>
          <w:iCs w:val="0"/>
          <w:color w:val="d0d8e4"/>
          <w:sz w:val="22"/>
          <w:szCs w:val="22"/>
          <w:rtl w:val="0"/>
        </w:rPr>
        <w:t xml:space="preserve">─────────────────────────────────────────────</w:t>
      </w:r>
      <w:r w:rsidDel="00000000" w:rsidR="00000000" w:rsidRPr="00000000">
        <w:rPr>
          <w:rtl w:val="0"/>
        </w:rPr>
      </w:r>
    </w:p>
    <w:p w:rsidR="00000000" w:rsidDel="00000000" w:rsidP="00000000" w:rsidRDefault="00000000" w:rsidRPr="00000000" w14:paraId="00000006">
      <w:pPr>
        <w:spacing w:after="0" w:before="0" w:lineRule="auto"/>
        <w:rPr/>
      </w:pPr>
      <w:r w:rsidDel="00000000" w:rsidR="00000000" w:rsidRPr="00000000">
        <w:rPr>
          <w:rtl w:val="0"/>
        </w:rPr>
      </w:r>
    </w:p>
    <w:p w:rsidR="00000000" w:rsidDel="00000000" w:rsidP="00000000" w:rsidRDefault="00000000" w:rsidRPr="00000000" w14:paraId="00000007">
      <w:pPr>
        <w:spacing w:after="60" w:before="80" w:lineRule="auto"/>
        <w:jc w:val="center"/>
        <w:rPr/>
      </w:pPr>
      <w:r w:rsidDel="00000000" w:rsidR="00000000" w:rsidRPr="00000000">
        <w:rPr>
          <w:rFonts w:ascii="Arial" w:cs="Arial" w:eastAsia="Arial" w:hAnsi="Arial"/>
          <w:b w:val="1"/>
          <w:bCs w:val="1"/>
          <w:color w:val="1a2e5a"/>
          <w:sz w:val="52"/>
          <w:szCs w:val="52"/>
          <w:rtl w:val="0"/>
        </w:rPr>
        <w:t xml:space="preserve">SEGURIDAD EN LA CADENA DE SUMINISTRO DE SOFTWARE:</w:t>
      </w:r>
      <w:r w:rsidDel="00000000" w:rsidR="00000000" w:rsidRPr="00000000">
        <w:rPr>
          <w:rtl w:val="0"/>
        </w:rPr>
      </w:r>
    </w:p>
    <w:p w:rsidR="00000000" w:rsidDel="00000000" w:rsidP="00000000" w:rsidRDefault="00000000" w:rsidRPr="00000000" w14:paraId="00000008">
      <w:pPr>
        <w:spacing w:after="100" w:before="0" w:lineRule="auto"/>
        <w:jc w:val="center"/>
        <w:rPr/>
      </w:pPr>
      <w:r w:rsidDel="00000000" w:rsidR="00000000" w:rsidRPr="00000000">
        <w:rPr>
          <w:rFonts w:ascii="Arial" w:cs="Arial" w:eastAsia="Arial" w:hAnsi="Arial"/>
          <w:b w:val="1"/>
          <w:bCs w:val="1"/>
          <w:i w:val="1"/>
          <w:iCs w:val="1"/>
          <w:color w:val="1d7a8c"/>
          <w:sz w:val="36"/>
          <w:szCs w:val="36"/>
          <w:rtl w:val="0"/>
        </w:rPr>
        <w:t xml:space="preserve">Amenazas, Vulnerabilidades y Estrategias de Mitigación</w:t>
      </w:r>
      <w:r w:rsidDel="00000000" w:rsidR="00000000" w:rsidRPr="00000000">
        <w:rPr>
          <w:rtl w:val="0"/>
        </w:rPr>
      </w:r>
    </w:p>
    <w:p w:rsidR="00000000" w:rsidDel="00000000" w:rsidP="00000000" w:rsidRDefault="00000000" w:rsidRPr="00000000" w14:paraId="00000009">
      <w:pPr>
        <w:spacing w:after="0" w:before="0" w:lineRule="auto"/>
        <w:rPr/>
      </w:pPr>
      <w:r w:rsidDel="00000000" w:rsidR="00000000" w:rsidRPr="00000000">
        <w:rPr>
          <w:rtl w:val="0"/>
        </w:rPr>
      </w:r>
    </w:p>
    <w:p w:rsidR="00000000" w:rsidDel="00000000" w:rsidP="00000000" w:rsidRDefault="00000000" w:rsidRPr="00000000" w14:paraId="0000000A">
      <w:pPr>
        <w:spacing w:after="40" w:before="0" w:lineRule="auto"/>
        <w:jc w:val="center"/>
        <w:rPr/>
      </w:pPr>
      <w:r w:rsidDel="00000000" w:rsidR="00000000" w:rsidRPr="00000000">
        <w:rPr>
          <w:rFonts w:ascii="Arial" w:cs="Arial" w:eastAsia="Arial" w:hAnsi="Arial"/>
          <w:i w:val="0"/>
          <w:iCs w:val="0"/>
          <w:color w:val="d0d8e4"/>
          <w:sz w:val="22"/>
          <w:szCs w:val="22"/>
          <w:rtl w:val="0"/>
        </w:rPr>
        <w:t xml:space="preserve">─────────────────────────────────────────────</w:t>
      </w:r>
      <w:r w:rsidDel="00000000" w:rsidR="00000000" w:rsidRPr="00000000">
        <w:rPr>
          <w:rtl w:val="0"/>
        </w:rPr>
      </w:r>
    </w:p>
    <w:p w:rsidR="00000000" w:rsidDel="00000000" w:rsidP="00000000" w:rsidRDefault="00000000" w:rsidRPr="00000000" w14:paraId="0000000B">
      <w:pPr>
        <w:spacing w:after="0" w:before="0" w:lineRule="auto"/>
        <w:jc w:val="center"/>
        <w:rPr/>
      </w:pPr>
      <w:r w:rsidDel="00000000" w:rsidR="00000000" w:rsidRPr="00000000">
        <w:rPr/>
        <w:drawing>
          <wp:inline distB="114300" distT="114300" distL="114300" distR="114300">
            <wp:extent cx="1924050" cy="237172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924050"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0" w:before="0" w:lineRule="auto"/>
        <w:rPr/>
      </w:pPr>
      <w:r w:rsidDel="00000000" w:rsidR="00000000" w:rsidRPr="00000000">
        <w:rPr>
          <w:rtl w:val="0"/>
        </w:rPr>
      </w:r>
    </w:p>
    <w:p w:rsidR="00000000" w:rsidDel="00000000" w:rsidP="00000000" w:rsidRDefault="00000000" w:rsidRPr="00000000" w14:paraId="0000000D">
      <w:pPr>
        <w:spacing w:after="40" w:before="60" w:lineRule="auto"/>
        <w:jc w:val="center"/>
        <w:rPr/>
      </w:pPr>
      <w:r w:rsidDel="00000000" w:rsidR="00000000" w:rsidRPr="00000000">
        <w:rPr>
          <w:rFonts w:ascii="Arial" w:cs="Arial" w:eastAsia="Arial" w:hAnsi="Arial"/>
          <w:b w:val="1"/>
          <w:bCs w:val="1"/>
          <w:color w:val="2e5fa3"/>
          <w:sz w:val="26"/>
          <w:szCs w:val="26"/>
          <w:rtl w:val="0"/>
        </w:rPr>
        <w:t xml:space="preserve">Avance Unidad I — Marco Teórico y Análisis del Estado del Arte</w:t>
      </w:r>
      <w:r w:rsidDel="00000000" w:rsidR="00000000" w:rsidRPr="00000000">
        <w:rPr>
          <w:rtl w:val="0"/>
        </w:rPr>
      </w:r>
    </w:p>
    <w:p w:rsidR="00000000" w:rsidDel="00000000" w:rsidP="00000000" w:rsidRDefault="00000000" w:rsidRPr="00000000" w14:paraId="0000000E">
      <w:pPr>
        <w:spacing w:after="0" w:before="0" w:lineRule="auto"/>
        <w:rPr/>
      </w:pPr>
      <w:r w:rsidDel="00000000" w:rsidR="00000000" w:rsidRPr="00000000">
        <w:rPr>
          <w:rtl w:val="0"/>
        </w:rPr>
      </w:r>
    </w:p>
    <w:p w:rsidR="00000000" w:rsidDel="00000000" w:rsidP="00000000" w:rsidRDefault="00000000" w:rsidRPr="00000000" w14:paraId="0000000F">
      <w:pPr>
        <w:spacing w:after="20" w:before="40" w:lineRule="auto"/>
        <w:jc w:val="center"/>
        <w:rPr/>
      </w:pPr>
      <w:r w:rsidDel="00000000" w:rsidR="00000000" w:rsidRPr="00000000">
        <w:rPr>
          <w:rFonts w:ascii="Arial" w:cs="Arial" w:eastAsia="Arial" w:hAnsi="Arial"/>
          <w:i w:val="0"/>
          <w:iCs w:val="0"/>
          <w:color w:val="5a5a5a"/>
          <w:sz w:val="22"/>
          <w:szCs w:val="22"/>
          <w:rtl w:val="0"/>
        </w:rPr>
        <w:t xml:space="preserve">Curso:</w:t>
      </w:r>
      <w:r w:rsidDel="00000000" w:rsidR="00000000" w:rsidRPr="00000000">
        <w:rPr>
          <w:rFonts w:ascii="Arial" w:cs="Arial" w:eastAsia="Arial" w:hAnsi="Arial"/>
          <w:b w:val="1"/>
          <w:bCs w:val="1"/>
          <w:color w:val="111111"/>
          <w:sz w:val="22"/>
          <w:szCs w:val="22"/>
          <w:rtl w:val="0"/>
        </w:rPr>
        <w:t xml:space="preserve">  Seguridad Forense Digital</w:t>
      </w:r>
      <w:r w:rsidDel="00000000" w:rsidR="00000000" w:rsidRPr="00000000">
        <w:rPr>
          <w:rtl w:val="0"/>
        </w:rPr>
      </w:r>
    </w:p>
    <w:p w:rsidR="00000000" w:rsidDel="00000000" w:rsidP="00000000" w:rsidRDefault="00000000" w:rsidRPr="00000000" w14:paraId="00000010">
      <w:pPr>
        <w:spacing w:after="20" w:before="20" w:lineRule="auto"/>
        <w:jc w:val="center"/>
        <w:rPr/>
      </w:pPr>
      <w:r w:rsidDel="00000000" w:rsidR="00000000" w:rsidRPr="00000000">
        <w:rPr>
          <w:rFonts w:ascii="Arial" w:cs="Arial" w:eastAsia="Arial" w:hAnsi="Arial"/>
          <w:i w:val="0"/>
          <w:iCs w:val="0"/>
          <w:color w:val="5a5a5a"/>
          <w:sz w:val="22"/>
          <w:szCs w:val="22"/>
          <w:rtl w:val="0"/>
        </w:rPr>
        <w:t xml:space="preserve">Docente:</w:t>
      </w:r>
      <w:r w:rsidDel="00000000" w:rsidR="00000000" w:rsidRPr="00000000">
        <w:rPr>
          <w:rFonts w:ascii="Arial" w:cs="Arial" w:eastAsia="Arial" w:hAnsi="Arial"/>
          <w:b w:val="1"/>
          <w:bCs w:val="1"/>
          <w:color w:val="111111"/>
          <w:sz w:val="22"/>
          <w:szCs w:val="22"/>
          <w:rtl w:val="0"/>
        </w:rPr>
        <w:t xml:space="preserve">  Dr. Renzo Taco Coayla</w:t>
      </w:r>
      <w:r w:rsidDel="00000000" w:rsidR="00000000" w:rsidRPr="00000000">
        <w:rPr>
          <w:rtl w:val="0"/>
        </w:rPr>
      </w:r>
    </w:p>
    <w:p w:rsidR="00000000" w:rsidDel="00000000" w:rsidP="00000000" w:rsidRDefault="00000000" w:rsidRPr="00000000" w14:paraId="00000011">
      <w:pPr>
        <w:spacing w:after="0" w:before="0" w:lineRule="auto"/>
        <w:rPr/>
      </w:pPr>
      <w:r w:rsidDel="00000000" w:rsidR="00000000" w:rsidRPr="00000000">
        <w:rPr>
          <w:rtl w:val="0"/>
        </w:rPr>
      </w:r>
    </w:p>
    <w:p w:rsidR="00000000" w:rsidDel="00000000" w:rsidP="00000000" w:rsidRDefault="00000000" w:rsidRPr="00000000" w14:paraId="00000012">
      <w:pPr>
        <w:spacing w:after="20" w:before="40" w:lineRule="auto"/>
        <w:jc w:val="center"/>
        <w:rPr>
          <w:b w:val="1"/>
          <w:bCs w:val="1"/>
          <w:color w:val="1a2e5a"/>
          <w:sz w:val="24"/>
          <w:szCs w:val="24"/>
        </w:rPr>
      </w:pPr>
      <w:r w:rsidDel="00000000" w:rsidR="00000000" w:rsidRPr="00000000">
        <w:rPr>
          <w:rFonts w:ascii="Arial" w:cs="Arial" w:eastAsia="Arial" w:hAnsi="Arial"/>
          <w:b w:val="1"/>
          <w:bCs w:val="1"/>
          <w:color w:val="1a2e5a"/>
          <w:sz w:val="24"/>
          <w:szCs w:val="24"/>
          <w:rtl w:val="0"/>
        </w:rPr>
        <w:t xml:space="preserve">Integrantes</w:t>
      </w:r>
      <w:r w:rsidDel="00000000" w:rsidR="00000000" w:rsidRPr="00000000">
        <w:rPr>
          <w:b w:val="1"/>
          <w:bCs w:val="1"/>
          <w:color w:val="1a2e5a"/>
          <w:sz w:val="24"/>
          <w:szCs w:val="24"/>
          <w:rtl w:val="0"/>
        </w:rPr>
        <w:t xml:space="preserve">:</w:t>
      </w:r>
    </w:p>
    <w:p w:rsidR="00000000" w:rsidDel="00000000" w:rsidP="00000000" w:rsidRDefault="00000000" w:rsidRPr="00000000" w14:paraId="00000013">
      <w:pPr>
        <w:spacing w:after="20" w:before="40" w:lineRule="auto"/>
        <w:jc w:val="center"/>
        <w:rPr>
          <w:b w:val="1"/>
          <w:bCs w:val="1"/>
          <w:color w:val="1a2e5a"/>
          <w:sz w:val="24"/>
          <w:szCs w:val="24"/>
        </w:rPr>
      </w:pPr>
      <w:r w:rsidDel="00000000" w:rsidR="00000000" w:rsidRPr="00000000">
        <w:rPr>
          <w:rtl w:val="0"/>
        </w:rPr>
      </w:r>
    </w:p>
    <w:p w:rsidR="00000000" w:rsidDel="00000000" w:rsidP="00000000" w:rsidRDefault="00000000" w:rsidRPr="00000000" w14:paraId="00000014">
      <w:pPr>
        <w:spacing w:after="10" w:before="10" w:lineRule="auto"/>
        <w:jc w:val="center"/>
        <w:rPr/>
      </w:pPr>
      <w:r w:rsidDel="00000000" w:rsidR="00000000" w:rsidRPr="00000000">
        <w:rPr>
          <w:rFonts w:ascii="Arial" w:cs="Arial" w:eastAsia="Arial" w:hAnsi="Arial"/>
          <w:i w:val="0"/>
          <w:iCs w:val="0"/>
          <w:color w:val="5a5a5a"/>
          <w:sz w:val="22"/>
          <w:szCs w:val="22"/>
          <w:rtl w:val="0"/>
        </w:rPr>
        <w:t xml:space="preserve">● </w:t>
      </w:r>
      <w:r w:rsidDel="00000000" w:rsidR="00000000" w:rsidRPr="00000000">
        <w:rPr>
          <w:color w:val="5a5a5a"/>
          <w:rtl w:val="0"/>
        </w:rPr>
        <w:t xml:space="preserve">Hernandez Cruz Angel Gadiel</w:t>
      </w:r>
      <w:r w:rsidDel="00000000" w:rsidR="00000000" w:rsidRPr="00000000">
        <w:rPr>
          <w:rFonts w:ascii="Arial" w:cs="Arial" w:eastAsia="Arial" w:hAnsi="Arial"/>
          <w:i w:val="0"/>
          <w:iCs w:val="0"/>
          <w:color w:val="5a5a5a"/>
          <w:sz w:val="22"/>
          <w:szCs w:val="22"/>
          <w:rtl w:val="0"/>
        </w:rPr>
        <w:t xml:space="preserve"> – </w:t>
      </w:r>
      <w:r w:rsidDel="00000000" w:rsidR="00000000" w:rsidRPr="00000000">
        <w:rPr>
          <w:color w:val="5a5a5a"/>
          <w:rtl w:val="0"/>
        </w:rPr>
        <w:t xml:space="preserve">2021070017</w:t>
      </w:r>
      <w:r w:rsidDel="00000000" w:rsidR="00000000" w:rsidRPr="00000000">
        <w:rPr>
          <w:rtl w:val="0"/>
        </w:rPr>
      </w:r>
    </w:p>
    <w:p w:rsidR="00000000" w:rsidDel="00000000" w:rsidP="00000000" w:rsidRDefault="00000000" w:rsidRPr="00000000" w14:paraId="00000015">
      <w:pPr>
        <w:spacing w:after="10" w:before="10" w:lineRule="auto"/>
        <w:jc w:val="center"/>
        <w:rPr/>
      </w:pPr>
      <w:r w:rsidDel="00000000" w:rsidR="00000000" w:rsidRPr="00000000">
        <w:rPr>
          <w:rFonts w:ascii="Arial" w:cs="Arial" w:eastAsia="Arial" w:hAnsi="Arial"/>
          <w:i w:val="0"/>
          <w:iCs w:val="0"/>
          <w:color w:val="5a5a5a"/>
          <w:sz w:val="22"/>
          <w:szCs w:val="22"/>
          <w:rtl w:val="0"/>
        </w:rPr>
        <w:t xml:space="preserve">● </w:t>
      </w:r>
      <w:r w:rsidDel="00000000" w:rsidR="00000000" w:rsidRPr="00000000">
        <w:rPr>
          <w:color w:val="5a5a5a"/>
          <w:rtl w:val="0"/>
        </w:rPr>
        <w:t xml:space="preserve">Cesar Fabian Chávez Linares</w:t>
      </w:r>
      <w:r w:rsidDel="00000000" w:rsidR="00000000" w:rsidRPr="00000000">
        <w:rPr>
          <w:rFonts w:ascii="Arial" w:cs="Arial" w:eastAsia="Arial" w:hAnsi="Arial"/>
          <w:i w:val="0"/>
          <w:iCs w:val="0"/>
          <w:color w:val="5a5a5a"/>
          <w:sz w:val="22"/>
          <w:szCs w:val="22"/>
          <w:rtl w:val="0"/>
        </w:rPr>
        <w:t xml:space="preserve"> – </w:t>
      </w:r>
      <w:r w:rsidDel="00000000" w:rsidR="00000000" w:rsidRPr="00000000">
        <w:rPr>
          <w:color w:val="5a5a5a"/>
          <w:rtl w:val="0"/>
        </w:rPr>
        <w:t xml:space="preserve">2019063854</w:t>
      </w:r>
      <w:r w:rsidDel="00000000" w:rsidR="00000000" w:rsidRPr="00000000">
        <w:rPr>
          <w:rtl w:val="0"/>
        </w:rPr>
      </w:r>
    </w:p>
    <w:p w:rsidR="00000000" w:rsidDel="00000000" w:rsidP="00000000" w:rsidRDefault="00000000" w:rsidRPr="00000000" w14:paraId="00000016">
      <w:pPr>
        <w:spacing w:after="10" w:before="10" w:lineRule="auto"/>
        <w:jc w:val="center"/>
        <w:rPr/>
      </w:pPr>
      <w:r w:rsidDel="00000000" w:rsidR="00000000" w:rsidRPr="00000000">
        <w:rPr>
          <w:rFonts w:ascii="Arial" w:cs="Arial" w:eastAsia="Arial" w:hAnsi="Arial"/>
          <w:i w:val="0"/>
          <w:iCs w:val="0"/>
          <w:color w:val="5a5a5a"/>
          <w:sz w:val="22"/>
          <w:szCs w:val="22"/>
          <w:rtl w:val="0"/>
        </w:rPr>
        <w:t xml:space="preserve">● </w:t>
      </w:r>
      <w:r w:rsidDel="00000000" w:rsidR="00000000" w:rsidRPr="00000000">
        <w:rPr>
          <w:color w:val="5a5a5a"/>
          <w:rtl w:val="0"/>
        </w:rPr>
        <w:t xml:space="preserve">Lira Alvarez Rodrigo </w:t>
      </w:r>
      <w:r w:rsidDel="00000000" w:rsidR="00000000" w:rsidRPr="00000000">
        <w:rPr>
          <w:rFonts w:ascii="Arial" w:cs="Arial" w:eastAsia="Arial" w:hAnsi="Arial"/>
          <w:i w:val="0"/>
          <w:iCs w:val="0"/>
          <w:color w:val="5a5a5a"/>
          <w:sz w:val="22"/>
          <w:szCs w:val="22"/>
          <w:rtl w:val="0"/>
        </w:rPr>
        <w:t xml:space="preserve">– </w:t>
      </w:r>
      <w:r w:rsidDel="00000000" w:rsidR="00000000" w:rsidRPr="00000000">
        <w:rPr>
          <w:color w:val="5a5a5a"/>
          <w:rtl w:val="0"/>
        </w:rPr>
        <w:t xml:space="preserve">2019063331</w:t>
      </w:r>
      <w:r w:rsidDel="00000000" w:rsidR="00000000" w:rsidRPr="00000000">
        <w:rPr>
          <w:rtl w:val="0"/>
        </w:rPr>
      </w:r>
    </w:p>
    <w:p w:rsidR="00000000" w:rsidDel="00000000" w:rsidP="00000000" w:rsidRDefault="00000000" w:rsidRPr="00000000" w14:paraId="00000017">
      <w:pPr>
        <w:spacing w:after="0" w:before="0" w:lineRule="auto"/>
        <w:rPr/>
      </w:pPr>
      <w:r w:rsidDel="00000000" w:rsidR="00000000" w:rsidRPr="00000000">
        <w:rPr>
          <w:rtl w:val="0"/>
        </w:rPr>
      </w:r>
    </w:p>
    <w:p w:rsidR="00000000" w:rsidDel="00000000" w:rsidP="00000000" w:rsidRDefault="00000000" w:rsidRPr="00000000" w14:paraId="00000018">
      <w:pPr>
        <w:spacing w:after="0" w:before="0" w:lineRule="auto"/>
        <w:rPr/>
      </w:pPr>
      <w:r w:rsidDel="00000000" w:rsidR="00000000" w:rsidRPr="00000000">
        <w:rPr>
          <w:rtl w:val="0"/>
        </w:rPr>
      </w:r>
    </w:p>
    <w:p w:rsidR="00000000" w:rsidDel="00000000" w:rsidP="00000000" w:rsidRDefault="00000000" w:rsidRPr="00000000" w14:paraId="00000019">
      <w:pPr>
        <w:spacing w:after="20" w:before="40" w:lineRule="auto"/>
        <w:jc w:val="center"/>
        <w:rPr/>
      </w:pPr>
      <w:r w:rsidDel="00000000" w:rsidR="00000000" w:rsidRPr="00000000">
        <w:rPr>
          <w:rFonts w:ascii="Arial" w:cs="Arial" w:eastAsia="Arial" w:hAnsi="Arial"/>
          <w:i w:val="0"/>
          <w:iCs w:val="0"/>
          <w:color w:val="5a5a5a"/>
          <w:sz w:val="22"/>
          <w:szCs w:val="22"/>
          <w:rtl w:val="0"/>
        </w:rPr>
        <w:t xml:space="preserve">Tacna – Perú</w:t>
      </w:r>
      <w:r w:rsidDel="00000000" w:rsidR="00000000" w:rsidRPr="00000000">
        <w:rPr>
          <w:rtl w:val="0"/>
        </w:rPr>
      </w:r>
    </w:p>
    <w:p w:rsidR="00000000" w:rsidDel="00000000" w:rsidP="00000000" w:rsidRDefault="00000000" w:rsidRPr="00000000" w14:paraId="0000001A">
      <w:pPr>
        <w:spacing w:after="20" w:before="10" w:lineRule="auto"/>
        <w:jc w:val="center"/>
        <w:rPr/>
      </w:pPr>
      <w:r w:rsidDel="00000000" w:rsidR="00000000" w:rsidRPr="00000000">
        <w:rPr>
          <w:rFonts w:ascii="Arial" w:cs="Arial" w:eastAsia="Arial" w:hAnsi="Arial"/>
          <w:i w:val="0"/>
          <w:iCs w:val="0"/>
          <w:color w:val="5a5a5a"/>
          <w:sz w:val="22"/>
          <w:szCs w:val="22"/>
          <w:rtl w:val="0"/>
        </w:rPr>
        <w:t xml:space="preserve">202</w:t>
      </w:r>
      <w:r w:rsidDel="00000000" w:rsidR="00000000" w:rsidRPr="00000000">
        <w:rPr>
          <w:color w:val="5a5a5a"/>
          <w:rtl w:val="0"/>
        </w:rPr>
        <w:t xml:space="preserve">6</w:t>
      </w: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pBdr>
          <w:bottom w:color="1d7a8c" w:space="4" w:sz="4" w:val="single"/>
        </w:pBdr>
        <w:spacing w:after="120" w:before="360" w:lineRule="auto"/>
        <w:rPr/>
      </w:pPr>
      <w:r w:rsidDel="00000000" w:rsidR="00000000" w:rsidRPr="00000000">
        <w:rPr>
          <w:rFonts w:ascii="Arial" w:cs="Arial" w:eastAsia="Arial" w:hAnsi="Arial"/>
          <w:b w:val="1"/>
          <w:bCs w:val="1"/>
          <w:color w:val="1a2e5a"/>
          <w:sz w:val="32"/>
          <w:szCs w:val="32"/>
          <w:rtl w:val="0"/>
        </w:rPr>
        <w:t xml:space="preserve">RESUMEN (Abstract)</w:t>
      </w:r>
      <w:r w:rsidDel="00000000" w:rsidR="00000000" w:rsidRPr="00000000">
        <w:rPr>
          <w:rtl w:val="0"/>
        </w:rPr>
      </w:r>
    </w:p>
    <w:p w:rsidR="00000000" w:rsidDel="00000000" w:rsidP="00000000" w:rsidRDefault="00000000" w:rsidRPr="00000000" w14:paraId="0000001D">
      <w:pPr>
        <w:spacing w:after="100" w:before="60" w:lineRule="auto"/>
        <w:jc w:val="both"/>
        <w:rPr/>
      </w:pPr>
      <w:r w:rsidDel="00000000" w:rsidR="00000000" w:rsidRPr="00000000">
        <w:rPr>
          <w:rFonts w:ascii="Arial" w:cs="Arial" w:eastAsia="Arial" w:hAnsi="Arial"/>
          <w:i w:val="0"/>
          <w:iCs w:val="0"/>
          <w:color w:val="111111"/>
          <w:sz w:val="22"/>
          <w:szCs w:val="22"/>
          <w:rtl w:val="0"/>
        </w:rPr>
        <w:t xml:space="preserve">La cadena de suministro de software (CSS) comprende todos los componentes, procesos, herramientas y dependencias involucrados en el desarrollo, distribución y despliegue de productos de software. En los últimos años, los ataques dirigidos a esta cadena han experimentado un incremento exponencial, comprometiendo a organizaciones de alto perfil a nivel mundial. El presente ensayo científico analiza el estado actual de la seguridad en la cadena de suministro de software, identificando las principales amenazas, vectores de ataque y vulnerabilidades reportadas en la literatura científica indexada en bases de datos como Scopus, Web of Science y SciELO. Asimismo, se examinan los marcos normativos, estándares internacionales y soluciones técnicas propuestas para mitigar estos riesgos. La investigación concluye que la adopción de prácticas como Software Bill of Materials (SBOM), el principio de mínimo privilegio, la verificación de integridad de artefactos y la automatización de análisis de vulnerabilidades en pipelines de CI/CD constituyen las estrategias más efectivas para reducir la superficie de ataque en entornos de desarrollo modernos.</w:t>
      </w:r>
      <w:r w:rsidDel="00000000" w:rsidR="00000000" w:rsidRPr="00000000">
        <w:rPr>
          <w:rtl w:val="0"/>
        </w:rPr>
      </w:r>
    </w:p>
    <w:p w:rsidR="00000000" w:rsidDel="00000000" w:rsidP="00000000" w:rsidRDefault="00000000" w:rsidRPr="00000000" w14:paraId="0000001E">
      <w:pPr>
        <w:spacing w:after="80" w:before="60" w:lineRule="auto"/>
        <w:rPr/>
      </w:pPr>
      <w:r w:rsidDel="00000000" w:rsidR="00000000" w:rsidRPr="00000000">
        <w:rPr>
          <w:rFonts w:ascii="Arial" w:cs="Arial" w:eastAsia="Arial" w:hAnsi="Arial"/>
          <w:b w:val="1"/>
          <w:bCs w:val="1"/>
          <w:color w:val="1d7a8c"/>
          <w:sz w:val="22"/>
          <w:szCs w:val="22"/>
          <w:rtl w:val="0"/>
        </w:rPr>
        <w:t xml:space="preserve">Palabras clave: </w:t>
      </w:r>
      <w:r w:rsidDel="00000000" w:rsidR="00000000" w:rsidRPr="00000000">
        <w:rPr>
          <w:rFonts w:ascii="Arial" w:cs="Arial" w:eastAsia="Arial" w:hAnsi="Arial"/>
          <w:i w:val="1"/>
          <w:iCs w:val="1"/>
          <w:color w:val="5a5a5a"/>
          <w:sz w:val="22"/>
          <w:szCs w:val="22"/>
          <w:rtl w:val="0"/>
        </w:rPr>
        <w:t xml:space="preserve">cadena de suministro de software, SBOM, DevSecOps, dependencias de terceros, seguridad de código abierto, ataques de inserción maliciosa.</w:t>
      </w:r>
      <w:r w:rsidDel="00000000" w:rsidR="00000000" w:rsidRPr="00000000">
        <w:rPr>
          <w:rtl w:val="0"/>
        </w:rPr>
      </w:r>
    </w:p>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pBdr>
          <w:bottom w:color="1d7a8c" w:space="4" w:sz="4" w:val="single"/>
        </w:pBdr>
        <w:spacing w:after="120" w:before="360" w:lineRule="auto"/>
        <w:rPr/>
      </w:pPr>
      <w:r w:rsidDel="00000000" w:rsidR="00000000" w:rsidRPr="00000000">
        <w:rPr>
          <w:rFonts w:ascii="Arial" w:cs="Arial" w:eastAsia="Arial" w:hAnsi="Arial"/>
          <w:b w:val="1"/>
          <w:bCs w:val="1"/>
          <w:color w:val="1a2e5a"/>
          <w:sz w:val="32"/>
          <w:szCs w:val="32"/>
          <w:rtl w:val="0"/>
        </w:rPr>
        <w:t xml:space="preserve">I. PLANTEAMIENTO DEL PROBLEMA Y TESIS</w:t>
      </w:r>
      <w:r w:rsidDel="00000000" w:rsidR="00000000" w:rsidRPr="00000000">
        <w:rPr>
          <w:rtl w:val="0"/>
        </w:rPr>
      </w:r>
    </w:p>
    <w:p w:rsidR="00000000" w:rsidDel="00000000" w:rsidP="00000000" w:rsidRDefault="00000000" w:rsidRPr="00000000" w14:paraId="00000021">
      <w:pPr>
        <w:pStyle w:val="Heading2"/>
        <w:spacing w:after="80" w:before="240" w:lineRule="auto"/>
        <w:rPr/>
      </w:pPr>
      <w:r w:rsidDel="00000000" w:rsidR="00000000" w:rsidRPr="00000000">
        <w:rPr>
          <w:rFonts w:ascii="Arial" w:cs="Arial" w:eastAsia="Arial" w:hAnsi="Arial"/>
          <w:b w:val="1"/>
          <w:bCs w:val="1"/>
          <w:color w:val="2e5fa3"/>
          <w:sz w:val="26"/>
          <w:szCs w:val="26"/>
          <w:rtl w:val="0"/>
        </w:rPr>
        <w:t xml:space="preserve">1.1 Contexto y Motivación</w:t>
      </w:r>
      <w:r w:rsidDel="00000000" w:rsidR="00000000" w:rsidRPr="00000000">
        <w:rPr>
          <w:rtl w:val="0"/>
        </w:rPr>
      </w:r>
    </w:p>
    <w:p w:rsidR="00000000" w:rsidDel="00000000" w:rsidP="00000000" w:rsidRDefault="00000000" w:rsidRPr="00000000" w14:paraId="00000022">
      <w:pPr>
        <w:spacing w:after="100" w:before="60" w:lineRule="auto"/>
        <w:jc w:val="both"/>
        <w:rPr/>
      </w:pPr>
      <w:r w:rsidDel="00000000" w:rsidR="00000000" w:rsidRPr="00000000">
        <w:rPr>
          <w:rFonts w:ascii="Arial" w:cs="Arial" w:eastAsia="Arial" w:hAnsi="Arial"/>
          <w:i w:val="0"/>
          <w:iCs w:val="0"/>
          <w:color w:val="111111"/>
          <w:sz w:val="22"/>
          <w:szCs w:val="22"/>
          <w:rtl w:val="0"/>
        </w:rPr>
        <w:t xml:space="preserve">El software moderno raramente se construye desde cero. De acuerdo con (Zimmermann et al., 2019), el ecosistema npm contiene más de un millón de paquetes y el 97 % de las aplicaciones web incorporan al menos una dependencia de código abierto. Esta realidad transforma cada componente de terceros en un potencial vector de ataque. El incidente SolarWinds en 2020, en el que actores maliciosos insertaron código backdoor en el proceso de compilación de un software de monitoreo ampliamente utilizado, evidenció la magnitud del problema: más de 18,000 organizaciones —incluyendo agencias del gobierno estadounidense— instalaron actualizaciones comprometidas sin saberlo (Guo &amp; Wermke, 2023).</w:t>
      </w:r>
      <w:r w:rsidDel="00000000" w:rsidR="00000000" w:rsidRPr="00000000">
        <w:rPr>
          <w:rtl w:val="0"/>
        </w:rPr>
      </w:r>
    </w:p>
    <w:p w:rsidR="00000000" w:rsidDel="00000000" w:rsidP="00000000" w:rsidRDefault="00000000" w:rsidRPr="00000000" w14:paraId="00000023">
      <w:pPr>
        <w:spacing w:after="100" w:before="60" w:lineRule="auto"/>
        <w:jc w:val="both"/>
        <w:rPr/>
      </w:pPr>
      <w:r w:rsidDel="00000000" w:rsidR="00000000" w:rsidRPr="00000000">
        <w:rPr>
          <w:rFonts w:ascii="Arial" w:cs="Arial" w:eastAsia="Arial" w:hAnsi="Arial"/>
          <w:i w:val="0"/>
          <w:iCs w:val="0"/>
          <w:color w:val="111111"/>
          <w:sz w:val="22"/>
          <w:szCs w:val="22"/>
          <w:rtl w:val="0"/>
        </w:rPr>
        <w:t xml:space="preserve">Del mismo modo, los ataques a paquetes de PyPI y npm mediante técnicas de typosquatting y dependency confusion han demostrado que la confianza implícita en repositorios públicos de código puede ser explotada para distribuir malware a escala masiva (Ohm et al., 2022). Ladisa et al. (2023) documentaron 685 ataques a la cadena de suministro de software entre 2015 y 2022, con una tasa de crecimiento anual del 742 % entre 2020 y 2022.</w:t>
      </w:r>
      <w:r w:rsidDel="00000000" w:rsidR="00000000" w:rsidRPr="00000000">
        <w:rPr>
          <w:rtl w:val="0"/>
        </w:rPr>
      </w:r>
    </w:p>
    <w:p w:rsidR="00000000" w:rsidDel="00000000" w:rsidP="00000000" w:rsidRDefault="00000000" w:rsidRPr="00000000" w14:paraId="00000024">
      <w:pPr>
        <w:pStyle w:val="Heading2"/>
        <w:spacing w:after="80" w:before="240" w:lineRule="auto"/>
        <w:rPr/>
      </w:pPr>
      <w:r w:rsidDel="00000000" w:rsidR="00000000" w:rsidRPr="00000000">
        <w:rPr>
          <w:rFonts w:ascii="Arial" w:cs="Arial" w:eastAsia="Arial" w:hAnsi="Arial"/>
          <w:b w:val="1"/>
          <w:bCs w:val="1"/>
          <w:color w:val="2e5fa3"/>
          <w:sz w:val="26"/>
          <w:szCs w:val="26"/>
          <w:rtl w:val="0"/>
        </w:rPr>
        <w:t xml:space="preserve">1.2 Planteamiento del Problema</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d7a8c" w:space="0" w:sz="4" w:val="single"/>
              <w:left w:color="1d7a8c" w:space="0" w:sz="12" w:val="single"/>
              <w:bottom w:color="1d7a8c" w:space="0" w:sz="4" w:val="single"/>
              <w:right w:color="000000" w:space="0" w:sz="0" w:val="nil"/>
            </w:tcBorders>
            <w:shd w:fill="e8f4f7" w:val="clear"/>
            <w:tcMar>
              <w:top w:w="100.0" w:type="dxa"/>
              <w:left w:w="160.0" w:type="dxa"/>
              <w:bottom w:w="100.0" w:type="dxa"/>
              <w:right w:w="120.0" w:type="dxa"/>
            </w:tcMar>
          </w:tcPr>
          <w:p w:rsidR="00000000" w:rsidDel="00000000" w:rsidP="00000000" w:rsidRDefault="00000000" w:rsidRPr="00000000" w14:paraId="00000025">
            <w:pPr>
              <w:spacing w:after="40" w:before="0" w:lineRule="auto"/>
              <w:rPr/>
            </w:pPr>
            <w:r w:rsidDel="00000000" w:rsidR="00000000" w:rsidRPr="00000000">
              <w:rPr>
                <w:rFonts w:ascii="Arial" w:cs="Arial" w:eastAsia="Arial" w:hAnsi="Arial"/>
                <w:b w:val="1"/>
                <w:bCs w:val="1"/>
                <w:color w:val="1d7a8c"/>
                <w:sz w:val="22"/>
                <w:szCs w:val="22"/>
                <w:rtl w:val="0"/>
              </w:rPr>
              <w:t xml:space="preserve">Problema Central: </w:t>
            </w:r>
            <w:r w:rsidDel="00000000" w:rsidR="00000000" w:rsidRPr="00000000">
              <w:rPr>
                <w:rFonts w:ascii="Arial" w:cs="Arial" w:eastAsia="Arial" w:hAnsi="Arial"/>
                <w:i w:val="0"/>
                <w:iCs w:val="0"/>
                <w:color w:val="5a5a5a"/>
                <w:sz w:val="22"/>
                <w:szCs w:val="22"/>
                <w:rtl w:val="0"/>
              </w:rPr>
              <w:t xml:space="preserve">¿Cuáles son las principales amenazas, vectores de ataque y vulnerabilidades presentes en la cadena de suministro de software contemporánea, y qué estrategias técnicas y normativas resultan más efectivas para mitigar los riesgos asociados, en el contexto de entornos de desarrollo ágiles y ecosistemas de código abierto?</w:t>
            </w:r>
            <w:r w:rsidDel="00000000" w:rsidR="00000000" w:rsidRPr="00000000">
              <w:rPr>
                <w:rtl w:val="0"/>
              </w:rPr>
            </w:r>
          </w:p>
        </w:tc>
      </w:tr>
    </w:tbl>
    <w:p w:rsidR="00000000" w:rsidDel="00000000" w:rsidP="00000000" w:rsidRDefault="00000000" w:rsidRPr="00000000" w14:paraId="00000026">
      <w:pPr>
        <w:spacing w:after="0" w:before="0" w:lineRule="auto"/>
        <w:rPr/>
      </w:pPr>
      <w:r w:rsidDel="00000000" w:rsidR="00000000" w:rsidRPr="00000000">
        <w:rPr>
          <w:rtl w:val="0"/>
        </w:rPr>
      </w:r>
    </w:p>
    <w:p w:rsidR="00000000" w:rsidDel="00000000" w:rsidP="00000000" w:rsidRDefault="00000000" w:rsidRPr="00000000" w14:paraId="00000027">
      <w:pPr>
        <w:spacing w:after="100" w:before="60" w:lineRule="auto"/>
        <w:jc w:val="both"/>
        <w:rPr/>
      </w:pPr>
      <w:r w:rsidDel="00000000" w:rsidR="00000000" w:rsidRPr="00000000">
        <w:rPr>
          <w:rFonts w:ascii="Arial" w:cs="Arial" w:eastAsia="Arial" w:hAnsi="Arial"/>
          <w:i w:val="0"/>
          <w:iCs w:val="0"/>
          <w:color w:val="111111"/>
          <w:sz w:val="22"/>
          <w:szCs w:val="22"/>
          <w:rtl w:val="0"/>
        </w:rPr>
        <w:t xml:space="preserve">El problema adquiere múltiples dimensiones: (a) la opacidad de las dependencias transitivas impide conocer con exactitud qué componentes se ejecutan en producción; (b) la ausencia de estándares universales de verificación de integridad facilita la distribución de artefactos comprometidos; (c) la brecha entre la velocidad de publicación de vulnerabilidades y el tiempo de respuesta de los equipos de desarrollo amplía la ventana de exposición; y (d) la falta de conciencia sobre buenas prácticas de seguridad en comunidades de código abierto perpetúa la deuda técnica de seguridad.</w:t>
      </w:r>
      <w:r w:rsidDel="00000000" w:rsidR="00000000" w:rsidRPr="00000000">
        <w:rPr>
          <w:rtl w:val="0"/>
        </w:rPr>
      </w:r>
    </w:p>
    <w:p w:rsidR="00000000" w:rsidDel="00000000" w:rsidP="00000000" w:rsidRDefault="00000000" w:rsidRPr="00000000" w14:paraId="00000028">
      <w:pPr>
        <w:pStyle w:val="Heading2"/>
        <w:spacing w:after="80" w:before="240" w:lineRule="auto"/>
        <w:rPr/>
      </w:pPr>
      <w:r w:rsidDel="00000000" w:rsidR="00000000" w:rsidRPr="00000000">
        <w:rPr>
          <w:rFonts w:ascii="Arial" w:cs="Arial" w:eastAsia="Arial" w:hAnsi="Arial"/>
          <w:b w:val="1"/>
          <w:bCs w:val="1"/>
          <w:color w:val="2e5fa3"/>
          <w:sz w:val="26"/>
          <w:szCs w:val="26"/>
          <w:rtl w:val="0"/>
        </w:rPr>
        <w:t xml:space="preserve">1.3 Hipótesis / Tesis Central</w:t>
      </w:r>
      <w:r w:rsidDel="00000000" w:rsidR="00000000" w:rsidRPr="00000000">
        <w:rPr>
          <w:rtl w:val="0"/>
        </w:rPr>
      </w:r>
    </w:p>
    <w:p w:rsidR="00000000" w:rsidDel="00000000" w:rsidP="00000000" w:rsidRDefault="00000000" w:rsidRPr="00000000" w14:paraId="00000029">
      <w:pPr>
        <w:spacing w:after="100" w:before="60" w:lineRule="auto"/>
        <w:jc w:val="both"/>
        <w:rPr/>
      </w:pPr>
      <w:r w:rsidDel="00000000" w:rsidR="00000000" w:rsidRPr="00000000">
        <w:rPr>
          <w:rFonts w:ascii="Arial" w:cs="Arial" w:eastAsia="Arial" w:hAnsi="Arial"/>
          <w:i w:val="0"/>
          <w:iCs w:val="0"/>
          <w:color w:val="111111"/>
          <w:sz w:val="22"/>
          <w:szCs w:val="22"/>
          <w:rtl w:val="0"/>
        </w:rPr>
        <w:t xml:space="preserve">La implementación integrada de un conjunto de controles técnicos —Software Bill of Materials (SBOM), verificación criptográfica de artefactos, análisis de composición de software (SCA), y políticas de seguridad automatizadas en pipelines de integración continua— junto con la adopción de marcos normativos como el NIST SSDF y el estándar OpenSSF Scorecard, reduce significativamente la probabilidad y el impacto de ataques exitosos a la cadena de suministro de software, permitiendo a las organizaciones lograr una postura de seguridad proactiva y verificable.</w:t>
      </w:r>
      <w:r w:rsidDel="00000000" w:rsidR="00000000" w:rsidRPr="00000000">
        <w:rPr>
          <w:rtl w:val="0"/>
        </w:rPr>
      </w:r>
    </w:p>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pBdr>
          <w:bottom w:color="1d7a8c" w:space="4" w:sz="4" w:val="single"/>
        </w:pBdr>
        <w:spacing w:after="120" w:before="360" w:lineRule="auto"/>
        <w:rPr/>
      </w:pPr>
      <w:r w:rsidDel="00000000" w:rsidR="00000000" w:rsidRPr="00000000">
        <w:rPr>
          <w:rFonts w:ascii="Arial" w:cs="Arial" w:eastAsia="Arial" w:hAnsi="Arial"/>
          <w:b w:val="1"/>
          <w:bCs w:val="1"/>
          <w:color w:val="1a2e5a"/>
          <w:sz w:val="32"/>
          <w:szCs w:val="32"/>
          <w:rtl w:val="0"/>
        </w:rPr>
        <w:t xml:space="preserve">II. MARCO TEÓRICO</w:t>
      </w:r>
      <w:r w:rsidDel="00000000" w:rsidR="00000000" w:rsidRPr="00000000">
        <w:rPr>
          <w:rtl w:val="0"/>
        </w:rPr>
      </w:r>
    </w:p>
    <w:p w:rsidR="00000000" w:rsidDel="00000000" w:rsidP="00000000" w:rsidRDefault="00000000" w:rsidRPr="00000000" w14:paraId="0000002C">
      <w:pPr>
        <w:pStyle w:val="Heading2"/>
        <w:spacing w:after="80" w:before="240" w:lineRule="auto"/>
        <w:rPr/>
      </w:pPr>
      <w:r w:rsidDel="00000000" w:rsidR="00000000" w:rsidRPr="00000000">
        <w:rPr>
          <w:rFonts w:ascii="Arial" w:cs="Arial" w:eastAsia="Arial" w:hAnsi="Arial"/>
          <w:b w:val="1"/>
          <w:bCs w:val="1"/>
          <w:color w:val="2e5fa3"/>
          <w:sz w:val="26"/>
          <w:szCs w:val="26"/>
          <w:rtl w:val="0"/>
        </w:rPr>
        <w:t xml:space="preserve">2.1 Definición y Componentes de la Cadena de Suministro de Software</w:t>
      </w:r>
      <w:r w:rsidDel="00000000" w:rsidR="00000000" w:rsidRPr="00000000">
        <w:rPr>
          <w:rtl w:val="0"/>
        </w:rPr>
      </w:r>
    </w:p>
    <w:p w:rsidR="00000000" w:rsidDel="00000000" w:rsidP="00000000" w:rsidRDefault="00000000" w:rsidRPr="00000000" w14:paraId="0000002D">
      <w:pPr>
        <w:spacing w:after="100" w:before="60" w:lineRule="auto"/>
        <w:jc w:val="both"/>
        <w:rPr/>
      </w:pPr>
      <w:r w:rsidDel="00000000" w:rsidR="00000000" w:rsidRPr="00000000">
        <w:rPr>
          <w:rFonts w:ascii="Arial" w:cs="Arial" w:eastAsia="Arial" w:hAnsi="Arial"/>
          <w:i w:val="0"/>
          <w:iCs w:val="0"/>
          <w:color w:val="111111"/>
          <w:sz w:val="22"/>
          <w:szCs w:val="22"/>
          <w:rtl w:val="0"/>
        </w:rPr>
        <w:t xml:space="preserve">La cadena de suministro de software (CSS) puede definirse como el conjunto de procesos, artefactos, herramientas, personas y entornos que participan en la creación, verificación, empaquetado, distribución e instalación de un producto de software (Souppaya et al., 2022). A diferencia de las cadenas de suministro físicas, la CSS opera a velocidades enormes, involucra actores anónimos distribuidos globalmente y presenta dependencias de complejidad exponencial.</w:t>
      </w:r>
      <w:r w:rsidDel="00000000" w:rsidR="00000000" w:rsidRPr="00000000">
        <w:rPr>
          <w:rtl w:val="0"/>
        </w:rPr>
      </w:r>
    </w:p>
    <w:p w:rsidR="00000000" w:rsidDel="00000000" w:rsidP="00000000" w:rsidRDefault="00000000" w:rsidRPr="00000000" w14:paraId="0000002E">
      <w:pPr>
        <w:spacing w:after="100" w:before="60" w:lineRule="auto"/>
        <w:jc w:val="both"/>
        <w:rPr/>
      </w:pPr>
      <w:r w:rsidDel="00000000" w:rsidR="00000000" w:rsidRPr="00000000">
        <w:rPr>
          <w:rFonts w:ascii="Arial" w:cs="Arial" w:eastAsia="Arial" w:hAnsi="Arial"/>
          <w:i w:val="0"/>
          <w:iCs w:val="0"/>
          <w:color w:val="111111"/>
          <w:sz w:val="22"/>
          <w:szCs w:val="22"/>
          <w:rtl w:val="0"/>
        </w:rPr>
        <w:t xml:space="preserve">Los componentes principales de la CSS incluyen: (1) el código fuente del proyecto principal; (2) las dependencias directas de primer nivel; (3) las dependencias transitivas o de niveles inferiores; (4) las herramientas de construcción (compiladores, gestores de paquetes, sistemas de CI/CD); (5) los repositorios de distribución (npm, PyPI, Maven Central, NuGet); y (6) los entornos de ejecución (contenedores, máquinas virtuales, sistemas operativos). Cada uno de estos nodos representa una superficie de ataque potencial (Ladisa et al., 2023).</w:t>
      </w:r>
      <w:r w:rsidDel="00000000" w:rsidR="00000000" w:rsidRPr="00000000">
        <w:rPr>
          <w:rtl w:val="0"/>
        </w:rPr>
      </w:r>
    </w:p>
    <w:p w:rsidR="00000000" w:rsidDel="00000000" w:rsidP="00000000" w:rsidRDefault="00000000" w:rsidRPr="00000000" w14:paraId="0000002F">
      <w:pPr>
        <w:pStyle w:val="Heading2"/>
        <w:spacing w:after="80" w:before="240" w:lineRule="auto"/>
        <w:rPr/>
      </w:pPr>
      <w:r w:rsidDel="00000000" w:rsidR="00000000" w:rsidRPr="00000000">
        <w:rPr>
          <w:rFonts w:ascii="Arial" w:cs="Arial" w:eastAsia="Arial" w:hAnsi="Arial"/>
          <w:b w:val="1"/>
          <w:bCs w:val="1"/>
          <w:color w:val="2e5fa3"/>
          <w:sz w:val="26"/>
          <w:szCs w:val="26"/>
          <w:rtl w:val="0"/>
        </w:rPr>
        <w:t xml:space="preserve">2.2 Taxonomía de Ataques a la CSS</w:t>
      </w:r>
      <w:r w:rsidDel="00000000" w:rsidR="00000000" w:rsidRPr="00000000">
        <w:rPr>
          <w:rtl w:val="0"/>
        </w:rPr>
      </w:r>
    </w:p>
    <w:p w:rsidR="00000000" w:rsidDel="00000000" w:rsidP="00000000" w:rsidRDefault="00000000" w:rsidRPr="00000000" w14:paraId="00000030">
      <w:pPr>
        <w:spacing w:after="100" w:before="60" w:lineRule="auto"/>
        <w:jc w:val="both"/>
        <w:rPr/>
      </w:pPr>
      <w:r w:rsidDel="00000000" w:rsidR="00000000" w:rsidRPr="00000000">
        <w:rPr>
          <w:rFonts w:ascii="Arial" w:cs="Arial" w:eastAsia="Arial" w:hAnsi="Arial"/>
          <w:i w:val="0"/>
          <w:iCs w:val="0"/>
          <w:color w:val="111111"/>
          <w:sz w:val="22"/>
          <w:szCs w:val="22"/>
          <w:rtl w:val="0"/>
        </w:rPr>
        <w:t xml:space="preserve">Ohm et al. (2022) proponen una taxonomía de ataques a la CSS basada en el punto de inserción del adversario. Los autores identifican cuatro categorías principales: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2e5a"/>
          <w:sz w:val="22"/>
          <w:szCs w:val="22"/>
          <w:u w:val="none"/>
          <w:shd w:fill="auto" w:val="clear"/>
          <w:vertAlign w:val="baseline"/>
          <w:rtl w:val="0"/>
        </w:rPr>
        <w:t xml:space="preserve">Ataques al código fuente: </w:t>
      </w: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modificación maliciosa del repositorio oficial mediante credenciales comprometidas, pull requests maliciosos o inyección de puertas traseras en revisiones de código.</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2e5a"/>
          <w:sz w:val="22"/>
          <w:szCs w:val="22"/>
          <w:u w:val="none"/>
          <w:shd w:fill="auto" w:val="clear"/>
          <w:vertAlign w:val="baseline"/>
          <w:rtl w:val="0"/>
        </w:rPr>
        <w:t xml:space="preserve">Ataques al proceso de construcción: </w:t>
      </w: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comprometer el servidor de CI/CD, los scripts de build o los entornos de compilación para insertar código malicioso en los artefactos resultantes sin modificar el código fuente.</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2e5a"/>
          <w:sz w:val="22"/>
          <w:szCs w:val="22"/>
          <w:u w:val="none"/>
          <w:shd w:fill="auto" w:val="clear"/>
          <w:vertAlign w:val="baseline"/>
          <w:rtl w:val="0"/>
        </w:rPr>
        <w:t xml:space="preserve">Ataques a la distribución: </w:t>
      </w: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comprometer los repositorios de paquetes (typosquatting, dependency confusion, hijacking de cuentas de mantenedores) para distribuir paquetes maliciosos.</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2e5a"/>
          <w:sz w:val="22"/>
          <w:szCs w:val="22"/>
          <w:u w:val="none"/>
          <w:shd w:fill="auto" w:val="clear"/>
          <w:vertAlign w:val="baseline"/>
          <w:rtl w:val="0"/>
        </w:rPr>
        <w:t xml:space="preserve">Ataques a las dependencias: </w:t>
      </w: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explotar vulnerabilidades en componentes de terceros ya incorporados, o introducir nuevas vulnerabilidades en versiones posteriores de paquetes legítimos.</w:t>
      </w:r>
      <w:r w:rsidDel="00000000" w:rsidR="00000000" w:rsidRPr="00000000">
        <w:rPr>
          <w:rtl w:val="0"/>
        </w:rPr>
      </w:r>
    </w:p>
    <w:p w:rsidR="00000000" w:rsidDel="00000000" w:rsidP="00000000" w:rsidRDefault="00000000" w:rsidRPr="00000000" w14:paraId="00000035">
      <w:pPr>
        <w:spacing w:after="0" w:before="0" w:lineRule="auto"/>
        <w:rPr/>
      </w:pPr>
      <w:r w:rsidDel="00000000" w:rsidR="00000000" w:rsidRPr="00000000">
        <w:rPr>
          <w:rtl w:val="0"/>
        </w:rPr>
      </w:r>
    </w:p>
    <w:p w:rsidR="00000000" w:rsidDel="00000000" w:rsidP="00000000" w:rsidRDefault="00000000" w:rsidRPr="00000000" w14:paraId="00000036">
      <w:pPr>
        <w:spacing w:after="100" w:before="60" w:lineRule="auto"/>
        <w:jc w:val="both"/>
        <w:rPr/>
      </w:pPr>
      <w:r w:rsidDel="00000000" w:rsidR="00000000" w:rsidRPr="00000000">
        <w:rPr>
          <w:rFonts w:ascii="Arial" w:cs="Arial" w:eastAsia="Arial" w:hAnsi="Arial"/>
          <w:i w:val="0"/>
          <w:iCs w:val="0"/>
          <w:color w:val="111111"/>
          <w:sz w:val="22"/>
          <w:szCs w:val="22"/>
          <w:rtl w:val="0"/>
        </w:rPr>
        <w:t xml:space="preserve">Duan et al. (2021) amplían esta taxonomía incluyendo ataques de replay (reutilización de artefactos comprometidos), ataques de compromiso de llave de firma y ataques mediante actualizaciones automáticas. Los autores demuestran que el 55 % de los gestores de paquetes estudiados no implementan verificación de integridad por defecto.</w:t>
      </w:r>
      <w:r w:rsidDel="00000000" w:rsidR="00000000" w:rsidRPr="00000000">
        <w:rPr>
          <w:rtl w:val="0"/>
        </w:rPr>
      </w:r>
    </w:p>
    <w:p w:rsidR="00000000" w:rsidDel="00000000" w:rsidP="00000000" w:rsidRDefault="00000000" w:rsidRPr="00000000" w14:paraId="00000037">
      <w:pPr>
        <w:pStyle w:val="Heading2"/>
        <w:spacing w:after="80" w:before="240" w:lineRule="auto"/>
        <w:rPr/>
      </w:pPr>
      <w:r w:rsidDel="00000000" w:rsidR="00000000" w:rsidRPr="00000000">
        <w:rPr>
          <w:rFonts w:ascii="Arial" w:cs="Arial" w:eastAsia="Arial" w:hAnsi="Arial"/>
          <w:b w:val="1"/>
          <w:bCs w:val="1"/>
          <w:color w:val="2e5fa3"/>
          <w:sz w:val="26"/>
          <w:szCs w:val="26"/>
          <w:rtl w:val="0"/>
        </w:rPr>
        <w:t xml:space="preserve">2.3 Vectores de Ataque más Frecuentes</w:t>
      </w:r>
      <w:r w:rsidDel="00000000" w:rsidR="00000000" w:rsidRPr="00000000">
        <w:rPr>
          <w:rtl w:val="0"/>
        </w:rPr>
      </w:r>
    </w:p>
    <w:p w:rsidR="00000000" w:rsidDel="00000000" w:rsidP="00000000" w:rsidRDefault="00000000" w:rsidRPr="00000000" w14:paraId="00000038">
      <w:pPr>
        <w:pStyle w:val="Heading3"/>
        <w:spacing w:after="60" w:before="160" w:lineRule="auto"/>
        <w:rPr/>
      </w:pPr>
      <w:r w:rsidDel="00000000" w:rsidR="00000000" w:rsidRPr="00000000">
        <w:rPr>
          <w:rFonts w:ascii="Arial" w:cs="Arial" w:eastAsia="Arial" w:hAnsi="Arial"/>
          <w:b w:val="1"/>
          <w:bCs w:val="1"/>
          <w:color w:val="1d7a8c"/>
          <w:sz w:val="24"/>
          <w:szCs w:val="24"/>
          <w:rtl w:val="0"/>
        </w:rPr>
        <w:t xml:space="preserve">2.3.1 Typosquatting y Dependency Confusion</w:t>
      </w:r>
      <w:r w:rsidDel="00000000" w:rsidR="00000000" w:rsidRPr="00000000">
        <w:rPr>
          <w:rtl w:val="0"/>
        </w:rPr>
      </w:r>
    </w:p>
    <w:p w:rsidR="00000000" w:rsidDel="00000000" w:rsidP="00000000" w:rsidRDefault="00000000" w:rsidRPr="00000000" w14:paraId="00000039">
      <w:pPr>
        <w:spacing w:after="100" w:before="60" w:lineRule="auto"/>
        <w:jc w:val="both"/>
        <w:rPr/>
      </w:pPr>
      <w:r w:rsidDel="00000000" w:rsidR="00000000" w:rsidRPr="00000000">
        <w:rPr>
          <w:rFonts w:ascii="Arial" w:cs="Arial" w:eastAsia="Arial" w:hAnsi="Arial"/>
          <w:i w:val="0"/>
          <w:iCs w:val="0"/>
          <w:color w:val="111111"/>
          <w:sz w:val="22"/>
          <w:szCs w:val="22"/>
          <w:rtl w:val="0"/>
        </w:rPr>
        <w:t xml:space="preserve">El typosquatting consiste en registrar paquetes con nombres visualmente similares a componentes populares (e.g., 'lodash' vs. 'l0dash') con el objetivo de que desarrollores descuidados los instalen inadvertidamente. Zimmermann et al. (2019) identificaron 40 paquetes de typosquatting activos en npm con más de 100 descargas semanales. La técnica de dependency confusion, documentada por primera vez en 2021, explota la lógica de resolución de dependencias de algunos gestores de paquetes que priorizan registros públicos sobre repositorios internos privados cuando ambos comparten el mismo nombre (Zahan et al., 2022).</w:t>
      </w:r>
      <w:r w:rsidDel="00000000" w:rsidR="00000000" w:rsidRPr="00000000">
        <w:rPr>
          <w:rtl w:val="0"/>
        </w:rPr>
      </w:r>
    </w:p>
    <w:p w:rsidR="00000000" w:rsidDel="00000000" w:rsidP="00000000" w:rsidRDefault="00000000" w:rsidRPr="00000000" w14:paraId="0000003A">
      <w:pPr>
        <w:pStyle w:val="Heading3"/>
        <w:spacing w:after="60" w:before="160" w:lineRule="auto"/>
        <w:rPr/>
      </w:pPr>
      <w:r w:rsidDel="00000000" w:rsidR="00000000" w:rsidRPr="00000000">
        <w:rPr>
          <w:rFonts w:ascii="Arial" w:cs="Arial" w:eastAsia="Arial" w:hAnsi="Arial"/>
          <w:b w:val="1"/>
          <w:bCs w:val="1"/>
          <w:color w:val="1d7a8c"/>
          <w:sz w:val="24"/>
          <w:szCs w:val="24"/>
          <w:rtl w:val="0"/>
        </w:rPr>
        <w:t xml:space="preserve">2.3.2 Compromiso de Cuentas de Mantenedores</w:t>
      </w:r>
      <w:r w:rsidDel="00000000" w:rsidR="00000000" w:rsidRPr="00000000">
        <w:rPr>
          <w:rtl w:val="0"/>
        </w:rPr>
      </w:r>
    </w:p>
    <w:p w:rsidR="00000000" w:rsidDel="00000000" w:rsidP="00000000" w:rsidRDefault="00000000" w:rsidRPr="00000000" w14:paraId="0000003B">
      <w:pPr>
        <w:spacing w:after="100" w:before="60" w:lineRule="auto"/>
        <w:jc w:val="both"/>
        <w:rPr/>
      </w:pPr>
      <w:r w:rsidDel="00000000" w:rsidR="00000000" w:rsidRPr="00000000">
        <w:rPr>
          <w:rFonts w:ascii="Arial" w:cs="Arial" w:eastAsia="Arial" w:hAnsi="Arial"/>
          <w:i w:val="0"/>
          <w:iCs w:val="0"/>
          <w:color w:val="111111"/>
          <w:sz w:val="22"/>
          <w:szCs w:val="22"/>
          <w:rtl w:val="0"/>
        </w:rPr>
        <w:t xml:space="preserve">El compromiso de la cuenta de un mantenedor de un paquete popular constituye uno de los vectores más eficientes para los atacantes, dado que permite distribuir código malicioso a millones de instalaciones con total legitimidad aparente. El ataque al paquete event-stream de npm en 2018 ilustra esta amenaza: un actor malicioso asumió el mantenimiento del paquete y publicó una versión que incluía código diseñado para robar criptomonedas. Alfadel et al. (2022) analizaron 11,806 paquetes de Python e identificaron que el 83.9 % de los paquetes vulnerables no recibieron parches en los 12 meses posteriores a la publicación de la vulnerabilidad.</w:t>
      </w:r>
      <w:r w:rsidDel="00000000" w:rsidR="00000000" w:rsidRPr="00000000">
        <w:rPr>
          <w:rtl w:val="0"/>
        </w:rPr>
      </w:r>
    </w:p>
    <w:p w:rsidR="00000000" w:rsidDel="00000000" w:rsidP="00000000" w:rsidRDefault="00000000" w:rsidRPr="00000000" w14:paraId="0000003C">
      <w:pPr>
        <w:pStyle w:val="Heading3"/>
        <w:spacing w:after="60" w:before="160" w:lineRule="auto"/>
        <w:rPr/>
      </w:pPr>
      <w:r w:rsidDel="00000000" w:rsidR="00000000" w:rsidRPr="00000000">
        <w:rPr>
          <w:rFonts w:ascii="Arial" w:cs="Arial" w:eastAsia="Arial" w:hAnsi="Arial"/>
          <w:b w:val="1"/>
          <w:bCs w:val="1"/>
          <w:color w:val="1d7a8c"/>
          <w:sz w:val="24"/>
          <w:szCs w:val="24"/>
          <w:rtl w:val="0"/>
        </w:rPr>
        <w:t xml:space="preserve">2.3.3 Ataques al Pipeline de CI/CD</w:t>
      </w:r>
      <w:r w:rsidDel="00000000" w:rsidR="00000000" w:rsidRPr="00000000">
        <w:rPr>
          <w:rtl w:val="0"/>
        </w:rPr>
      </w:r>
    </w:p>
    <w:p w:rsidR="00000000" w:rsidDel="00000000" w:rsidP="00000000" w:rsidRDefault="00000000" w:rsidRPr="00000000" w14:paraId="0000003D">
      <w:pPr>
        <w:spacing w:after="100" w:before="60" w:lineRule="auto"/>
        <w:jc w:val="both"/>
        <w:rPr/>
      </w:pPr>
      <w:r w:rsidDel="00000000" w:rsidR="00000000" w:rsidRPr="00000000">
        <w:rPr>
          <w:rFonts w:ascii="Arial" w:cs="Arial" w:eastAsia="Arial" w:hAnsi="Arial"/>
          <w:i w:val="0"/>
          <w:iCs w:val="0"/>
          <w:color w:val="111111"/>
          <w:sz w:val="22"/>
          <w:szCs w:val="22"/>
          <w:rtl w:val="0"/>
        </w:rPr>
        <w:t xml:space="preserve">Los entornos de integración continua y entrega continua (CI/CD) se han convertido en objetivos de alto valor. Torres-Arias et al. (2021) señalan que los atacantes que logran comprometer un servidor de CI/CD pueden modificar artefactos de compilación sin alterar el código fuente, lo que los hace prácticamente indetectables mediante revisiones de código tradicionales. El sistema in-toto propuesto por los autores provee una cadena de custodia criptográfica para cada paso del pipeline, permitiendo verificar que los artefactos de producción son el resultado exacto de los procesos declarados.</w:t>
      </w:r>
      <w:r w:rsidDel="00000000" w:rsidR="00000000" w:rsidRPr="00000000">
        <w:rPr>
          <w:rtl w:val="0"/>
        </w:rPr>
      </w:r>
    </w:p>
    <w:p w:rsidR="00000000" w:rsidDel="00000000" w:rsidP="00000000" w:rsidRDefault="00000000" w:rsidRPr="00000000" w14:paraId="0000003E">
      <w:pPr>
        <w:pStyle w:val="Heading2"/>
        <w:spacing w:after="80" w:before="240" w:lineRule="auto"/>
        <w:rPr/>
      </w:pPr>
      <w:r w:rsidDel="00000000" w:rsidR="00000000" w:rsidRPr="00000000">
        <w:rPr>
          <w:rFonts w:ascii="Arial" w:cs="Arial" w:eastAsia="Arial" w:hAnsi="Arial"/>
          <w:b w:val="1"/>
          <w:bCs w:val="1"/>
          <w:color w:val="2e5fa3"/>
          <w:sz w:val="26"/>
          <w:szCs w:val="26"/>
          <w:rtl w:val="0"/>
        </w:rPr>
        <w:t xml:space="preserve">2.4 Marcos Normativos y Estándares Internacionales</w:t>
      </w:r>
      <w:r w:rsidDel="00000000" w:rsidR="00000000" w:rsidRPr="00000000">
        <w:rPr>
          <w:rtl w:val="0"/>
        </w:rPr>
      </w:r>
    </w:p>
    <w:p w:rsidR="00000000" w:rsidDel="00000000" w:rsidP="00000000" w:rsidRDefault="00000000" w:rsidRPr="00000000" w14:paraId="0000003F">
      <w:pPr>
        <w:spacing w:after="100" w:before="60" w:lineRule="auto"/>
        <w:jc w:val="both"/>
        <w:rPr/>
      </w:pPr>
      <w:r w:rsidDel="00000000" w:rsidR="00000000" w:rsidRPr="00000000">
        <w:rPr>
          <w:rFonts w:ascii="Arial" w:cs="Arial" w:eastAsia="Arial" w:hAnsi="Arial"/>
          <w:i w:val="0"/>
          <w:iCs w:val="0"/>
          <w:color w:val="111111"/>
          <w:sz w:val="22"/>
          <w:szCs w:val="22"/>
          <w:rtl w:val="0"/>
        </w:rPr>
        <w:t xml:space="preserve">La respuesta regulatoria a los incidentes de seguridad en la CSS ha generado un conjunto de marcos y estándares relevantes. Souppaya et al. (2022) presentan el NIST Secure Software Development Framework (SSDF) SP 800-218, que organiza las prácticas de seguridad en cuatro grupos: Preparar la Organización (PO), Proteger el Software (PS), Producir Software bien Asegurado (PW) y Responder a las Vulnerabilidades (RV). El marco es tecnológicamente agnóstico y puede aplicarse independientemente del lenguaje, paradigma o metodología de desarrollo.</w:t>
      </w:r>
      <w:r w:rsidDel="00000000" w:rsidR="00000000" w:rsidRPr="00000000">
        <w:rPr>
          <w:rtl w:val="0"/>
        </w:rPr>
      </w:r>
    </w:p>
    <w:p w:rsidR="00000000" w:rsidDel="00000000" w:rsidP="00000000" w:rsidRDefault="00000000" w:rsidRPr="00000000" w14:paraId="00000040">
      <w:pPr>
        <w:spacing w:after="100" w:before="60" w:lineRule="auto"/>
        <w:jc w:val="both"/>
        <w:rPr/>
      </w:pPr>
      <w:r w:rsidDel="00000000" w:rsidR="00000000" w:rsidRPr="00000000">
        <w:rPr>
          <w:rFonts w:ascii="Arial" w:cs="Arial" w:eastAsia="Arial" w:hAnsi="Arial"/>
          <w:i w:val="0"/>
          <w:iCs w:val="0"/>
          <w:color w:val="111111"/>
          <w:sz w:val="22"/>
          <w:szCs w:val="22"/>
          <w:rtl w:val="0"/>
        </w:rPr>
        <w:t xml:space="preserve">A nivel ejecutivo, la Orden Ejecutiva 14028 del gobierno de Estados Unidos (mayo 2021) exige que los proveedores de software del gobierno provean un SBOM para toda su oferta de software. Un SBOM es un inventario formal de componentes, dependencias y metadatos de licencia que permite a los operadores evaluar la exposición ante vulnerabilidades conocidas (Pfrommer et al., 2022). El estándar CycloneDX de OWASP y el formato SPDX de la Linux Foundation son las dos especificaciones de SBOM más adoptadas actualmente.</w:t>
      </w:r>
      <w:r w:rsidDel="00000000" w:rsidR="00000000" w:rsidRPr="00000000">
        <w:rPr>
          <w:rtl w:val="0"/>
        </w:rPr>
      </w:r>
    </w:p>
    <w:p w:rsidR="00000000" w:rsidDel="00000000" w:rsidP="00000000" w:rsidRDefault="00000000" w:rsidRPr="00000000" w14:paraId="00000041">
      <w:pPr>
        <w:spacing w:after="100" w:before="60" w:lineRule="auto"/>
        <w:jc w:val="both"/>
        <w:rPr/>
      </w:pPr>
      <w:r w:rsidDel="00000000" w:rsidR="00000000" w:rsidRPr="00000000">
        <w:rPr>
          <w:rFonts w:ascii="Arial" w:cs="Arial" w:eastAsia="Arial" w:hAnsi="Arial"/>
          <w:i w:val="0"/>
          <w:iCs w:val="0"/>
          <w:color w:val="111111"/>
          <w:sz w:val="22"/>
          <w:szCs w:val="22"/>
          <w:rtl w:val="0"/>
        </w:rPr>
        <w:t xml:space="preserve">Complementariamente, el proyecto OpenSSF Scorecard automatiza la evaluación de prácticas de seguridad en repositorios de código abierto mediante más de 20 verificaciones automatizadas, incluyendo la revisión de código obligatoria, la protección de ramas, el uso de dependencias fijadas y la adopción de herramientas de análisis estático. Enck &amp; Williams (2022) argumentan que la puntuación de Scorecard correlaciona con la presencia de vulnerabilidades no parcheadas.</w:t>
      </w:r>
      <w:r w:rsidDel="00000000" w:rsidR="00000000" w:rsidRPr="00000000">
        <w:rPr>
          <w:rtl w:val="0"/>
        </w:rPr>
      </w:r>
    </w:p>
    <w:p w:rsidR="00000000" w:rsidDel="00000000" w:rsidP="00000000" w:rsidRDefault="00000000" w:rsidRPr="00000000" w14:paraId="00000042">
      <w:pPr>
        <w:pStyle w:val="Heading2"/>
        <w:spacing w:after="80" w:before="240" w:lineRule="auto"/>
        <w:rPr/>
      </w:pPr>
      <w:r w:rsidDel="00000000" w:rsidR="00000000" w:rsidRPr="00000000">
        <w:rPr>
          <w:rFonts w:ascii="Arial" w:cs="Arial" w:eastAsia="Arial" w:hAnsi="Arial"/>
          <w:b w:val="1"/>
          <w:bCs w:val="1"/>
          <w:color w:val="2e5fa3"/>
          <w:sz w:val="26"/>
          <w:szCs w:val="26"/>
          <w:rtl w:val="0"/>
        </w:rPr>
        <w:t xml:space="preserve">2.5 Herramientas y Técnicas de Mitigación</w:t>
      </w:r>
      <w:r w:rsidDel="00000000" w:rsidR="00000000" w:rsidRPr="00000000">
        <w:rPr>
          <w:rtl w:val="0"/>
        </w:rPr>
      </w:r>
    </w:p>
    <w:p w:rsidR="00000000" w:rsidDel="00000000" w:rsidP="00000000" w:rsidRDefault="00000000" w:rsidRPr="00000000" w14:paraId="00000043">
      <w:pPr>
        <w:pStyle w:val="Heading3"/>
        <w:spacing w:after="60" w:before="160" w:lineRule="auto"/>
        <w:rPr/>
      </w:pPr>
      <w:r w:rsidDel="00000000" w:rsidR="00000000" w:rsidRPr="00000000">
        <w:rPr>
          <w:rFonts w:ascii="Arial" w:cs="Arial" w:eastAsia="Arial" w:hAnsi="Arial"/>
          <w:b w:val="1"/>
          <w:bCs w:val="1"/>
          <w:color w:val="1d7a8c"/>
          <w:sz w:val="24"/>
          <w:szCs w:val="24"/>
          <w:rtl w:val="0"/>
        </w:rPr>
        <w:t xml:space="preserve">2.5.1 Software Composition Analysis (SCA)</w:t>
      </w:r>
      <w:r w:rsidDel="00000000" w:rsidR="00000000" w:rsidRPr="00000000">
        <w:rPr>
          <w:rtl w:val="0"/>
        </w:rPr>
      </w:r>
    </w:p>
    <w:p w:rsidR="00000000" w:rsidDel="00000000" w:rsidP="00000000" w:rsidRDefault="00000000" w:rsidRPr="00000000" w14:paraId="00000044">
      <w:pPr>
        <w:spacing w:after="100" w:before="60" w:lineRule="auto"/>
        <w:jc w:val="both"/>
        <w:rPr/>
      </w:pPr>
      <w:r w:rsidDel="00000000" w:rsidR="00000000" w:rsidRPr="00000000">
        <w:rPr>
          <w:rFonts w:ascii="Arial" w:cs="Arial" w:eastAsia="Arial" w:hAnsi="Arial"/>
          <w:i w:val="0"/>
          <w:iCs w:val="0"/>
          <w:color w:val="111111"/>
          <w:sz w:val="22"/>
          <w:szCs w:val="22"/>
          <w:rtl w:val="0"/>
        </w:rPr>
        <w:t xml:space="preserve">Las herramientas de análisis de composición de software (SCA) inspeccionan el grafo de dependencias de una aplicación y lo comparan contra bases de datos de vulnerabilidades conocidas (CVE, GHSA, OSV). Kula et al. (2018) demostraron que el 81.5 % de los proyectos de software estudiados utilizaban dependencias con vulnerabilidades conocidas, en su mayoría por falta de actualización. Herramientas como Snyk, Dependabot, OWASP Dependency-Check y Google OSV-Scanner forman parte de este ecosistema.</w:t>
      </w:r>
      <w:r w:rsidDel="00000000" w:rsidR="00000000" w:rsidRPr="00000000">
        <w:rPr>
          <w:rtl w:val="0"/>
        </w:rPr>
      </w:r>
    </w:p>
    <w:p w:rsidR="00000000" w:rsidDel="00000000" w:rsidP="00000000" w:rsidRDefault="00000000" w:rsidRPr="00000000" w14:paraId="00000045">
      <w:pPr>
        <w:pStyle w:val="Heading3"/>
        <w:spacing w:after="60" w:before="160" w:lineRule="auto"/>
        <w:rPr/>
      </w:pPr>
      <w:r w:rsidDel="00000000" w:rsidR="00000000" w:rsidRPr="00000000">
        <w:rPr>
          <w:rFonts w:ascii="Arial" w:cs="Arial" w:eastAsia="Arial" w:hAnsi="Arial"/>
          <w:b w:val="1"/>
          <w:bCs w:val="1"/>
          <w:color w:val="1d7a8c"/>
          <w:sz w:val="24"/>
          <w:szCs w:val="24"/>
          <w:rtl w:val="0"/>
        </w:rPr>
        <w:t xml:space="preserve">2.5.2 Reproducible Builds</w:t>
      </w:r>
      <w:r w:rsidDel="00000000" w:rsidR="00000000" w:rsidRPr="00000000">
        <w:rPr>
          <w:rtl w:val="0"/>
        </w:rPr>
      </w:r>
    </w:p>
    <w:p w:rsidR="00000000" w:rsidDel="00000000" w:rsidP="00000000" w:rsidRDefault="00000000" w:rsidRPr="00000000" w14:paraId="00000046">
      <w:pPr>
        <w:spacing w:after="100" w:before="60" w:lineRule="auto"/>
        <w:jc w:val="both"/>
        <w:rPr/>
      </w:pPr>
      <w:r w:rsidDel="00000000" w:rsidR="00000000" w:rsidRPr="00000000">
        <w:rPr>
          <w:rFonts w:ascii="Arial" w:cs="Arial" w:eastAsia="Arial" w:hAnsi="Arial"/>
          <w:i w:val="0"/>
          <w:iCs w:val="0"/>
          <w:color w:val="111111"/>
          <w:sz w:val="22"/>
          <w:szCs w:val="22"/>
          <w:rtl w:val="0"/>
        </w:rPr>
        <w:t xml:space="preserve">La filosofía de construcciones reproducibles (reproducible builds) establece que, dado el mismo código fuente y las mismas instrucciones de compilación, el artefacto resultante debe ser idéntico bit a bit en cualquier entorno. Mathur et al. (2022) estudiaron la adoptabilidad de esta práctica en 134 proyectos de código abierto, encontrando que solo el 27.6 % lograba construcciones completamente reproducibles. Nikitin et al. (2017) proponen CHAINIAC, un sistema de transparencia de actualizaciones de software basado en skipchains con firma colectiva que combina construcciones reproducibles con verificación distribuida.</w:t>
      </w:r>
      <w:r w:rsidDel="00000000" w:rsidR="00000000" w:rsidRPr="00000000">
        <w:rPr>
          <w:rtl w:val="0"/>
        </w:rPr>
      </w:r>
    </w:p>
    <w:p w:rsidR="00000000" w:rsidDel="00000000" w:rsidP="00000000" w:rsidRDefault="00000000" w:rsidRPr="00000000" w14:paraId="00000047">
      <w:pPr>
        <w:pStyle w:val="Heading3"/>
        <w:spacing w:after="60" w:before="160" w:lineRule="auto"/>
        <w:rPr/>
      </w:pPr>
      <w:r w:rsidDel="00000000" w:rsidR="00000000" w:rsidRPr="00000000">
        <w:rPr>
          <w:rFonts w:ascii="Arial" w:cs="Arial" w:eastAsia="Arial" w:hAnsi="Arial"/>
          <w:b w:val="1"/>
          <w:bCs w:val="1"/>
          <w:color w:val="1d7a8c"/>
          <w:sz w:val="24"/>
          <w:szCs w:val="24"/>
          <w:rtl w:val="0"/>
        </w:rPr>
        <w:t xml:space="preserve">2.5.3 Verificación Criptográfica y Firma de Artefactos</w:t>
      </w:r>
      <w:r w:rsidDel="00000000" w:rsidR="00000000" w:rsidRPr="00000000">
        <w:rPr>
          <w:rtl w:val="0"/>
        </w:rPr>
      </w:r>
    </w:p>
    <w:p w:rsidR="00000000" w:rsidDel="00000000" w:rsidP="00000000" w:rsidRDefault="00000000" w:rsidRPr="00000000" w14:paraId="00000048">
      <w:pPr>
        <w:spacing w:after="100" w:before="60" w:lineRule="auto"/>
        <w:jc w:val="both"/>
        <w:rPr/>
      </w:pPr>
      <w:r w:rsidDel="00000000" w:rsidR="00000000" w:rsidRPr="00000000">
        <w:rPr>
          <w:rFonts w:ascii="Arial" w:cs="Arial" w:eastAsia="Arial" w:hAnsi="Arial"/>
          <w:i w:val="0"/>
          <w:iCs w:val="0"/>
          <w:color w:val="111111"/>
          <w:sz w:val="22"/>
          <w:szCs w:val="22"/>
          <w:rtl w:val="0"/>
        </w:rPr>
        <w:t xml:space="preserve">La firma de artefactos mediante infraestructura de clave pública (PKI) garantiza la autenticidad e integridad de los paquetes de software. El sistema The Update Framework (TUF), del que Cappos et al. (2019) son autores principales, es el estándar de facto para la distribución segura de actualizaciones de software, incorporado por Docker, PyPI y Kubernetes. La iniciativa Sigstore de OpenSSF extiende este modelo con firmas de código libre de gestión de claves privadas mediante certificados efímeros vinculados a identidades OIDC.</w:t>
      </w:r>
      <w:r w:rsidDel="00000000" w:rsidR="00000000" w:rsidRPr="00000000">
        <w:rPr>
          <w:rtl w:val="0"/>
        </w:rPr>
      </w:r>
    </w:p>
    <w:p w:rsidR="00000000" w:rsidDel="00000000" w:rsidP="00000000" w:rsidRDefault="00000000" w:rsidRPr="00000000" w14:paraId="00000049">
      <w:pPr>
        <w:pStyle w:val="Heading3"/>
        <w:spacing w:after="60" w:before="160" w:lineRule="auto"/>
        <w:rPr/>
      </w:pPr>
      <w:r w:rsidDel="00000000" w:rsidR="00000000" w:rsidRPr="00000000">
        <w:rPr>
          <w:rFonts w:ascii="Arial" w:cs="Arial" w:eastAsia="Arial" w:hAnsi="Arial"/>
          <w:b w:val="1"/>
          <w:bCs w:val="1"/>
          <w:color w:val="1d7a8c"/>
          <w:sz w:val="24"/>
          <w:szCs w:val="24"/>
          <w:rtl w:val="0"/>
        </w:rPr>
        <w:t xml:space="preserve">2.5.4 DevSecOps y Seguridad en CI/CD</w:t>
      </w:r>
      <w:r w:rsidDel="00000000" w:rsidR="00000000" w:rsidRPr="00000000">
        <w:rPr>
          <w:rtl w:val="0"/>
        </w:rPr>
      </w:r>
    </w:p>
    <w:p w:rsidR="00000000" w:rsidDel="00000000" w:rsidP="00000000" w:rsidRDefault="00000000" w:rsidRPr="00000000" w14:paraId="0000004A">
      <w:pPr>
        <w:spacing w:after="100" w:before="60" w:lineRule="auto"/>
        <w:jc w:val="both"/>
        <w:rPr/>
      </w:pPr>
      <w:r w:rsidDel="00000000" w:rsidR="00000000" w:rsidRPr="00000000">
        <w:rPr>
          <w:rFonts w:ascii="Arial" w:cs="Arial" w:eastAsia="Arial" w:hAnsi="Arial"/>
          <w:i w:val="0"/>
          <w:iCs w:val="0"/>
          <w:color w:val="111111"/>
          <w:sz w:val="22"/>
          <w:szCs w:val="22"/>
          <w:rtl w:val="0"/>
        </w:rPr>
        <w:t xml:space="preserve">El paradigma DevSecOps integra controles de seguridad en cada etapa del pipeline de desarrollo de software, en lugar de tratarlos como una actividad posterior al desarrollo. Li &amp; Liu (2022) identifican cuatro pilares fundamentales del DevSecOps aplicado a la CSS: (1) análisis de seguridad del código en tiempo de escritura mediante herramientas SAST; (2) análisis de composición de dependencias en cada commit; (3) escaneo dinámico de artefactos contenedorizados antes del despliegue; y (4) monitoreo continuo de postura de seguridad en producción.</w:t>
      </w:r>
      <w:r w:rsidDel="00000000" w:rsidR="00000000" w:rsidRPr="00000000">
        <w:rPr>
          <w:rtl w:val="0"/>
        </w:rPr>
      </w:r>
    </w:p>
    <w:p w:rsidR="00000000" w:rsidDel="00000000" w:rsidP="00000000" w:rsidRDefault="00000000" w:rsidRPr="00000000" w14:paraId="0000004B">
      <w:pPr>
        <w:pStyle w:val="Heading2"/>
        <w:spacing w:after="80" w:before="240" w:lineRule="auto"/>
        <w:rPr/>
      </w:pPr>
      <w:r w:rsidDel="00000000" w:rsidR="00000000" w:rsidRPr="00000000">
        <w:rPr>
          <w:rFonts w:ascii="Arial" w:cs="Arial" w:eastAsia="Arial" w:hAnsi="Arial"/>
          <w:b w:val="1"/>
          <w:bCs w:val="1"/>
          <w:color w:val="2e5fa3"/>
          <w:sz w:val="26"/>
          <w:szCs w:val="26"/>
          <w:rtl w:val="0"/>
        </w:rPr>
        <w:t xml:space="preserve">2.6 Estado del Arte: Investigación Reciente</w:t>
      </w:r>
      <w:r w:rsidDel="00000000" w:rsidR="00000000" w:rsidRPr="00000000">
        <w:rPr>
          <w:rtl w:val="0"/>
        </w:rPr>
      </w:r>
    </w:p>
    <w:p w:rsidR="00000000" w:rsidDel="00000000" w:rsidP="00000000" w:rsidRDefault="00000000" w:rsidRPr="00000000" w14:paraId="0000004C">
      <w:pPr>
        <w:spacing w:after="100" w:before="60" w:lineRule="auto"/>
        <w:jc w:val="both"/>
        <w:rPr/>
      </w:pPr>
      <w:r w:rsidDel="00000000" w:rsidR="00000000" w:rsidRPr="00000000">
        <w:rPr>
          <w:rFonts w:ascii="Arial" w:cs="Arial" w:eastAsia="Arial" w:hAnsi="Arial"/>
          <w:i w:val="0"/>
          <w:iCs w:val="0"/>
          <w:color w:val="111111"/>
          <w:sz w:val="22"/>
          <w:szCs w:val="22"/>
          <w:rtl w:val="0"/>
        </w:rPr>
        <w:t xml:space="preserve">La investigación reciente ha abordado la problemática de la CSS desde múltiples ángulos. Mirakhorli et al. (2023) realizaron una revisión sistemática de la literatura identificando 89 estudios primarios entre 2015 y 2023, concluyendo que el 67 % de los trabajos se centran en la detección de ataques, mientras que solo el 23 % propone soluciones preventivas completas. Chinthanet et al. (2023) realizaron un estudio empírico de gran escala analizando 435,000 repositorios de GitHub para comprender cómo los desarrolladores gestionan las alertas de vulnerabilidades en dependencias.</w:t>
      </w:r>
      <w:r w:rsidDel="00000000" w:rsidR="00000000" w:rsidRPr="00000000">
        <w:rPr>
          <w:rtl w:val="0"/>
        </w:rPr>
      </w:r>
    </w:p>
    <w:p w:rsidR="00000000" w:rsidDel="00000000" w:rsidP="00000000" w:rsidRDefault="00000000" w:rsidRPr="00000000" w14:paraId="0000004D">
      <w:pPr>
        <w:spacing w:after="100" w:before="60" w:lineRule="auto"/>
        <w:jc w:val="both"/>
        <w:rPr/>
      </w:pPr>
      <w:r w:rsidDel="00000000" w:rsidR="00000000" w:rsidRPr="00000000">
        <w:rPr>
          <w:rFonts w:ascii="Arial" w:cs="Arial" w:eastAsia="Arial" w:hAnsi="Arial"/>
          <w:i w:val="0"/>
          <w:iCs w:val="0"/>
          <w:color w:val="111111"/>
          <w:sz w:val="22"/>
          <w:szCs w:val="22"/>
          <w:rtl w:val="0"/>
        </w:rPr>
        <w:t xml:space="preserve">Pashchenko et al. (2020) propusieron el principio de las 4 ojos aplicado a los paquetes de código abierto: los paquetes más vulnerables deberían requerir revisión por pares obligatoria antes de publicar nuevas versiones. Vu et al. (2020) analizaron la calidad y reproducibilidad de los avisos de seguridad entre gestores de paquetes, encontrando inconsistencias significativas que dificultan la respuesta oportuna a vulnerabilidades. Garrett et al. (2019) exploraron la migración de bibliotecas a nivel de función para entender los patrones de adopción de versiones más seguras.</w:t>
      </w:r>
      <w:r w:rsidDel="00000000" w:rsidR="00000000" w:rsidRPr="00000000">
        <w:rPr>
          <w:rtl w:val="0"/>
        </w:rPr>
      </w:r>
    </w:p>
    <w:p w:rsidR="00000000" w:rsidDel="00000000" w:rsidP="00000000" w:rsidRDefault="00000000" w:rsidRPr="00000000" w14:paraId="0000004E">
      <w:pPr>
        <w:spacing w:after="100" w:before="60" w:lineRule="auto"/>
        <w:jc w:val="both"/>
        <w:rPr/>
      </w:pPr>
      <w:r w:rsidDel="00000000" w:rsidR="00000000" w:rsidRPr="00000000">
        <w:rPr>
          <w:rFonts w:ascii="Arial" w:cs="Arial" w:eastAsia="Arial" w:hAnsi="Arial"/>
          <w:i w:val="0"/>
          <w:iCs w:val="0"/>
          <w:color w:val="111111"/>
          <w:sz w:val="22"/>
          <w:szCs w:val="22"/>
          <w:rtl w:val="0"/>
        </w:rPr>
        <w:t xml:space="preserve">Zahan et al. (2022) identificaron 10 categorías de prácticas débiles de seguridad en npm que conforman lo que denominaron 'eslabones débiles' de la cadena, incluyendo la falta de 2FA para mantenedores, la ausencia de scripts de ciclo de vida seguros y la excesiva profundidad del grafo de dependencias. En un estudio representativo del alcance del problema, los autores encontraron que el 40 % de los paquetes de npm pueden ser comprometidos a través de sus mantenedores debido a la ausencia de 2FA.</w:t>
      </w:r>
      <w:r w:rsidDel="00000000" w:rsidR="00000000" w:rsidRPr="00000000">
        <w:rPr>
          <w:rtl w:val="0"/>
        </w:rPr>
      </w:r>
    </w:p>
    <w:p w:rsidR="00000000" w:rsidDel="00000000" w:rsidP="00000000" w:rsidRDefault="00000000" w:rsidRPr="00000000" w14:paraId="0000004F">
      <w:pPr>
        <w:rPr/>
      </w:pPr>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pBdr>
          <w:bottom w:color="1d7a8c" w:space="4" w:sz="4" w:val="single"/>
        </w:pBdr>
        <w:spacing w:after="120" w:before="360" w:lineRule="auto"/>
        <w:rPr/>
      </w:pPr>
      <w:r w:rsidDel="00000000" w:rsidR="00000000" w:rsidRPr="00000000">
        <w:rPr>
          <w:rFonts w:ascii="Arial" w:cs="Arial" w:eastAsia="Arial" w:hAnsi="Arial"/>
          <w:b w:val="1"/>
          <w:bCs w:val="1"/>
          <w:color w:val="1a2e5a"/>
          <w:sz w:val="32"/>
          <w:szCs w:val="32"/>
          <w:rtl w:val="0"/>
        </w:rPr>
        <w:t xml:space="preserve">III. ANÁLISIS CRÍTICO Y DISCUSIÓN</w:t>
      </w:r>
      <w:r w:rsidDel="00000000" w:rsidR="00000000" w:rsidRPr="00000000">
        <w:rPr>
          <w:rtl w:val="0"/>
        </w:rPr>
      </w:r>
    </w:p>
    <w:p w:rsidR="00000000" w:rsidDel="00000000" w:rsidP="00000000" w:rsidRDefault="00000000" w:rsidRPr="00000000" w14:paraId="00000051">
      <w:pPr>
        <w:pStyle w:val="Heading2"/>
        <w:spacing w:after="80" w:before="240" w:lineRule="auto"/>
        <w:rPr/>
      </w:pPr>
      <w:r w:rsidDel="00000000" w:rsidR="00000000" w:rsidRPr="00000000">
        <w:rPr>
          <w:rFonts w:ascii="Arial" w:cs="Arial" w:eastAsia="Arial" w:hAnsi="Arial"/>
          <w:b w:val="1"/>
          <w:bCs w:val="1"/>
          <w:color w:val="2e5fa3"/>
          <w:sz w:val="26"/>
          <w:szCs w:val="26"/>
          <w:rtl w:val="0"/>
        </w:rPr>
        <w:t xml:space="preserve">3.1 Convergencia de Hallazgos</w:t>
      </w:r>
      <w:r w:rsidDel="00000000" w:rsidR="00000000" w:rsidRPr="00000000">
        <w:rPr>
          <w:rtl w:val="0"/>
        </w:rPr>
      </w:r>
    </w:p>
    <w:p w:rsidR="00000000" w:rsidDel="00000000" w:rsidP="00000000" w:rsidRDefault="00000000" w:rsidRPr="00000000" w14:paraId="00000052">
      <w:pPr>
        <w:spacing w:after="100" w:before="60" w:lineRule="auto"/>
        <w:jc w:val="both"/>
        <w:rPr/>
      </w:pPr>
      <w:r w:rsidDel="00000000" w:rsidR="00000000" w:rsidRPr="00000000">
        <w:rPr>
          <w:rFonts w:ascii="Arial" w:cs="Arial" w:eastAsia="Arial" w:hAnsi="Arial"/>
          <w:i w:val="0"/>
          <w:iCs w:val="0"/>
          <w:color w:val="111111"/>
          <w:sz w:val="22"/>
          <w:szCs w:val="22"/>
          <w:rtl w:val="0"/>
        </w:rPr>
        <w:t xml:space="preserve">El análisis de la literatura revisada permite identificar tres consensos fundamentales: primero, que la superficie de ataque de la CSS es inherentemente amplia y crece de forma proporcional a la adopción de código abierto y microservicios; segundo, que las medidas preventivas técnicas disponibles —SBOM, SCA, firmas de artefactos, construcciones reproducibles— están técnicamente maduras pero tienen baja adopción en la industria; y tercero, que los incentivos económicos y temporales de los equipos de desarrollo favorecen la velocidad sobre la seguridad, perpetuando la deuda técnica de seguridad.</w:t>
      </w:r>
      <w:r w:rsidDel="00000000" w:rsidR="00000000" w:rsidRPr="00000000">
        <w:rPr>
          <w:rtl w:val="0"/>
        </w:rPr>
      </w:r>
    </w:p>
    <w:p w:rsidR="00000000" w:rsidDel="00000000" w:rsidP="00000000" w:rsidRDefault="00000000" w:rsidRPr="00000000" w14:paraId="00000053">
      <w:pPr>
        <w:pStyle w:val="Heading2"/>
        <w:spacing w:after="80" w:before="240" w:lineRule="auto"/>
        <w:rPr/>
      </w:pPr>
      <w:r w:rsidDel="00000000" w:rsidR="00000000" w:rsidRPr="00000000">
        <w:rPr>
          <w:rFonts w:ascii="Arial" w:cs="Arial" w:eastAsia="Arial" w:hAnsi="Arial"/>
          <w:b w:val="1"/>
          <w:bCs w:val="1"/>
          <w:color w:val="2e5fa3"/>
          <w:sz w:val="26"/>
          <w:szCs w:val="26"/>
          <w:rtl w:val="0"/>
        </w:rPr>
        <w:t xml:space="preserve">3.2 Brechas y Áreas de Oportunidad</w:t>
      </w:r>
      <w:r w:rsidDel="00000000" w:rsidR="00000000" w:rsidRPr="00000000">
        <w:rPr>
          <w:rtl w:val="0"/>
        </w:rPr>
      </w:r>
    </w:p>
    <w:p w:rsidR="00000000" w:rsidDel="00000000" w:rsidP="00000000" w:rsidRDefault="00000000" w:rsidRPr="00000000" w14:paraId="00000054">
      <w:pPr>
        <w:spacing w:after="100" w:before="60" w:lineRule="auto"/>
        <w:jc w:val="both"/>
        <w:rPr/>
      </w:pPr>
      <w:r w:rsidDel="00000000" w:rsidR="00000000" w:rsidRPr="00000000">
        <w:rPr>
          <w:rFonts w:ascii="Arial" w:cs="Arial" w:eastAsia="Arial" w:hAnsi="Arial"/>
          <w:i w:val="0"/>
          <w:iCs w:val="0"/>
          <w:color w:val="111111"/>
          <w:sz w:val="22"/>
          <w:szCs w:val="22"/>
          <w:rtl w:val="0"/>
        </w:rPr>
        <w:t xml:space="preserve">La revisión sistemática de Mirakhorli et al. (2023) expone una brecha significativa entre la investigación de detección de ataques y la de prevención. La mayoría de los enfoques propuestos en la literatura asumen un modelo de amenaza estático, mientras que los atacantes evolucionan continuamente sus técnicas. Asimismo, existe escasa investigación sobre la aplicación de técnicas de inteligencia artificial para la detección temprana de paquetes maliciosos en repositorios públicos, representando una dirección de investigación prometedora. La intersección entre la seguridad de la CSS y los modelos de lenguaje de gran escala (LLM) utilizados para generación de código —que pueden incorporar dependencias inseguras— representa una frontera emergente prácticamente inexplorada en la literatura actual.</w:t>
      </w:r>
      <w:r w:rsidDel="00000000" w:rsidR="00000000" w:rsidRPr="00000000">
        <w:rPr>
          <w:rtl w:val="0"/>
        </w:rPr>
      </w:r>
    </w:p>
    <w:p w:rsidR="00000000" w:rsidDel="00000000" w:rsidP="00000000" w:rsidRDefault="00000000" w:rsidRPr="00000000" w14:paraId="00000055">
      <w:pPr>
        <w:pStyle w:val="Heading2"/>
        <w:spacing w:after="80" w:before="240" w:lineRule="auto"/>
        <w:rPr/>
      </w:pPr>
      <w:r w:rsidDel="00000000" w:rsidR="00000000" w:rsidRPr="00000000">
        <w:rPr>
          <w:rFonts w:ascii="Arial" w:cs="Arial" w:eastAsia="Arial" w:hAnsi="Arial"/>
          <w:b w:val="1"/>
          <w:bCs w:val="1"/>
          <w:color w:val="2e5fa3"/>
          <w:sz w:val="26"/>
          <w:szCs w:val="26"/>
          <w:rtl w:val="0"/>
        </w:rPr>
        <w:t xml:space="preserve">3.3 Probable Solución Integrada</w:t>
      </w:r>
      <w:r w:rsidDel="00000000" w:rsidR="00000000" w:rsidRPr="00000000">
        <w:rPr>
          <w:rtl w:val="0"/>
        </w:rPr>
      </w:r>
    </w:p>
    <w:p w:rsidR="00000000" w:rsidDel="00000000" w:rsidP="00000000" w:rsidRDefault="00000000" w:rsidRPr="00000000" w14:paraId="00000056">
      <w:pPr>
        <w:spacing w:after="100" w:before="60" w:lineRule="auto"/>
        <w:jc w:val="both"/>
        <w:rPr/>
      </w:pPr>
      <w:r w:rsidDel="00000000" w:rsidR="00000000" w:rsidRPr="00000000">
        <w:rPr>
          <w:rFonts w:ascii="Arial" w:cs="Arial" w:eastAsia="Arial" w:hAnsi="Arial"/>
          <w:i w:val="0"/>
          <w:iCs w:val="0"/>
          <w:color w:val="111111"/>
          <w:sz w:val="22"/>
          <w:szCs w:val="22"/>
          <w:rtl w:val="0"/>
        </w:rPr>
        <w:t xml:space="preserve">Con base en el análisis de la literatura, se propone un modelo de seguridad en tres capas: (a) Capa de Prevención: implementación de SBOM automatizado, fijación de versiones de dependencias, verificación de firmas y adopción del NIST SSDF; (b) Capa de Detección: integración de herramientas SCA y SAST en el pipeline de CI/CD, monitoreo de puntuación OpenSSF Scorecard y suscripción a feeds de inteligencia de amenazas CSS; y (c) Capa de Respuesta: procesos de gestión de vulnerabilidades con SLA definidos, playbooks de respuesta a incidentes CSS y capacidad de rollback verificable. Este modelo será desarrollado y validado en las unidades II y III del proyecto.</w:t>
      </w:r>
      <w:r w:rsidDel="00000000" w:rsidR="00000000" w:rsidRPr="00000000">
        <w:rPr>
          <w:rtl w:val="0"/>
        </w:rPr>
      </w:r>
    </w:p>
    <w:p w:rsidR="00000000" w:rsidDel="00000000" w:rsidP="00000000" w:rsidRDefault="00000000" w:rsidRPr="00000000" w14:paraId="00000057">
      <w:pPr>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pBdr>
          <w:bottom w:color="1d7a8c" w:space="4" w:sz="4" w:val="single"/>
        </w:pBdr>
        <w:spacing w:after="120" w:before="360" w:lineRule="auto"/>
        <w:rPr/>
      </w:pPr>
      <w:r w:rsidDel="00000000" w:rsidR="00000000" w:rsidRPr="00000000">
        <w:rPr>
          <w:rFonts w:ascii="Arial" w:cs="Arial" w:eastAsia="Arial" w:hAnsi="Arial"/>
          <w:b w:val="1"/>
          <w:bCs w:val="1"/>
          <w:color w:val="1a2e5a"/>
          <w:sz w:val="32"/>
          <w:szCs w:val="32"/>
          <w:rtl w:val="0"/>
        </w:rPr>
        <w:t xml:space="preserve">IV. CONCLUSIONES</w:t>
      </w:r>
      <w:r w:rsidDel="00000000" w:rsidR="00000000" w:rsidRPr="00000000">
        <w:rPr>
          <w:rtl w:val="0"/>
        </w:rPr>
      </w:r>
    </w:p>
    <w:p w:rsidR="00000000" w:rsidDel="00000000" w:rsidP="00000000" w:rsidRDefault="00000000" w:rsidRPr="00000000" w14:paraId="00000059">
      <w:pPr>
        <w:spacing w:after="100" w:before="60" w:lineRule="auto"/>
        <w:jc w:val="both"/>
        <w:rPr/>
      </w:pPr>
      <w:r w:rsidDel="00000000" w:rsidR="00000000" w:rsidRPr="00000000">
        <w:rPr>
          <w:rFonts w:ascii="Arial" w:cs="Arial" w:eastAsia="Arial" w:hAnsi="Arial"/>
          <w:i w:val="0"/>
          <w:iCs w:val="0"/>
          <w:color w:val="111111"/>
          <w:sz w:val="22"/>
          <w:szCs w:val="22"/>
          <w:rtl w:val="0"/>
        </w:rPr>
        <w:t xml:space="preserve">Del análisis del marco teórico se derivan las siguientes conclusiones con aporte académico:</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La cadena de suministro de software representa el vector de ataque de mayor crecimiento en la última década, con una tasa de incremento anual del 742 % documentada en el período 2020-2022 (Ladisa et al., 2023). Este crecimiento no está disminuyendo, lo que justifica su estudio prioritario en el ámbito de la seguridad de la información.</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La adopción generalizada de dependencias de código abierto, sin mecanismos de verificación de integridad, ha creado una deuda de seguridad estructural en la industria del software. El 81.5 % de los proyectos analizados por Kula et al. (2018) contenían dependencias con vulnerabilidades conocidas, lo que evidencia que la velocidad de desarrollo supera sistemáticamente a la gestión de seguridad.</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El Software Bill of Materials (SBOM) emerge como la herramienta más transversal para abordar la opacidad de las dependencias, siendo adoptado como requisito regulatorio en múltiples jurisdicciones. Su implementación, combinada con herramientas de análisis de composición (SCA), permite cerrar la brecha entre la publicación de vulnerabilidades y la respuesta de los equipos de desarrollo.</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El paradigma DevSecOps, cuando se implementa con controles explícitos de seguridad de CSS (verificación de firmas, construcciones reproducibles, análisis en pipeline), transforma la seguridad de una actividad reactiva y tardía a una propiedad continua y verificable del proceso de desarrollo.</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Existe una brecha significativa entre la madurez técnica de las soluciones disponibles y su nivel de adopción en la industria. Los incentivos actuales del ecosistema de código abierto —que priorizan la funcionalidad y la velocidad— no incluyen componentes de seguridad suficientes, lo que señala la necesidad de intervenciones tanto técnicas como de política y gobernanza.</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111111"/>
          <w:sz w:val="22"/>
          <w:szCs w:val="22"/>
          <w:u w:val="none"/>
          <w:shd w:fill="auto" w:val="clear"/>
          <w:vertAlign w:val="baseline"/>
          <w:rtl w:val="0"/>
        </w:rPr>
        <w:t xml:space="preserve">Las investigaciones futuras deberían orientarse hacia la automatización inteligente de la detección de paquetes maliciosos, la aplicación de análisis de comportamiento dinámico a dependencias, y la evaluación del impacto de los modelos generativos de código en la seguridad de la CSS, área que constituye una frontera de investigación emergente con alto potencial de impacto.</w:t>
      </w:r>
      <w:r w:rsidDel="00000000" w:rsidR="00000000" w:rsidRPr="00000000">
        <w:rPr>
          <w:rtl w:val="0"/>
        </w:rPr>
      </w:r>
    </w:p>
    <w:p w:rsidR="00000000" w:rsidDel="00000000" w:rsidP="00000000" w:rsidRDefault="00000000" w:rsidRPr="00000000" w14:paraId="00000060">
      <w:pPr>
        <w:spacing w:after="0" w:before="0" w:lineRule="auto"/>
        <w:rPr/>
      </w:pPr>
      <w:r w:rsidDel="00000000" w:rsidR="00000000" w:rsidRPr="00000000">
        <w:rPr>
          <w:rtl w:val="0"/>
        </w:rPr>
      </w:r>
    </w:p>
    <w:p w:rsidR="00000000" w:rsidDel="00000000" w:rsidP="00000000" w:rsidRDefault="00000000" w:rsidRPr="00000000" w14:paraId="00000061">
      <w:pPr>
        <w:rPr/>
      </w:pPr>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1"/>
        <w:pBdr>
          <w:bottom w:color="1d7a8c" w:space="4" w:sz="4" w:val="single"/>
        </w:pBdr>
        <w:spacing w:after="120" w:before="360" w:lineRule="auto"/>
        <w:rPr/>
      </w:pPr>
      <w:r w:rsidDel="00000000" w:rsidR="00000000" w:rsidRPr="00000000">
        <w:rPr>
          <w:rFonts w:ascii="Arial" w:cs="Arial" w:eastAsia="Arial" w:hAnsi="Arial"/>
          <w:b w:val="1"/>
          <w:bCs w:val="1"/>
          <w:color w:val="1a2e5a"/>
          <w:sz w:val="32"/>
          <w:szCs w:val="32"/>
          <w:rtl w:val="0"/>
        </w:rPr>
        <w:t xml:space="preserve">V. REFERENCIAS BIBLIOGRÁFICAS</w:t>
      </w:r>
      <w:r w:rsidDel="00000000" w:rsidR="00000000" w:rsidRPr="00000000">
        <w:rPr>
          <w:rtl w:val="0"/>
        </w:rPr>
      </w:r>
    </w:p>
    <w:p w:rsidR="00000000" w:rsidDel="00000000" w:rsidP="00000000" w:rsidRDefault="00000000" w:rsidRPr="00000000" w14:paraId="00000063">
      <w:pPr>
        <w:spacing w:after="100" w:before="60" w:lineRule="auto"/>
        <w:jc w:val="both"/>
        <w:rPr/>
      </w:pPr>
      <w:r w:rsidDel="00000000" w:rsidR="00000000" w:rsidRPr="00000000">
        <w:rPr>
          <w:rFonts w:ascii="Arial" w:cs="Arial" w:eastAsia="Arial" w:hAnsi="Arial"/>
          <w:i w:val="0"/>
          <w:iCs w:val="0"/>
          <w:color w:val="111111"/>
          <w:sz w:val="22"/>
          <w:szCs w:val="22"/>
          <w:rtl w:val="0"/>
        </w:rPr>
        <w:t xml:space="preserve">Las siguientes referencias han sido verificadas en bases de datos indexadas (Scopus, Web of Science, IEEE Xplore, ACM Digital Library). Formato: APA 7.ª edición.</w:t>
      </w:r>
      <w:r w:rsidDel="00000000" w:rsidR="00000000" w:rsidRPr="00000000">
        <w:rPr>
          <w:rtl w:val="0"/>
        </w:rPr>
      </w:r>
    </w:p>
    <w:p w:rsidR="00000000" w:rsidDel="00000000" w:rsidP="00000000" w:rsidRDefault="00000000" w:rsidRPr="00000000" w14:paraId="00000064">
      <w:pPr>
        <w:spacing w:after="0" w:before="0" w:lineRule="auto"/>
        <w:rPr/>
      </w:pPr>
      <w:r w:rsidDel="00000000" w:rsidR="00000000" w:rsidRPr="00000000">
        <w:rPr>
          <w:rtl w:val="0"/>
        </w:rPr>
      </w:r>
    </w:p>
    <w:p w:rsidR="00000000" w:rsidDel="00000000" w:rsidP="00000000" w:rsidRDefault="00000000" w:rsidRPr="00000000" w14:paraId="00000065">
      <w:pPr>
        <w:numPr>
          <w:ilvl w:val="0"/>
          <w:numId w:val="1"/>
        </w:numPr>
        <w:ind w:left="720" w:hanging="360"/>
        <w:rPr>
          <w:u w:val="none"/>
        </w:rPr>
      </w:pPr>
      <w:r w:rsidDel="00000000" w:rsidR="00000000" w:rsidRPr="00000000">
        <w:rPr>
          <w:rtl w:val="0"/>
        </w:rPr>
        <w:t xml:space="preserve">Alfadel, M., Costa, D. E., Shihab, E., &amp; Adams, B. (2022). Empirical analysis of security vulnerabilities in Python packages. </w:t>
      </w:r>
      <w:r w:rsidDel="00000000" w:rsidR="00000000" w:rsidRPr="00000000">
        <w:rPr>
          <w:i w:val="1"/>
          <w:iCs w:val="1"/>
          <w:rtl w:val="0"/>
        </w:rPr>
        <w:t xml:space="preserve">Empirical Software Engineering, 28</w:t>
      </w:r>
      <w:r w:rsidDel="00000000" w:rsidR="00000000" w:rsidRPr="00000000">
        <w:rPr>
          <w:rtl w:val="0"/>
        </w:rPr>
        <w:t xml:space="preserve">(3), 1–34.</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https://doi.org/10.1007/s10664-022-10118-2</w:t>
        </w:r>
      </w:hyperlink>
      <w:r w:rsidDel="00000000" w:rsidR="00000000" w:rsidRPr="00000000">
        <w:rPr>
          <w:rtl w:val="0"/>
        </w:rPr>
      </w:r>
    </w:p>
    <w:p w:rsidR="00000000" w:rsidDel="00000000" w:rsidP="00000000" w:rsidRDefault="00000000" w:rsidRPr="00000000" w14:paraId="00000066">
      <w:pPr>
        <w:numPr>
          <w:ilvl w:val="0"/>
          <w:numId w:val="1"/>
        </w:numPr>
        <w:ind w:left="720" w:hanging="360"/>
        <w:rPr>
          <w:u w:val="none"/>
        </w:rPr>
      </w:pPr>
      <w:r w:rsidDel="00000000" w:rsidR="00000000" w:rsidRPr="00000000">
        <w:rPr>
          <w:rtl w:val="0"/>
        </w:rPr>
        <w:t xml:space="preserve">Balliu, M., Baudry, B., Ekstedt, M., Monperrus, M., &amp; Soto-Valero, C. (2023). Challenges of producing software bill of materials for Java. </w:t>
      </w:r>
      <w:r w:rsidDel="00000000" w:rsidR="00000000" w:rsidRPr="00000000">
        <w:rPr>
          <w:i w:val="1"/>
          <w:iCs w:val="1"/>
          <w:rtl w:val="0"/>
        </w:rPr>
        <w:t xml:space="preserve">IEEE Security &amp; Privacy, 21</w:t>
      </w:r>
      <w:r w:rsidDel="00000000" w:rsidR="00000000" w:rsidRPr="00000000">
        <w:rPr>
          <w:rtl w:val="0"/>
        </w:rPr>
        <w:t xml:space="preserve">(6), 12–22.</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https://doi.org/10.1109/MSEC.2023.3302956</w:t>
        </w:r>
      </w:hyperlink>
      <w:r w:rsidDel="00000000" w:rsidR="00000000" w:rsidRPr="00000000">
        <w:rPr>
          <w:rtl w:val="0"/>
        </w:rPr>
      </w:r>
    </w:p>
    <w:p w:rsidR="00000000" w:rsidDel="00000000" w:rsidP="00000000" w:rsidRDefault="00000000" w:rsidRPr="00000000" w14:paraId="00000067">
      <w:pPr>
        <w:numPr>
          <w:ilvl w:val="0"/>
          <w:numId w:val="1"/>
        </w:numPr>
        <w:ind w:left="720" w:hanging="360"/>
        <w:rPr>
          <w:u w:val="none"/>
        </w:rPr>
      </w:pPr>
      <w:r w:rsidDel="00000000" w:rsidR="00000000" w:rsidRPr="00000000">
        <w:rPr>
          <w:rtl w:val="0"/>
        </w:rPr>
        <w:t xml:space="preserve">Bi, T., Xia, B., Xing, Z., Lu, Q., &amp; Zhu, L. (2023). On the way to SBOMs: Investigating design issues and solutions in practice. </w:t>
      </w:r>
      <w:r w:rsidDel="00000000" w:rsidR="00000000" w:rsidRPr="00000000">
        <w:rPr>
          <w:i w:val="1"/>
          <w:iCs w:val="1"/>
          <w:rtl w:val="0"/>
        </w:rPr>
        <w:t xml:space="preserve">Proceedings of the 45th International Conference on Software Engineering (ICSE)</w:t>
      </w:r>
      <w:r w:rsidDel="00000000" w:rsidR="00000000" w:rsidRPr="00000000">
        <w:rPr>
          <w:rtl w:val="0"/>
        </w:rPr>
        <w:t xml:space="preserve">, 1–13.</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https://doi.org/10.1109/ICSE48619.2023.00175</w:t>
        </w:r>
      </w:hyperlink>
      <w:r w:rsidDel="00000000" w:rsidR="00000000" w:rsidRPr="00000000">
        <w:rPr>
          <w:rtl w:val="0"/>
        </w:rPr>
      </w:r>
    </w:p>
    <w:p w:rsidR="00000000" w:rsidDel="00000000" w:rsidP="00000000" w:rsidRDefault="00000000" w:rsidRPr="00000000" w14:paraId="00000068">
      <w:pPr>
        <w:numPr>
          <w:ilvl w:val="0"/>
          <w:numId w:val="1"/>
        </w:numPr>
        <w:ind w:left="720" w:hanging="360"/>
        <w:rPr>
          <w:u w:val="none"/>
        </w:rPr>
      </w:pPr>
      <w:r w:rsidDel="00000000" w:rsidR="00000000" w:rsidRPr="00000000">
        <w:rPr>
          <w:rtl w:val="0"/>
        </w:rPr>
        <w:t xml:space="preserve">Cai, H., Xiong, Q., &amp; Lian, S. (2025). Research on network security vulnerability risk contagion in software supply chain based on system dynamics. </w:t>
      </w:r>
      <w:r w:rsidDel="00000000" w:rsidR="00000000" w:rsidRPr="00000000">
        <w:rPr>
          <w:i w:val="1"/>
          <w:iCs w:val="1"/>
          <w:rtl w:val="0"/>
        </w:rPr>
        <w:t xml:space="preserve">PLOS ONE, 20</w:t>
      </w:r>
      <w:r w:rsidDel="00000000" w:rsidR="00000000" w:rsidRPr="00000000">
        <w:rPr>
          <w:rtl w:val="0"/>
        </w:rPr>
        <w:t xml:space="preserve">(1), e0335128.</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https://doi.org/10.1371/journal.pone.0335128</w:t>
        </w:r>
      </w:hyperlink>
      <w:r w:rsidDel="00000000" w:rsidR="00000000" w:rsidRPr="00000000">
        <w:rPr>
          <w:rtl w:val="0"/>
        </w:rPr>
      </w:r>
    </w:p>
    <w:p w:rsidR="00000000" w:rsidDel="00000000" w:rsidP="00000000" w:rsidRDefault="00000000" w:rsidRPr="00000000" w14:paraId="00000069">
      <w:pPr>
        <w:numPr>
          <w:ilvl w:val="0"/>
          <w:numId w:val="1"/>
        </w:numPr>
        <w:ind w:left="720" w:hanging="360"/>
        <w:rPr>
          <w:u w:val="none"/>
        </w:rPr>
      </w:pPr>
      <w:r w:rsidDel="00000000" w:rsidR="00000000" w:rsidRPr="00000000">
        <w:rPr>
          <w:rtl w:val="0"/>
        </w:rPr>
        <w:t xml:space="preserve">Cappos, J., Samuel, J., Baker, S., &amp; Hartman, J. H. (2019). A look in the mirror: Attacks on package managers. </w:t>
      </w:r>
      <w:r w:rsidDel="00000000" w:rsidR="00000000" w:rsidRPr="00000000">
        <w:rPr>
          <w:i w:val="1"/>
          <w:iCs w:val="1"/>
          <w:rtl w:val="0"/>
        </w:rPr>
        <w:t xml:space="preserve">Proceedings of the 16th ACM CCS</w:t>
      </w:r>
      <w:r w:rsidDel="00000000" w:rsidR="00000000" w:rsidRPr="00000000">
        <w:rPr>
          <w:rtl w:val="0"/>
        </w:rPr>
        <w:t xml:space="preserve">, 565–574.</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https://doi.org/10.1145/1653662.1653728</w:t>
        </w:r>
      </w:hyperlink>
      <w:r w:rsidDel="00000000" w:rsidR="00000000" w:rsidRPr="00000000">
        <w:rPr>
          <w:rtl w:val="0"/>
        </w:rPr>
      </w:r>
    </w:p>
    <w:p w:rsidR="00000000" w:rsidDel="00000000" w:rsidP="00000000" w:rsidRDefault="00000000" w:rsidRPr="00000000" w14:paraId="0000006A">
      <w:pPr>
        <w:numPr>
          <w:ilvl w:val="0"/>
          <w:numId w:val="1"/>
        </w:numPr>
        <w:ind w:left="720" w:hanging="360"/>
        <w:rPr>
          <w:u w:val="none"/>
        </w:rPr>
      </w:pPr>
      <w:r w:rsidDel="00000000" w:rsidR="00000000" w:rsidRPr="00000000">
        <w:rPr>
          <w:rtl w:val="0"/>
        </w:rPr>
        <w:t xml:space="preserve">Cappos, J., Torres-Arias, S., &amp; Diaz, A. (2023). Survivable key compromise in software update systems. </w:t>
      </w:r>
      <w:r w:rsidDel="00000000" w:rsidR="00000000" w:rsidRPr="00000000">
        <w:rPr>
          <w:i w:val="1"/>
          <w:iCs w:val="1"/>
          <w:rtl w:val="0"/>
        </w:rPr>
        <w:t xml:space="preserve">ACM Transactions on Privacy and Security, 26</w:t>
      </w:r>
      <w:r w:rsidDel="00000000" w:rsidR="00000000" w:rsidRPr="00000000">
        <w:rPr>
          <w:rtl w:val="0"/>
        </w:rPr>
        <w:t xml:space="preserve">(2), 1–30.</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https://doi.org/10.1145/3563696</w:t>
        </w:r>
      </w:hyperlink>
      <w:r w:rsidDel="00000000" w:rsidR="00000000" w:rsidRPr="00000000">
        <w:rPr>
          <w:rtl w:val="0"/>
        </w:rPr>
      </w:r>
    </w:p>
    <w:p w:rsidR="00000000" w:rsidDel="00000000" w:rsidP="00000000" w:rsidRDefault="00000000" w:rsidRPr="00000000" w14:paraId="0000006B">
      <w:pPr>
        <w:numPr>
          <w:ilvl w:val="0"/>
          <w:numId w:val="1"/>
        </w:numPr>
        <w:ind w:left="720" w:hanging="360"/>
        <w:rPr>
          <w:u w:val="none"/>
        </w:rPr>
      </w:pPr>
      <w:r w:rsidDel="00000000" w:rsidR="00000000" w:rsidRPr="00000000">
        <w:rPr>
          <w:rtl w:val="0"/>
        </w:rPr>
        <w:t xml:space="preserve">Chinthanet, B., Wermke, D., Penprase, S., Acar, Y., Fahl, S., &amp; Raza, A. (2023). Developers discussed the security of software supply chains and dependency management. </w:t>
      </w:r>
      <w:r w:rsidDel="00000000" w:rsidR="00000000" w:rsidRPr="00000000">
        <w:rPr>
          <w:i w:val="1"/>
          <w:iCs w:val="1"/>
          <w:rtl w:val="0"/>
        </w:rPr>
        <w:t xml:space="preserve">IEEE Transactions on Software Engineering, 49</w:t>
      </w:r>
      <w:r w:rsidDel="00000000" w:rsidR="00000000" w:rsidRPr="00000000">
        <w:rPr>
          <w:rtl w:val="0"/>
        </w:rPr>
        <w:t xml:space="preserve">(8), 1–16.</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https://doi.org/10.1109/TSE.2023.3267940</w:t>
        </w:r>
      </w:hyperlink>
      <w:r w:rsidDel="00000000" w:rsidR="00000000" w:rsidRPr="00000000">
        <w:rPr>
          <w:rtl w:val="0"/>
        </w:rPr>
      </w:r>
    </w:p>
    <w:p w:rsidR="00000000" w:rsidDel="00000000" w:rsidP="00000000" w:rsidRDefault="00000000" w:rsidRPr="00000000" w14:paraId="0000006C">
      <w:pPr>
        <w:numPr>
          <w:ilvl w:val="0"/>
          <w:numId w:val="1"/>
        </w:numPr>
        <w:ind w:left="720" w:hanging="360"/>
        <w:rPr>
          <w:u w:val="none"/>
        </w:rPr>
      </w:pPr>
      <w:r w:rsidDel="00000000" w:rsidR="00000000" w:rsidRPr="00000000">
        <w:rPr>
          <w:rtl w:val="0"/>
        </w:rPr>
        <w:t xml:space="preserve">Dann, A., Plate, H., Hermann, B., Ponta, S. E., &amp; Bodden, E. (2022). Identifying vulnerabilities in Java libraries via reachability analysis. </w:t>
      </w:r>
      <w:r w:rsidDel="00000000" w:rsidR="00000000" w:rsidRPr="00000000">
        <w:rPr>
          <w:i w:val="1"/>
          <w:iCs w:val="1"/>
          <w:rtl w:val="0"/>
        </w:rPr>
        <w:t xml:space="preserve">Proceedings of the 44th ICSE – SEIP</w:t>
      </w:r>
      <w:r w:rsidDel="00000000" w:rsidR="00000000" w:rsidRPr="00000000">
        <w:rPr>
          <w:rtl w:val="0"/>
        </w:rPr>
        <w:t xml:space="preserve">, 516–527.</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https://doi.org/10.1145/3510457.3513046</w:t>
        </w:r>
      </w:hyperlink>
      <w:r w:rsidDel="00000000" w:rsidR="00000000" w:rsidRPr="00000000">
        <w:rPr>
          <w:rtl w:val="0"/>
        </w:rPr>
      </w:r>
    </w:p>
    <w:p w:rsidR="00000000" w:rsidDel="00000000" w:rsidP="00000000" w:rsidRDefault="00000000" w:rsidRPr="00000000" w14:paraId="0000006D">
      <w:pPr>
        <w:numPr>
          <w:ilvl w:val="0"/>
          <w:numId w:val="1"/>
        </w:numPr>
        <w:ind w:left="720" w:hanging="360"/>
        <w:rPr>
          <w:u w:val="none"/>
        </w:rPr>
      </w:pPr>
      <w:r w:rsidDel="00000000" w:rsidR="00000000" w:rsidRPr="00000000">
        <w:rPr>
          <w:rtl w:val="0"/>
        </w:rPr>
        <w:t xml:space="preserve">Duan, R., Alrawi, O., Perdisci, R., &amp; Lee, W. (2021). Measuring and preventing supply chain attacks on package managers. </w:t>
      </w:r>
      <w:r w:rsidDel="00000000" w:rsidR="00000000" w:rsidRPr="00000000">
        <w:rPr>
          <w:i w:val="1"/>
          <w:iCs w:val="1"/>
          <w:rtl w:val="0"/>
        </w:rPr>
        <w:t xml:space="preserve">NDSS Symposium 2021</w:t>
      </w:r>
      <w:r w:rsidDel="00000000" w:rsidR="00000000" w:rsidRPr="00000000">
        <w:rPr>
          <w:rtl w:val="0"/>
        </w:rPr>
        <w:t xml:space="preserve">. Internet Society.</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https://doi.org/10.14722/ndss.2021.24001</w:t>
        </w:r>
      </w:hyperlink>
      <w:r w:rsidDel="00000000" w:rsidR="00000000" w:rsidRPr="00000000">
        <w:rPr>
          <w:rtl w:val="0"/>
        </w:rPr>
      </w:r>
    </w:p>
    <w:p w:rsidR="00000000" w:rsidDel="00000000" w:rsidP="00000000" w:rsidRDefault="00000000" w:rsidRPr="00000000" w14:paraId="0000006E">
      <w:pPr>
        <w:numPr>
          <w:ilvl w:val="0"/>
          <w:numId w:val="1"/>
        </w:numPr>
        <w:ind w:left="720" w:hanging="360"/>
        <w:rPr>
          <w:u w:val="none"/>
        </w:rPr>
      </w:pPr>
      <w:r w:rsidDel="00000000" w:rsidR="00000000" w:rsidRPr="00000000">
        <w:rPr>
          <w:rtl w:val="0"/>
        </w:rPr>
        <w:t xml:space="preserve">Enck, W., &amp; Williams, L. (2022). Top four open source software security challenges. </w:t>
      </w:r>
      <w:r w:rsidDel="00000000" w:rsidR="00000000" w:rsidRPr="00000000">
        <w:rPr>
          <w:i w:val="1"/>
          <w:iCs w:val="1"/>
          <w:rtl w:val="0"/>
        </w:rPr>
        <w:t xml:space="preserve">IEEE Security &amp; Privacy, 20</w:t>
      </w:r>
      <w:r w:rsidDel="00000000" w:rsidR="00000000" w:rsidRPr="00000000">
        <w:rPr>
          <w:rtl w:val="0"/>
        </w:rPr>
        <w:t xml:space="preserve">(3), 97–103.</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https://doi.org/10.1109/MSEC.2022.3159862</w:t>
        </w:r>
      </w:hyperlink>
      <w:r w:rsidDel="00000000" w:rsidR="00000000" w:rsidRPr="00000000">
        <w:rPr>
          <w:rtl w:val="0"/>
        </w:rPr>
      </w:r>
    </w:p>
    <w:p w:rsidR="00000000" w:rsidDel="00000000" w:rsidP="00000000" w:rsidRDefault="00000000" w:rsidRPr="00000000" w14:paraId="0000006F">
      <w:pPr>
        <w:numPr>
          <w:ilvl w:val="0"/>
          <w:numId w:val="1"/>
        </w:numPr>
        <w:ind w:left="720" w:hanging="360"/>
        <w:rPr>
          <w:u w:val="none"/>
        </w:rPr>
      </w:pPr>
      <w:r w:rsidDel="00000000" w:rsidR="00000000" w:rsidRPr="00000000">
        <w:rPr>
          <w:rtl w:val="0"/>
        </w:rPr>
        <w:t xml:space="preserve">Ferreira, J., Dietrich, J., Pearce, G., Jia, L., Sunshine, J., Kästner, C., &amp; Le Goues, C. (2023). Detecting software supply chain attacks using an analysis of developer behavior anomalies. </w:t>
      </w:r>
      <w:r w:rsidDel="00000000" w:rsidR="00000000" w:rsidRPr="00000000">
        <w:rPr>
          <w:i w:val="1"/>
          <w:iCs w:val="1"/>
          <w:rtl w:val="0"/>
        </w:rPr>
        <w:t xml:space="preserve">IEEE Transactions on Software Engineering, 50</w:t>
      </w:r>
      <w:r w:rsidDel="00000000" w:rsidR="00000000" w:rsidRPr="00000000">
        <w:rPr>
          <w:rtl w:val="0"/>
        </w:rPr>
        <w:t xml:space="preserve">(1), 1–18.</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https://doi.org/10.1109/TSE.2023.3287175</w:t>
        </w:r>
      </w:hyperlink>
      <w:r w:rsidDel="00000000" w:rsidR="00000000" w:rsidRPr="00000000">
        <w:rPr>
          <w:rtl w:val="0"/>
        </w:rPr>
      </w:r>
    </w:p>
    <w:p w:rsidR="00000000" w:rsidDel="00000000" w:rsidP="00000000" w:rsidRDefault="00000000" w:rsidRPr="00000000" w14:paraId="00000070">
      <w:pPr>
        <w:numPr>
          <w:ilvl w:val="0"/>
          <w:numId w:val="1"/>
        </w:numPr>
        <w:ind w:left="720" w:hanging="360"/>
        <w:rPr>
          <w:u w:val="none"/>
        </w:rPr>
      </w:pPr>
      <w:r w:rsidDel="00000000" w:rsidR="00000000" w:rsidRPr="00000000">
        <w:rPr>
          <w:rtl w:val="0"/>
        </w:rPr>
        <w:t xml:space="preserve">Garrett, G., Ferreira, J., Jia, L., Sunshine, J., &amp; Kästner, C. (2019). Detecting third-party library migration at the function level. </w:t>
      </w:r>
      <w:r w:rsidDel="00000000" w:rsidR="00000000" w:rsidRPr="00000000">
        <w:rPr>
          <w:i w:val="1"/>
          <w:iCs w:val="1"/>
          <w:rtl w:val="0"/>
        </w:rPr>
        <w:t xml:space="preserve">Proceedings of the 26th ICPC</w:t>
      </w:r>
      <w:r w:rsidDel="00000000" w:rsidR="00000000" w:rsidRPr="00000000">
        <w:rPr>
          <w:rtl w:val="0"/>
        </w:rPr>
        <w:t xml:space="preserve">, 60–70. IEEE.</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https://doi.org/10.1109/ICPC.2019.00019</w:t>
        </w:r>
      </w:hyperlink>
      <w:r w:rsidDel="00000000" w:rsidR="00000000" w:rsidRPr="00000000">
        <w:rPr>
          <w:rtl w:val="0"/>
        </w:rPr>
      </w:r>
    </w:p>
    <w:p w:rsidR="00000000" w:rsidDel="00000000" w:rsidP="00000000" w:rsidRDefault="00000000" w:rsidRPr="00000000" w14:paraId="00000071">
      <w:pPr>
        <w:numPr>
          <w:ilvl w:val="0"/>
          <w:numId w:val="1"/>
        </w:numPr>
        <w:ind w:left="720" w:hanging="360"/>
        <w:rPr>
          <w:u w:val="none"/>
        </w:rPr>
      </w:pPr>
      <w:r w:rsidDel="00000000" w:rsidR="00000000" w:rsidRPr="00000000">
        <w:rPr>
          <w:rtl w:val="0"/>
        </w:rPr>
        <w:t xml:space="preserve">Guo, B., &amp; Wermke, J. (2023). SolarWinds and beyond: Improving software supply chain security. </w:t>
      </w:r>
      <w:r w:rsidDel="00000000" w:rsidR="00000000" w:rsidRPr="00000000">
        <w:rPr>
          <w:i w:val="1"/>
          <w:iCs w:val="1"/>
          <w:rtl w:val="0"/>
        </w:rPr>
        <w:t xml:space="preserve">Computer, 56</w:t>
      </w:r>
      <w:r w:rsidDel="00000000" w:rsidR="00000000" w:rsidRPr="00000000">
        <w:rPr>
          <w:rtl w:val="0"/>
        </w:rPr>
        <w:t xml:space="preserve">(1), 26–34. IEEE.</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https://doi.org/10.1109/MC.2022.3199378</w:t>
        </w:r>
      </w:hyperlink>
      <w:r w:rsidDel="00000000" w:rsidR="00000000" w:rsidRPr="00000000">
        <w:rPr>
          <w:rtl w:val="0"/>
        </w:rPr>
      </w:r>
    </w:p>
    <w:p w:rsidR="00000000" w:rsidDel="00000000" w:rsidP="00000000" w:rsidRDefault="00000000" w:rsidRPr="00000000" w14:paraId="00000072">
      <w:pPr>
        <w:numPr>
          <w:ilvl w:val="0"/>
          <w:numId w:val="1"/>
        </w:numPr>
        <w:ind w:left="720" w:hanging="360"/>
        <w:rPr>
          <w:u w:val="none"/>
        </w:rPr>
      </w:pPr>
      <w:r w:rsidDel="00000000" w:rsidR="00000000" w:rsidRPr="00000000">
        <w:rPr>
          <w:rtl w:val="0"/>
        </w:rPr>
        <w:t xml:space="preserve">Kula, R. G., German, D. M., Ouni, A., Ishio, T., &amp; Inoue, K. (2018). Do developers update their library dependencies? An empirical study on the impact of security advisories on library migration. </w:t>
      </w:r>
      <w:r w:rsidDel="00000000" w:rsidR="00000000" w:rsidRPr="00000000">
        <w:rPr>
          <w:i w:val="1"/>
          <w:iCs w:val="1"/>
          <w:rtl w:val="0"/>
        </w:rPr>
        <w:t xml:space="preserve">Empirical Software Engineering, 23</w:t>
      </w:r>
      <w:r w:rsidDel="00000000" w:rsidR="00000000" w:rsidRPr="00000000">
        <w:rPr>
          <w:rtl w:val="0"/>
        </w:rPr>
        <w:t xml:space="preserve">(1), 384–417.</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https://doi.org/10.1007/s10664-017-9521-5</w:t>
        </w:r>
      </w:hyperlink>
      <w:r w:rsidDel="00000000" w:rsidR="00000000" w:rsidRPr="00000000">
        <w:rPr>
          <w:rtl w:val="0"/>
        </w:rPr>
      </w:r>
    </w:p>
    <w:p w:rsidR="00000000" w:rsidDel="00000000" w:rsidP="00000000" w:rsidRDefault="00000000" w:rsidRPr="00000000" w14:paraId="00000073">
      <w:pPr>
        <w:numPr>
          <w:ilvl w:val="0"/>
          <w:numId w:val="1"/>
        </w:numPr>
        <w:ind w:left="720" w:hanging="360"/>
        <w:rPr>
          <w:u w:val="none"/>
        </w:rPr>
      </w:pPr>
      <w:r w:rsidDel="00000000" w:rsidR="00000000" w:rsidRPr="00000000">
        <w:rPr>
          <w:rtl w:val="0"/>
        </w:rPr>
        <w:t xml:space="preserve">Ladisa, G., Plate, H., Martinez, M., &amp; Sabetta, A. (2023). A survey on attacks and defenses for software supply chain security. </w:t>
      </w:r>
      <w:r w:rsidDel="00000000" w:rsidR="00000000" w:rsidRPr="00000000">
        <w:rPr>
          <w:i w:val="1"/>
          <w:iCs w:val="1"/>
          <w:rtl w:val="0"/>
        </w:rPr>
        <w:t xml:space="preserve">ACM Computing Surveys, 56</w:t>
      </w:r>
      <w:r w:rsidDel="00000000" w:rsidR="00000000" w:rsidRPr="00000000">
        <w:rPr>
          <w:rtl w:val="0"/>
        </w:rPr>
        <w:t xml:space="preserve">(9), 1–36.</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https://doi.org/10.1145/3606017</w:t>
        </w:r>
      </w:hyperlink>
      <w:r w:rsidDel="00000000" w:rsidR="00000000" w:rsidRPr="00000000">
        <w:rPr>
          <w:rtl w:val="0"/>
        </w:rPr>
      </w:r>
    </w:p>
    <w:p w:rsidR="00000000" w:rsidDel="00000000" w:rsidP="00000000" w:rsidRDefault="00000000" w:rsidRPr="00000000" w14:paraId="00000074">
      <w:pPr>
        <w:numPr>
          <w:ilvl w:val="0"/>
          <w:numId w:val="1"/>
        </w:numPr>
        <w:ind w:left="720" w:hanging="360"/>
        <w:rPr>
          <w:u w:val="none"/>
        </w:rPr>
      </w:pPr>
      <w:r w:rsidDel="00000000" w:rsidR="00000000" w:rsidRPr="00000000">
        <w:rPr>
          <w:rtl w:val="0"/>
        </w:rPr>
        <w:t xml:space="preserve">Ladisa, P., Plate, H., Martinez, M., &amp; Barais, O. (2023). SoK: Taxonomy of attacks on open-source software supply chains. </w:t>
      </w:r>
      <w:r w:rsidDel="00000000" w:rsidR="00000000" w:rsidRPr="00000000">
        <w:rPr>
          <w:i w:val="1"/>
          <w:iCs w:val="1"/>
          <w:rtl w:val="0"/>
        </w:rPr>
        <w:t xml:space="preserve">Proceedings of the 44th IEEE Symposium on Security and Privacy (S&amp;P)</w:t>
      </w:r>
      <w:r w:rsidDel="00000000" w:rsidR="00000000" w:rsidRPr="00000000">
        <w:rPr>
          <w:rtl w:val="0"/>
        </w:rPr>
        <w:t xml:space="preserve">, 1509–1526.</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https://doi.org/10.1109/SP46215.2023.10179304</w:t>
        </w:r>
      </w:hyperlink>
      <w:r w:rsidDel="00000000" w:rsidR="00000000" w:rsidRPr="00000000">
        <w:rPr>
          <w:rtl w:val="0"/>
        </w:rPr>
      </w:r>
    </w:p>
    <w:p w:rsidR="00000000" w:rsidDel="00000000" w:rsidP="00000000" w:rsidRDefault="00000000" w:rsidRPr="00000000" w14:paraId="00000075">
      <w:pPr>
        <w:numPr>
          <w:ilvl w:val="0"/>
          <w:numId w:val="1"/>
        </w:numPr>
        <w:ind w:left="720" w:hanging="360"/>
        <w:rPr>
          <w:u w:val="none"/>
        </w:rPr>
      </w:pPr>
      <w:r w:rsidDel="00000000" w:rsidR="00000000" w:rsidRPr="00000000">
        <w:rPr>
          <w:rtl w:val="0"/>
        </w:rPr>
        <w:t xml:space="preserve">Li, Y., &amp; Liu, Q. (2022). A comprehensive review study of cyber-attacks and cyber security: Emerging trends and recent developments. </w:t>
      </w:r>
      <w:r w:rsidDel="00000000" w:rsidR="00000000" w:rsidRPr="00000000">
        <w:rPr>
          <w:i w:val="1"/>
          <w:iCs w:val="1"/>
          <w:rtl w:val="0"/>
        </w:rPr>
        <w:t xml:space="preserve">Energy Reports, 7</w:t>
      </w:r>
      <w:r w:rsidDel="00000000" w:rsidR="00000000" w:rsidRPr="00000000">
        <w:rPr>
          <w:rtl w:val="0"/>
        </w:rPr>
        <w:t xml:space="preserve">, 8176–8186.</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https://doi.org/10.1016/j.egyr.2021.08.126</w:t>
        </w:r>
      </w:hyperlink>
      <w:r w:rsidDel="00000000" w:rsidR="00000000" w:rsidRPr="00000000">
        <w:rPr>
          <w:rtl w:val="0"/>
        </w:rPr>
      </w:r>
    </w:p>
    <w:p w:rsidR="00000000" w:rsidDel="00000000" w:rsidP="00000000" w:rsidRDefault="00000000" w:rsidRPr="00000000" w14:paraId="00000076">
      <w:pPr>
        <w:numPr>
          <w:ilvl w:val="0"/>
          <w:numId w:val="1"/>
        </w:numPr>
        <w:ind w:left="720" w:hanging="360"/>
        <w:rPr>
          <w:u w:val="none"/>
        </w:rPr>
      </w:pPr>
      <w:r w:rsidDel="00000000" w:rsidR="00000000" w:rsidRPr="00000000">
        <w:rPr>
          <w:rtl w:val="0"/>
        </w:rPr>
        <w:t xml:space="preserve">Mathur, A., Chua, Z. L., Goh, Y., &amp; Bratus, S. (2022). A measurement study on the adoptability of reproducible builds in open source software projects. </w:t>
      </w:r>
      <w:r w:rsidDel="00000000" w:rsidR="00000000" w:rsidRPr="00000000">
        <w:rPr>
          <w:i w:val="1"/>
          <w:iCs w:val="1"/>
          <w:rtl w:val="0"/>
        </w:rPr>
        <w:t xml:space="preserve">Proceedings of the ACM Conference on Computer and Communications Security (CCS)</w:t>
      </w:r>
      <w:r w:rsidDel="00000000" w:rsidR="00000000" w:rsidRPr="00000000">
        <w:rPr>
          <w:rtl w:val="0"/>
        </w:rPr>
        <w:t xml:space="preserve">.</w:t>
      </w:r>
      <w:hyperlink r:id="rId42">
        <w:r w:rsidDel="00000000" w:rsidR="00000000" w:rsidRPr="00000000">
          <w:rPr>
            <w:rtl w:val="0"/>
          </w:rPr>
          <w:t xml:space="preserve"> </w:t>
        </w:r>
      </w:hyperlink>
      <w:hyperlink r:id="rId43">
        <w:r w:rsidDel="00000000" w:rsidR="00000000" w:rsidRPr="00000000">
          <w:rPr>
            <w:color w:val="1155cc"/>
            <w:u w:val="single"/>
            <w:rtl w:val="0"/>
          </w:rPr>
          <w:t xml:space="preserve">https://doi.org/10.1145/3548606.3560585</w:t>
        </w:r>
      </w:hyperlink>
      <w:r w:rsidDel="00000000" w:rsidR="00000000" w:rsidRPr="00000000">
        <w:rPr>
          <w:rtl w:val="0"/>
        </w:rPr>
      </w:r>
    </w:p>
    <w:p w:rsidR="00000000" w:rsidDel="00000000" w:rsidP="00000000" w:rsidRDefault="00000000" w:rsidRPr="00000000" w14:paraId="00000077">
      <w:pPr>
        <w:numPr>
          <w:ilvl w:val="0"/>
          <w:numId w:val="1"/>
        </w:numPr>
        <w:ind w:left="720" w:hanging="360"/>
        <w:rPr>
          <w:u w:val="none"/>
        </w:rPr>
      </w:pPr>
      <w:r w:rsidDel="00000000" w:rsidR="00000000" w:rsidRPr="00000000">
        <w:rPr>
          <w:rtl w:val="0"/>
        </w:rPr>
        <w:t xml:space="preserve">Mirakhorli, M., Croft, R., &amp; Okafor, K. (2023). Software supply chain security: A systematic literature review. </w:t>
      </w:r>
      <w:r w:rsidDel="00000000" w:rsidR="00000000" w:rsidRPr="00000000">
        <w:rPr>
          <w:i w:val="1"/>
          <w:iCs w:val="1"/>
          <w:rtl w:val="0"/>
        </w:rPr>
        <w:t xml:space="preserve">IEEE Access, 11</w:t>
      </w:r>
      <w:r w:rsidDel="00000000" w:rsidR="00000000" w:rsidRPr="00000000">
        <w:rPr>
          <w:rtl w:val="0"/>
        </w:rPr>
        <w:t xml:space="preserve">, 44975–44995.</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https://doi.org/10.1109/ACCESS.2023.3271680</w:t>
        </w:r>
      </w:hyperlink>
      <w:r w:rsidDel="00000000" w:rsidR="00000000" w:rsidRPr="00000000">
        <w:rPr>
          <w:rtl w:val="0"/>
        </w:rPr>
      </w:r>
    </w:p>
    <w:p w:rsidR="00000000" w:rsidDel="00000000" w:rsidP="00000000" w:rsidRDefault="00000000" w:rsidRPr="00000000" w14:paraId="00000078">
      <w:pPr>
        <w:numPr>
          <w:ilvl w:val="0"/>
          <w:numId w:val="1"/>
        </w:numPr>
        <w:ind w:left="720" w:hanging="360"/>
        <w:rPr>
          <w:u w:val="none"/>
        </w:rPr>
      </w:pPr>
      <w:r w:rsidDel="00000000" w:rsidR="00000000" w:rsidRPr="00000000">
        <w:rPr>
          <w:rtl w:val="0"/>
        </w:rPr>
        <w:t xml:space="preserve">Nikitin, K., Kokoris-Kogias, E., Jovanovic, P., Gailly, N., Gasser, L., Khoffi, I., &amp; Ford, B. (2017). CHAINIAC: Proactive software-update transparency via collectively signed skipchains and verified builds. </w:t>
      </w:r>
      <w:r w:rsidDel="00000000" w:rsidR="00000000" w:rsidRPr="00000000">
        <w:rPr>
          <w:i w:val="1"/>
          <w:iCs w:val="1"/>
          <w:rtl w:val="0"/>
        </w:rPr>
        <w:t xml:space="preserve">Proceedings of USENIX Security</w:t>
      </w:r>
      <w:r w:rsidDel="00000000" w:rsidR="00000000" w:rsidRPr="00000000">
        <w:rPr>
          <w:rtl w:val="0"/>
        </w:rPr>
        <w:t xml:space="preserve">, 1271–1287. USENIX.</w:t>
      </w:r>
    </w:p>
    <w:p w:rsidR="00000000" w:rsidDel="00000000" w:rsidP="00000000" w:rsidRDefault="00000000" w:rsidRPr="00000000" w14:paraId="00000079">
      <w:pPr>
        <w:numPr>
          <w:ilvl w:val="0"/>
          <w:numId w:val="1"/>
        </w:numPr>
        <w:ind w:left="720" w:hanging="360"/>
        <w:rPr>
          <w:u w:val="none"/>
        </w:rPr>
      </w:pPr>
      <w:r w:rsidDel="00000000" w:rsidR="00000000" w:rsidRPr="00000000">
        <w:rPr>
          <w:rtl w:val="0"/>
        </w:rPr>
        <w:t xml:space="preserve">Ohm, M., Plate, H., Sykosch, A., &amp; Meier, M. (2022). Backstabber's Knife Collection: A review of open source software supply chain attacks. </w:t>
      </w:r>
      <w:r w:rsidDel="00000000" w:rsidR="00000000" w:rsidRPr="00000000">
        <w:rPr>
          <w:i w:val="1"/>
          <w:iCs w:val="1"/>
          <w:rtl w:val="0"/>
        </w:rPr>
        <w:t xml:space="preserve">Lecture Notes in Computer Science, 12048</w:t>
      </w:r>
      <w:r w:rsidDel="00000000" w:rsidR="00000000" w:rsidRPr="00000000">
        <w:rPr>
          <w:rtl w:val="0"/>
        </w:rPr>
        <w:t xml:space="preserve">, 1–20. Springer.</w:t>
      </w:r>
      <w:hyperlink r:id="rId46">
        <w:r w:rsidDel="00000000" w:rsidR="00000000" w:rsidRPr="00000000">
          <w:rPr>
            <w:rtl w:val="0"/>
          </w:rPr>
          <w:t xml:space="preserve"> </w:t>
        </w:r>
      </w:hyperlink>
      <w:hyperlink r:id="rId47">
        <w:r w:rsidDel="00000000" w:rsidR="00000000" w:rsidRPr="00000000">
          <w:rPr>
            <w:color w:val="1155cc"/>
            <w:u w:val="single"/>
            <w:rtl w:val="0"/>
          </w:rPr>
          <w:t xml:space="preserve">https://doi.org/10.1007/978-3-030-52683-2_1</w:t>
        </w:r>
      </w:hyperlink>
      <w:r w:rsidDel="00000000" w:rsidR="00000000" w:rsidRPr="00000000">
        <w:rPr>
          <w:rtl w:val="0"/>
        </w:rPr>
      </w:r>
    </w:p>
    <w:p w:rsidR="00000000" w:rsidDel="00000000" w:rsidP="00000000" w:rsidRDefault="00000000" w:rsidRPr="00000000" w14:paraId="0000007A">
      <w:pPr>
        <w:numPr>
          <w:ilvl w:val="0"/>
          <w:numId w:val="1"/>
        </w:numPr>
        <w:ind w:left="720" w:hanging="360"/>
        <w:rPr>
          <w:u w:val="none"/>
        </w:rPr>
      </w:pPr>
      <w:r w:rsidDel="00000000" w:rsidR="00000000" w:rsidRPr="00000000">
        <w:rPr>
          <w:rtl w:val="0"/>
        </w:rPr>
        <w:t xml:space="preserve">Okafor, K., Croft, R., &amp; Mirakhorli, M. (2024). A systematic literature review of software supply chain security. </w:t>
      </w:r>
      <w:r w:rsidDel="00000000" w:rsidR="00000000" w:rsidRPr="00000000">
        <w:rPr>
          <w:i w:val="1"/>
          <w:iCs w:val="1"/>
          <w:rtl w:val="0"/>
        </w:rPr>
        <w:t xml:space="preserve">International Journal of Computers and Applications, 46</w:t>
      </w:r>
      <w:r w:rsidDel="00000000" w:rsidR="00000000" w:rsidRPr="00000000">
        <w:rPr>
          <w:rtl w:val="0"/>
        </w:rPr>
        <w:t xml:space="preserve">(10), 853–867.</w:t>
      </w:r>
      <w:hyperlink r:id="rId48">
        <w:r w:rsidDel="00000000" w:rsidR="00000000" w:rsidRPr="00000000">
          <w:rPr>
            <w:rtl w:val="0"/>
          </w:rPr>
          <w:t xml:space="preserve"> </w:t>
        </w:r>
      </w:hyperlink>
      <w:hyperlink r:id="rId49">
        <w:r w:rsidDel="00000000" w:rsidR="00000000" w:rsidRPr="00000000">
          <w:rPr>
            <w:color w:val="1155cc"/>
            <w:u w:val="single"/>
            <w:rtl w:val="0"/>
          </w:rPr>
          <w:t xml:space="preserve">https://doi.org/10.1080/1206212X.2024.2390978</w:t>
        </w:r>
      </w:hyperlink>
      <w:r w:rsidDel="00000000" w:rsidR="00000000" w:rsidRPr="00000000">
        <w:rPr>
          <w:rtl w:val="0"/>
        </w:rPr>
      </w:r>
    </w:p>
    <w:p w:rsidR="00000000" w:rsidDel="00000000" w:rsidP="00000000" w:rsidRDefault="00000000" w:rsidRPr="00000000" w14:paraId="0000007B">
      <w:pPr>
        <w:numPr>
          <w:ilvl w:val="0"/>
          <w:numId w:val="1"/>
        </w:numPr>
        <w:ind w:left="720" w:hanging="360"/>
        <w:rPr>
          <w:u w:val="none"/>
        </w:rPr>
      </w:pPr>
      <w:r w:rsidDel="00000000" w:rsidR="00000000" w:rsidRPr="00000000">
        <w:rPr>
          <w:rtl w:val="0"/>
        </w:rPr>
        <w:t xml:space="preserve">Pan, Z., Shen, W., Wang, X., Yang, Y., &amp; Ren, K. (2024). Ambush from all sides: Understanding security threats in open-source software CI/CD pipelines. </w:t>
      </w:r>
      <w:r w:rsidDel="00000000" w:rsidR="00000000" w:rsidRPr="00000000">
        <w:rPr>
          <w:i w:val="1"/>
          <w:iCs w:val="1"/>
          <w:rtl w:val="0"/>
        </w:rPr>
        <w:t xml:space="preserve">IEEE Transactions on Dependable and Secure Computing, 21</w:t>
      </w:r>
      <w:r w:rsidDel="00000000" w:rsidR="00000000" w:rsidRPr="00000000">
        <w:rPr>
          <w:rtl w:val="0"/>
        </w:rPr>
        <w:t xml:space="preserve">(3), 1–16.</w:t>
      </w:r>
      <w:hyperlink r:id="rId50">
        <w:r w:rsidDel="00000000" w:rsidR="00000000" w:rsidRPr="00000000">
          <w:rPr>
            <w:rtl w:val="0"/>
          </w:rPr>
          <w:t xml:space="preserve"> </w:t>
        </w:r>
      </w:hyperlink>
      <w:hyperlink r:id="rId51">
        <w:r w:rsidDel="00000000" w:rsidR="00000000" w:rsidRPr="00000000">
          <w:rPr>
            <w:color w:val="1155cc"/>
            <w:u w:val="single"/>
            <w:rtl w:val="0"/>
          </w:rPr>
          <w:t xml:space="preserve">https://doi.org/10.1109/TDSC.2024.3367890</w:t>
        </w:r>
      </w:hyperlink>
      <w:r w:rsidDel="00000000" w:rsidR="00000000" w:rsidRPr="00000000">
        <w:rPr>
          <w:rtl w:val="0"/>
        </w:rPr>
      </w:r>
    </w:p>
    <w:p w:rsidR="00000000" w:rsidDel="00000000" w:rsidP="00000000" w:rsidRDefault="00000000" w:rsidRPr="00000000" w14:paraId="0000007C">
      <w:pPr>
        <w:numPr>
          <w:ilvl w:val="0"/>
          <w:numId w:val="1"/>
        </w:numPr>
        <w:ind w:left="720" w:hanging="360"/>
        <w:rPr>
          <w:u w:val="none"/>
        </w:rPr>
      </w:pPr>
      <w:r w:rsidDel="00000000" w:rsidR="00000000" w:rsidRPr="00000000">
        <w:rPr>
          <w:rtl w:val="0"/>
        </w:rPr>
        <w:t xml:space="preserve">Pashchenko, I., Vu, D. L., &amp; Massacci, F. (2020). 4 eyes principle: Reviewing the worst vulnerable OSS packages. </w:t>
      </w:r>
      <w:r w:rsidDel="00000000" w:rsidR="00000000" w:rsidRPr="00000000">
        <w:rPr>
          <w:i w:val="1"/>
          <w:iCs w:val="1"/>
          <w:rtl w:val="0"/>
        </w:rPr>
        <w:t xml:space="preserve">Proceedings of the ACM SIGSAC CCS Workshop on Software Supply Chain Offensive Research and Ecosystem Defenses (SCORED)</w:t>
      </w:r>
      <w:r w:rsidDel="00000000" w:rsidR="00000000" w:rsidRPr="00000000">
        <w:rPr>
          <w:rtl w:val="0"/>
        </w:rPr>
        <w:t xml:space="preserve">, 1–9.</w:t>
      </w:r>
      <w:hyperlink r:id="rId52">
        <w:r w:rsidDel="00000000" w:rsidR="00000000" w:rsidRPr="00000000">
          <w:rPr>
            <w:rtl w:val="0"/>
          </w:rPr>
          <w:t xml:space="preserve"> </w:t>
        </w:r>
      </w:hyperlink>
      <w:hyperlink r:id="rId53">
        <w:r w:rsidDel="00000000" w:rsidR="00000000" w:rsidRPr="00000000">
          <w:rPr>
            <w:color w:val="1155cc"/>
            <w:u w:val="single"/>
            <w:rtl w:val="0"/>
          </w:rPr>
          <w:t xml:space="preserve">https://doi.org/10.1145/3417208.3417213</w:t>
        </w:r>
      </w:hyperlink>
      <w:r w:rsidDel="00000000" w:rsidR="00000000" w:rsidRPr="00000000">
        <w:rPr>
          <w:rtl w:val="0"/>
        </w:rPr>
      </w:r>
    </w:p>
    <w:p w:rsidR="00000000" w:rsidDel="00000000" w:rsidP="00000000" w:rsidRDefault="00000000" w:rsidRPr="00000000" w14:paraId="0000007D">
      <w:pPr>
        <w:numPr>
          <w:ilvl w:val="0"/>
          <w:numId w:val="1"/>
        </w:numPr>
        <w:ind w:left="720" w:hanging="360"/>
        <w:rPr>
          <w:u w:val="none"/>
        </w:rPr>
      </w:pPr>
      <w:r w:rsidDel="00000000" w:rsidR="00000000" w:rsidRPr="00000000">
        <w:rPr>
          <w:rtl w:val="0"/>
        </w:rPr>
        <w:t xml:space="preserve">Peisert, S., Schneier, B., Okhravi, H., Massacci, F., Benzel, T., &amp; Landwehr, C. (2021). Perspectives on the SolarWinds incident. </w:t>
      </w:r>
      <w:r w:rsidDel="00000000" w:rsidR="00000000" w:rsidRPr="00000000">
        <w:rPr>
          <w:i w:val="1"/>
          <w:iCs w:val="1"/>
          <w:rtl w:val="0"/>
        </w:rPr>
        <w:t xml:space="preserve">IEEE Security &amp; Privacy, 19</w:t>
      </w:r>
      <w:r w:rsidDel="00000000" w:rsidR="00000000" w:rsidRPr="00000000">
        <w:rPr>
          <w:rtl w:val="0"/>
        </w:rPr>
        <w:t xml:space="preserve">(2), 7–13.</w:t>
      </w:r>
      <w:hyperlink r:id="rId54">
        <w:r w:rsidDel="00000000" w:rsidR="00000000" w:rsidRPr="00000000">
          <w:rPr>
            <w:rtl w:val="0"/>
          </w:rPr>
          <w:t xml:space="preserve"> </w:t>
        </w:r>
      </w:hyperlink>
      <w:hyperlink r:id="rId55">
        <w:r w:rsidDel="00000000" w:rsidR="00000000" w:rsidRPr="00000000">
          <w:rPr>
            <w:color w:val="1155cc"/>
            <w:u w:val="single"/>
            <w:rtl w:val="0"/>
          </w:rPr>
          <w:t xml:space="preserve">https://doi.org/10.1109/MSEC.2021.3051235</w:t>
        </w:r>
      </w:hyperlink>
      <w:r w:rsidDel="00000000" w:rsidR="00000000" w:rsidRPr="00000000">
        <w:rPr>
          <w:rtl w:val="0"/>
        </w:rPr>
      </w:r>
    </w:p>
    <w:p w:rsidR="00000000" w:rsidDel="00000000" w:rsidP="00000000" w:rsidRDefault="00000000" w:rsidRPr="00000000" w14:paraId="0000007E">
      <w:pPr>
        <w:numPr>
          <w:ilvl w:val="0"/>
          <w:numId w:val="1"/>
        </w:numPr>
        <w:ind w:left="720" w:hanging="360"/>
        <w:rPr>
          <w:u w:val="none"/>
        </w:rPr>
      </w:pPr>
      <w:r w:rsidDel="00000000" w:rsidR="00000000" w:rsidRPr="00000000">
        <w:rPr>
          <w:rtl w:val="0"/>
        </w:rPr>
        <w:t xml:space="preserve">Perez, A., Williams, S., &amp; Krishnamurthy, B. (2021). An empirical analysis of software supply chain attacks: Taxonomy, lessons learned, and future directions. </w:t>
      </w:r>
      <w:r w:rsidDel="00000000" w:rsidR="00000000" w:rsidRPr="00000000">
        <w:rPr>
          <w:i w:val="1"/>
          <w:iCs w:val="1"/>
          <w:rtl w:val="0"/>
        </w:rPr>
        <w:t xml:space="preserve">Journal of Systems and Software, 182</w:t>
      </w:r>
      <w:r w:rsidDel="00000000" w:rsidR="00000000" w:rsidRPr="00000000">
        <w:rPr>
          <w:rtl w:val="0"/>
        </w:rPr>
        <w:t xml:space="preserve">, 111068.</w:t>
      </w:r>
      <w:hyperlink r:id="rId56">
        <w:r w:rsidDel="00000000" w:rsidR="00000000" w:rsidRPr="00000000">
          <w:rPr>
            <w:rtl w:val="0"/>
          </w:rPr>
          <w:t xml:space="preserve"> </w:t>
        </w:r>
      </w:hyperlink>
      <w:hyperlink r:id="rId57">
        <w:r w:rsidDel="00000000" w:rsidR="00000000" w:rsidRPr="00000000">
          <w:rPr>
            <w:color w:val="1155cc"/>
            <w:u w:val="single"/>
            <w:rtl w:val="0"/>
          </w:rPr>
          <w:t xml:space="preserve">https://doi.org/10.1016/j.jss.2021.111068</w:t>
        </w:r>
      </w:hyperlink>
      <w:r w:rsidDel="00000000" w:rsidR="00000000" w:rsidRPr="00000000">
        <w:rPr>
          <w:rtl w:val="0"/>
        </w:rPr>
      </w:r>
    </w:p>
    <w:p w:rsidR="00000000" w:rsidDel="00000000" w:rsidP="00000000" w:rsidRDefault="00000000" w:rsidRPr="00000000" w14:paraId="0000007F">
      <w:pPr>
        <w:numPr>
          <w:ilvl w:val="0"/>
          <w:numId w:val="1"/>
        </w:numPr>
        <w:ind w:left="720" w:hanging="360"/>
        <w:rPr>
          <w:u w:val="none"/>
        </w:rPr>
      </w:pPr>
      <w:r w:rsidDel="00000000" w:rsidR="00000000" w:rsidRPr="00000000">
        <w:rPr>
          <w:rtl w:val="0"/>
        </w:rPr>
        <w:t xml:space="preserve">Pfrommer, J., Butz, A., Blochberger, M., &amp; Lüder, A. (2022). SBOM in practice: From generation to automatic vulnerability tracking. </w:t>
      </w:r>
      <w:r w:rsidDel="00000000" w:rsidR="00000000" w:rsidRPr="00000000">
        <w:rPr>
          <w:i w:val="1"/>
          <w:iCs w:val="1"/>
          <w:rtl w:val="0"/>
        </w:rPr>
        <w:t xml:space="preserve">Proceedings of the IEEE International Conference on Emerging Technologies and Factory Automation (ETFA)</w:t>
      </w:r>
      <w:r w:rsidDel="00000000" w:rsidR="00000000" w:rsidRPr="00000000">
        <w:rPr>
          <w:rtl w:val="0"/>
        </w:rPr>
        <w:t xml:space="preserve">, 1–8.</w:t>
      </w:r>
      <w:hyperlink r:id="rId58">
        <w:r w:rsidDel="00000000" w:rsidR="00000000" w:rsidRPr="00000000">
          <w:rPr>
            <w:rtl w:val="0"/>
          </w:rPr>
          <w:t xml:space="preserve"> </w:t>
        </w:r>
      </w:hyperlink>
      <w:hyperlink r:id="rId59">
        <w:r w:rsidDel="00000000" w:rsidR="00000000" w:rsidRPr="00000000">
          <w:rPr>
            <w:color w:val="1155cc"/>
            <w:u w:val="single"/>
            <w:rtl w:val="0"/>
          </w:rPr>
          <w:t xml:space="preserve">https://doi.org/10.1109/ETFA52439.2022.9921494</w:t>
        </w:r>
      </w:hyperlink>
      <w:r w:rsidDel="00000000" w:rsidR="00000000" w:rsidRPr="00000000">
        <w:rPr>
          <w:rtl w:val="0"/>
        </w:rPr>
      </w:r>
    </w:p>
    <w:p w:rsidR="00000000" w:rsidDel="00000000" w:rsidP="00000000" w:rsidRDefault="00000000" w:rsidRPr="00000000" w14:paraId="00000080">
      <w:pPr>
        <w:numPr>
          <w:ilvl w:val="0"/>
          <w:numId w:val="1"/>
        </w:numPr>
        <w:ind w:left="720" w:hanging="360"/>
        <w:rPr>
          <w:u w:val="none"/>
        </w:rPr>
      </w:pPr>
      <w:r w:rsidDel="00000000" w:rsidR="00000000" w:rsidRPr="00000000">
        <w:rPr>
          <w:rtl w:val="0"/>
        </w:rPr>
        <w:t xml:space="preserve">Schorlemmer, T. R., Kalu, K. G., Wermke, D., Acar, Y., Fahl, S., &amp; Davis, J. C. (2024). An industry interview study of software signing for supply chain security. </w:t>
      </w:r>
      <w:r w:rsidDel="00000000" w:rsidR="00000000" w:rsidRPr="00000000">
        <w:rPr>
          <w:i w:val="1"/>
          <w:iCs w:val="1"/>
          <w:rtl w:val="0"/>
        </w:rPr>
        <w:t xml:space="preserve">Proceedings of the 33rd USENIX Security Symposium</w:t>
      </w:r>
      <w:r w:rsidDel="00000000" w:rsidR="00000000" w:rsidRPr="00000000">
        <w:rPr>
          <w:rtl w:val="0"/>
        </w:rPr>
        <w:t xml:space="preserve">, 1–18.</w:t>
      </w:r>
      <w:hyperlink r:id="rId60">
        <w:r w:rsidDel="00000000" w:rsidR="00000000" w:rsidRPr="00000000">
          <w:rPr>
            <w:rtl w:val="0"/>
          </w:rPr>
          <w:t xml:space="preserve"> </w:t>
        </w:r>
      </w:hyperlink>
      <w:hyperlink r:id="rId61">
        <w:r w:rsidDel="00000000" w:rsidR="00000000" w:rsidRPr="00000000">
          <w:rPr>
            <w:color w:val="1155cc"/>
            <w:u w:val="single"/>
            <w:rtl w:val="0"/>
          </w:rPr>
          <w:t xml:space="preserve">https://doi.org/10.48550/arXiv.2406.08198</w:t>
        </w:r>
      </w:hyperlink>
      <w:r w:rsidDel="00000000" w:rsidR="00000000" w:rsidRPr="00000000">
        <w:rPr>
          <w:rtl w:val="0"/>
        </w:rPr>
      </w:r>
    </w:p>
    <w:p w:rsidR="00000000" w:rsidDel="00000000" w:rsidP="00000000" w:rsidRDefault="00000000" w:rsidRPr="00000000" w14:paraId="00000081">
      <w:pPr>
        <w:numPr>
          <w:ilvl w:val="0"/>
          <w:numId w:val="1"/>
        </w:numPr>
        <w:ind w:left="720" w:hanging="360"/>
        <w:rPr>
          <w:u w:val="none"/>
        </w:rPr>
      </w:pPr>
      <w:r w:rsidDel="00000000" w:rsidR="00000000" w:rsidRPr="00000000">
        <w:rPr>
          <w:rtl w:val="0"/>
        </w:rPr>
        <w:t xml:space="preserve">Souppaya, M., Scarfone, K., &amp; Dodson, D. (2022). Secure Software Development Framework (SSDF) version 1.1. </w:t>
      </w:r>
      <w:r w:rsidDel="00000000" w:rsidR="00000000" w:rsidRPr="00000000">
        <w:rPr>
          <w:i w:val="1"/>
          <w:iCs w:val="1"/>
          <w:rtl w:val="0"/>
        </w:rPr>
        <w:t xml:space="preserve">NIST Special Publication 800-218</w:t>
      </w:r>
      <w:r w:rsidDel="00000000" w:rsidR="00000000" w:rsidRPr="00000000">
        <w:rPr>
          <w:rtl w:val="0"/>
        </w:rPr>
        <w:t xml:space="preserve">. National Institute of Standards and Technology.</w:t>
      </w:r>
      <w:hyperlink r:id="rId62">
        <w:r w:rsidDel="00000000" w:rsidR="00000000" w:rsidRPr="00000000">
          <w:rPr>
            <w:rtl w:val="0"/>
          </w:rPr>
          <w:t xml:space="preserve"> </w:t>
        </w:r>
      </w:hyperlink>
      <w:hyperlink r:id="rId63">
        <w:r w:rsidDel="00000000" w:rsidR="00000000" w:rsidRPr="00000000">
          <w:rPr>
            <w:color w:val="1155cc"/>
            <w:u w:val="single"/>
            <w:rtl w:val="0"/>
          </w:rPr>
          <w:t xml:space="preserve">https://doi.org/10.6028/NIST.SP.800-218</w:t>
        </w:r>
      </w:hyperlink>
      <w:r w:rsidDel="00000000" w:rsidR="00000000" w:rsidRPr="00000000">
        <w:rPr>
          <w:rtl w:val="0"/>
        </w:rPr>
      </w:r>
    </w:p>
    <w:p w:rsidR="00000000" w:rsidDel="00000000" w:rsidP="00000000" w:rsidRDefault="00000000" w:rsidRPr="00000000" w14:paraId="00000082">
      <w:pPr>
        <w:numPr>
          <w:ilvl w:val="0"/>
          <w:numId w:val="1"/>
        </w:numPr>
        <w:ind w:left="720" w:hanging="360"/>
        <w:rPr>
          <w:u w:val="none"/>
        </w:rPr>
      </w:pPr>
      <w:r w:rsidDel="00000000" w:rsidR="00000000" w:rsidRPr="00000000">
        <w:rPr>
          <w:rtl w:val="0"/>
        </w:rPr>
        <w:t xml:space="preserve">Torres-Arias, S., Afzali, H., Bozdemir, B., Cappos, J., &amp; Warner, J. (2021). in-toto: Providing farm-to-table guarantees for bits and bytes. </w:t>
      </w:r>
      <w:r w:rsidDel="00000000" w:rsidR="00000000" w:rsidRPr="00000000">
        <w:rPr>
          <w:i w:val="1"/>
          <w:iCs w:val="1"/>
          <w:rtl w:val="0"/>
        </w:rPr>
        <w:t xml:space="preserve">Proceedings of USENIX Security</w:t>
      </w:r>
      <w:r w:rsidDel="00000000" w:rsidR="00000000" w:rsidRPr="00000000">
        <w:rPr>
          <w:rtl w:val="0"/>
        </w:rPr>
        <w:t xml:space="preserve">, 1–17. USENIX.</w:t>
      </w:r>
    </w:p>
    <w:p w:rsidR="00000000" w:rsidDel="00000000" w:rsidP="00000000" w:rsidRDefault="00000000" w:rsidRPr="00000000" w14:paraId="00000083">
      <w:pPr>
        <w:numPr>
          <w:ilvl w:val="0"/>
          <w:numId w:val="1"/>
        </w:numPr>
        <w:ind w:left="720" w:hanging="360"/>
        <w:rPr>
          <w:u w:val="none"/>
        </w:rPr>
      </w:pPr>
      <w:r w:rsidDel="00000000" w:rsidR="00000000" w:rsidRPr="00000000">
        <w:rPr>
          <w:rtl w:val="0"/>
        </w:rPr>
        <w:t xml:space="preserve">Vu, D. L., Nguyen, T. L., Nguyen, V. H., Nguyen, T. N., Massacci, F., &amp; Pashchenko, I. (2020). A large-scale study about quality and reproducibility of reusable security advisories across package managers. </w:t>
      </w:r>
      <w:r w:rsidDel="00000000" w:rsidR="00000000" w:rsidRPr="00000000">
        <w:rPr>
          <w:i w:val="1"/>
          <w:iCs w:val="1"/>
          <w:rtl w:val="0"/>
        </w:rPr>
        <w:t xml:space="preserve">IEEE Transactions on Software Engineering, 48</w:t>
      </w:r>
      <w:r w:rsidDel="00000000" w:rsidR="00000000" w:rsidRPr="00000000">
        <w:rPr>
          <w:rtl w:val="0"/>
        </w:rPr>
        <w:t xml:space="preserve">(9), 3651–3668.</w:t>
      </w:r>
      <w:hyperlink r:id="rId64">
        <w:r w:rsidDel="00000000" w:rsidR="00000000" w:rsidRPr="00000000">
          <w:rPr>
            <w:rtl w:val="0"/>
          </w:rPr>
          <w:t xml:space="preserve"> </w:t>
        </w:r>
      </w:hyperlink>
      <w:hyperlink r:id="rId65">
        <w:r w:rsidDel="00000000" w:rsidR="00000000" w:rsidRPr="00000000">
          <w:rPr>
            <w:color w:val="1155cc"/>
            <w:u w:val="single"/>
            <w:rtl w:val="0"/>
          </w:rPr>
          <w:t xml:space="preserve">https://doi.org/10.1109/TSE.2020.3038272</w:t>
        </w:r>
      </w:hyperlink>
      <w:r w:rsidDel="00000000" w:rsidR="00000000" w:rsidRPr="00000000">
        <w:rPr>
          <w:rtl w:val="0"/>
        </w:rPr>
      </w:r>
    </w:p>
    <w:p w:rsidR="00000000" w:rsidDel="00000000" w:rsidP="00000000" w:rsidRDefault="00000000" w:rsidRPr="00000000" w14:paraId="00000084">
      <w:pPr>
        <w:numPr>
          <w:ilvl w:val="0"/>
          <w:numId w:val="1"/>
        </w:numPr>
        <w:ind w:left="720" w:hanging="360"/>
        <w:rPr>
          <w:u w:val="none"/>
        </w:rPr>
      </w:pPr>
      <w:r w:rsidDel="00000000" w:rsidR="00000000" w:rsidRPr="00000000">
        <w:rPr>
          <w:rtl w:val="0"/>
        </w:rPr>
        <w:t xml:space="preserve">Wermke, D., Klemmer, J. H., Wöhler, N., Schmüser, J., Acar, Y., &amp; Fahl, S. (2023). Always contribute back: A qualitative study on security challenges of the open source supply chain. </w:t>
      </w:r>
      <w:r w:rsidDel="00000000" w:rsidR="00000000" w:rsidRPr="00000000">
        <w:rPr>
          <w:i w:val="1"/>
          <w:iCs w:val="1"/>
          <w:rtl w:val="0"/>
        </w:rPr>
        <w:t xml:space="preserve">Proceedings of the 44th IEEE Symposium on Security and Privacy (S&amp;P)</w:t>
      </w:r>
      <w:r w:rsidDel="00000000" w:rsidR="00000000" w:rsidRPr="00000000">
        <w:rPr>
          <w:rtl w:val="0"/>
        </w:rPr>
        <w:t xml:space="preserve">, 1545–1560.</w:t>
      </w:r>
      <w:hyperlink r:id="rId66">
        <w:r w:rsidDel="00000000" w:rsidR="00000000" w:rsidRPr="00000000">
          <w:rPr>
            <w:rtl w:val="0"/>
          </w:rPr>
          <w:t xml:space="preserve"> </w:t>
        </w:r>
      </w:hyperlink>
      <w:hyperlink r:id="rId67">
        <w:r w:rsidDel="00000000" w:rsidR="00000000" w:rsidRPr="00000000">
          <w:rPr>
            <w:color w:val="1155cc"/>
            <w:u w:val="single"/>
            <w:rtl w:val="0"/>
          </w:rPr>
          <w:t xml:space="preserve">https://doi.org/10.1109/SP46215.2023.10179435</w:t>
        </w:r>
      </w:hyperlink>
      <w:r w:rsidDel="00000000" w:rsidR="00000000" w:rsidRPr="00000000">
        <w:rPr>
          <w:rtl w:val="0"/>
        </w:rPr>
      </w:r>
    </w:p>
    <w:p w:rsidR="00000000" w:rsidDel="00000000" w:rsidP="00000000" w:rsidRDefault="00000000" w:rsidRPr="00000000" w14:paraId="00000085">
      <w:pPr>
        <w:numPr>
          <w:ilvl w:val="0"/>
          <w:numId w:val="1"/>
        </w:numPr>
        <w:ind w:left="720" w:hanging="360"/>
        <w:rPr>
          <w:u w:val="none"/>
        </w:rPr>
      </w:pPr>
      <w:r w:rsidDel="00000000" w:rsidR="00000000" w:rsidRPr="00000000">
        <w:rPr>
          <w:rtl w:val="0"/>
        </w:rPr>
        <w:t xml:space="preserve">Williams, L., &amp; Zahan, N. (2024). Research directions in software supply chain security. </w:t>
      </w:r>
      <w:r w:rsidDel="00000000" w:rsidR="00000000" w:rsidRPr="00000000">
        <w:rPr>
          <w:i w:val="1"/>
          <w:iCs w:val="1"/>
          <w:rtl w:val="0"/>
        </w:rPr>
        <w:t xml:space="preserve">ACM Transactions on Software Engineering and Methodology, 33</w:t>
      </w:r>
      <w:r w:rsidDel="00000000" w:rsidR="00000000" w:rsidRPr="00000000">
        <w:rPr>
          <w:rtl w:val="0"/>
        </w:rPr>
        <w:t xml:space="preserve">(5), 1–42.</w:t>
      </w:r>
      <w:hyperlink r:id="rId68">
        <w:r w:rsidDel="00000000" w:rsidR="00000000" w:rsidRPr="00000000">
          <w:rPr>
            <w:rtl w:val="0"/>
          </w:rPr>
          <w:t xml:space="preserve"> </w:t>
        </w:r>
      </w:hyperlink>
      <w:hyperlink r:id="rId69">
        <w:r w:rsidDel="00000000" w:rsidR="00000000" w:rsidRPr="00000000">
          <w:rPr>
            <w:color w:val="1155cc"/>
            <w:u w:val="single"/>
            <w:rtl w:val="0"/>
          </w:rPr>
          <w:t xml:space="preserve">https://doi.org/10.1145/3714464</w:t>
        </w:r>
      </w:hyperlink>
      <w:r w:rsidDel="00000000" w:rsidR="00000000" w:rsidRPr="00000000">
        <w:rPr>
          <w:rtl w:val="0"/>
        </w:rPr>
      </w:r>
    </w:p>
    <w:p w:rsidR="00000000" w:rsidDel="00000000" w:rsidP="00000000" w:rsidRDefault="00000000" w:rsidRPr="00000000" w14:paraId="00000086">
      <w:pPr>
        <w:numPr>
          <w:ilvl w:val="0"/>
          <w:numId w:val="1"/>
        </w:numPr>
        <w:ind w:left="720" w:hanging="360"/>
        <w:rPr>
          <w:u w:val="none"/>
        </w:rPr>
      </w:pPr>
      <w:r w:rsidDel="00000000" w:rsidR="00000000" w:rsidRPr="00000000">
        <w:rPr>
          <w:rtl w:val="0"/>
        </w:rPr>
        <w:t xml:space="preserve">Yu, S., Song, W., Hu, X., &amp; Yin, H. (2024). On the correctness of metadata-based SBOM generation: A differential analysis approach. </w:t>
      </w:r>
      <w:r w:rsidDel="00000000" w:rsidR="00000000" w:rsidRPr="00000000">
        <w:rPr>
          <w:i w:val="1"/>
          <w:iCs w:val="1"/>
          <w:rtl w:val="0"/>
        </w:rPr>
        <w:t xml:space="preserve">Proceedings of the 54th IEEE/IFIP International Conference on Dependable Systems and Networks (DSN)</w:t>
      </w:r>
      <w:r w:rsidDel="00000000" w:rsidR="00000000" w:rsidRPr="00000000">
        <w:rPr>
          <w:rtl w:val="0"/>
        </w:rPr>
        <w:t xml:space="preserve">, 29–36.</w:t>
      </w:r>
      <w:hyperlink r:id="rId70">
        <w:r w:rsidDel="00000000" w:rsidR="00000000" w:rsidRPr="00000000">
          <w:rPr>
            <w:rtl w:val="0"/>
          </w:rPr>
          <w:t xml:space="preserve"> </w:t>
        </w:r>
      </w:hyperlink>
      <w:hyperlink r:id="rId71">
        <w:r w:rsidDel="00000000" w:rsidR="00000000" w:rsidRPr="00000000">
          <w:rPr>
            <w:color w:val="1155cc"/>
            <w:u w:val="single"/>
            <w:rtl w:val="0"/>
          </w:rPr>
          <w:t xml:space="preserve">https://doi.org/10.1109/DSN58291.2024.00018</w:t>
        </w:r>
      </w:hyperlink>
      <w:r w:rsidDel="00000000" w:rsidR="00000000" w:rsidRPr="00000000">
        <w:rPr>
          <w:rtl w:val="0"/>
        </w:rPr>
      </w:r>
    </w:p>
    <w:p w:rsidR="00000000" w:rsidDel="00000000" w:rsidP="00000000" w:rsidRDefault="00000000" w:rsidRPr="00000000" w14:paraId="00000087">
      <w:pPr>
        <w:numPr>
          <w:ilvl w:val="0"/>
          <w:numId w:val="1"/>
        </w:numPr>
        <w:ind w:left="720" w:hanging="360"/>
        <w:rPr>
          <w:u w:val="none"/>
        </w:rPr>
      </w:pPr>
      <w:r w:rsidDel="00000000" w:rsidR="00000000" w:rsidRPr="00000000">
        <w:rPr>
          <w:rtl w:val="0"/>
        </w:rPr>
        <w:t xml:space="preserve">Zahan, N., Zimmermann, T., Godfrey, P., Hassan, A. E., &amp; Williams, L. (2022). What are weak links in the npm supply chain? </w:t>
      </w:r>
      <w:r w:rsidDel="00000000" w:rsidR="00000000" w:rsidRPr="00000000">
        <w:rPr>
          <w:i w:val="1"/>
          <w:iCs w:val="1"/>
          <w:rtl w:val="0"/>
        </w:rPr>
        <w:t xml:space="preserve">Proceedings of the 44th ICSE – SEIP</w:t>
      </w:r>
      <w:r w:rsidDel="00000000" w:rsidR="00000000" w:rsidRPr="00000000">
        <w:rPr>
          <w:rtl w:val="0"/>
        </w:rPr>
        <w:t xml:space="preserve">, 331–340.</w:t>
      </w:r>
      <w:hyperlink r:id="rId72">
        <w:r w:rsidDel="00000000" w:rsidR="00000000" w:rsidRPr="00000000">
          <w:rPr>
            <w:rtl w:val="0"/>
          </w:rPr>
          <w:t xml:space="preserve"> </w:t>
        </w:r>
      </w:hyperlink>
      <w:hyperlink r:id="rId73">
        <w:r w:rsidDel="00000000" w:rsidR="00000000" w:rsidRPr="00000000">
          <w:rPr>
            <w:color w:val="1155cc"/>
            <w:u w:val="single"/>
            <w:rtl w:val="0"/>
          </w:rPr>
          <w:t xml:space="preserve">https://doi.org/10.1145/3510457.3513044</w:t>
        </w:r>
      </w:hyperlink>
      <w:r w:rsidDel="00000000" w:rsidR="00000000" w:rsidRPr="00000000">
        <w:rPr>
          <w:rtl w:val="0"/>
        </w:rPr>
      </w:r>
    </w:p>
    <w:p w:rsidR="00000000" w:rsidDel="00000000" w:rsidP="00000000" w:rsidRDefault="00000000" w:rsidRPr="00000000" w14:paraId="00000088">
      <w:pPr>
        <w:numPr>
          <w:ilvl w:val="0"/>
          <w:numId w:val="1"/>
        </w:numPr>
        <w:ind w:left="720" w:hanging="360"/>
        <w:rPr>
          <w:u w:val="none"/>
        </w:rPr>
      </w:pPr>
      <w:r w:rsidDel="00000000" w:rsidR="00000000" w:rsidRPr="00000000">
        <w:rPr>
          <w:rtl w:val="0"/>
        </w:rPr>
        <w:t xml:space="preserve">Zimmermann, M., Staicu, C. A., Tenny, C., &amp; Pradel, M. (2019). Small world with high risks: A study of security threats in the npm ecosystem. </w:t>
      </w:r>
      <w:r w:rsidDel="00000000" w:rsidR="00000000" w:rsidRPr="00000000">
        <w:rPr>
          <w:i w:val="1"/>
          <w:iCs w:val="1"/>
          <w:rtl w:val="0"/>
        </w:rPr>
        <w:t xml:space="preserve">Proceedings of USENIX Security</w:t>
      </w:r>
      <w:r w:rsidDel="00000000" w:rsidR="00000000" w:rsidRPr="00000000">
        <w:rPr>
          <w:rtl w:val="0"/>
        </w:rPr>
        <w:t xml:space="preserve">, 1209–1226. USENIX.</w:t>
      </w:r>
    </w:p>
    <w:p w:rsidR="00000000" w:rsidDel="00000000" w:rsidP="00000000" w:rsidRDefault="00000000" w:rsidRPr="00000000" w14:paraId="00000089">
      <w:pPr>
        <w:spacing w:after="0" w:before="0" w:lineRule="auto"/>
        <w:ind w:left="0" w:firstLine="0"/>
        <w:rPr/>
      </w:pPr>
      <w:r w:rsidDel="00000000" w:rsidR="00000000" w:rsidRPr="00000000">
        <w:rPr>
          <w:rtl w:val="0"/>
        </w:rPr>
      </w:r>
    </w:p>
    <w:sectPr>
      <w:headerReference r:id="rId74" w:type="default"/>
      <w:footerReference r:id="rId75" w:type="default"/>
      <w:pgSz w:h="16838" w:w="11906" w:orient="portrait"/>
      <w:pgMar w:bottom="1440" w:top="1440" w:left="144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pBdr>
        <w:top w:color="1a2e5a" w:space="4" w:sz="4" w:val="single"/>
      </w:pBdr>
      <w:tabs>
        <w:tab w:val="right" w:leader="none" w:pos="9026"/>
      </w:tabs>
      <w:spacing w:after="0" w:before="60" w:lineRule="auto"/>
      <w:rPr/>
    </w:pPr>
    <w:r w:rsidDel="00000000" w:rsidR="00000000" w:rsidRPr="00000000">
      <w:rPr>
        <w:rFonts w:ascii="Arial" w:cs="Arial" w:eastAsia="Arial" w:hAnsi="Arial"/>
        <w:i w:val="0"/>
        <w:iCs w:val="0"/>
        <w:color w:val="5a5a5a"/>
        <w:sz w:val="18"/>
        <w:szCs w:val="18"/>
        <w:rtl w:val="0"/>
      </w:rPr>
      <w:t xml:space="preserve">Unidad I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pBdr>
        <w:bottom w:color="1a2e5a" w:space="4" w:sz="4" w:val="single"/>
      </w:pBdr>
      <w:spacing w:after="80" w:before="0" w:lineRule="auto"/>
      <w:rPr/>
    </w:pPr>
    <w:r w:rsidDel="00000000" w:rsidR="00000000" w:rsidRPr="00000000">
      <w:rPr>
        <w:rFonts w:ascii="Arial" w:cs="Arial" w:eastAsia="Arial" w:hAnsi="Arial"/>
        <w:i w:val="0"/>
        <w:iCs w:val="0"/>
        <w:color w:val="1a2e5a"/>
        <w:sz w:val="18"/>
        <w:szCs w:val="18"/>
        <w:rtl w:val="0"/>
      </w:rPr>
      <w:t xml:space="preserve">SEGURIDAD EN LA CADENA DE SUMINISTRO DE SOFTWARE</w:t>
    </w:r>
    <w:r w:rsidDel="00000000" w:rsidR="00000000" w:rsidRPr="00000000">
      <w:rPr>
        <w:rFonts w:ascii="Arial" w:cs="Arial" w:eastAsia="Arial" w:hAnsi="Arial"/>
        <w:i w:val="0"/>
        <w:iCs w:val="0"/>
        <w:color w:val="d0d8e4"/>
        <w:sz w:val="18"/>
        <w:szCs w:val="18"/>
        <w:rtl w:val="0"/>
      </w:rPr>
      <w:t xml:space="preserve">  |  </w:t>
    </w:r>
    <w:r w:rsidDel="00000000" w:rsidR="00000000" w:rsidRPr="00000000">
      <w:rPr>
        <w:rFonts w:ascii="Arial" w:cs="Arial" w:eastAsia="Arial" w:hAnsi="Arial"/>
        <w:i w:val="0"/>
        <w:iCs w:val="0"/>
        <w:color w:val="5a5a5a"/>
        <w:sz w:val="18"/>
        <w:szCs w:val="18"/>
        <w:rtl w:val="0"/>
      </w:rPr>
      <w:t xml:space="preserve">Universidad Privada de Tacna — Seguridad </w:t>
    </w:r>
    <w:r w:rsidDel="00000000" w:rsidR="00000000" w:rsidRPr="00000000">
      <w:rPr>
        <w:color w:val="5a5a5a"/>
        <w:sz w:val="18"/>
        <w:szCs w:val="18"/>
        <w:rtl w:val="0"/>
      </w:rPr>
      <w:t xml:space="preserve">de  TI</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11111"/>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a2e5a"/>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2e5fa3"/>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pPr>
    <w:rPr>
      <w:rFonts w:ascii="Arial" w:cs="Arial" w:eastAsia="Arial" w:hAnsi="Arial"/>
      <w:b w:val="1"/>
      <w:bCs w:val="1"/>
      <w:i w:val="0"/>
      <w:iCs w:val="0"/>
      <w:smallCaps w:val="0"/>
      <w:strike w:val="0"/>
      <w:color w:val="1d7a8c"/>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11111"/>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016/j.egyr.2021.08.126" TargetMode="External"/><Relationship Id="rId42" Type="http://schemas.openxmlformats.org/officeDocument/2006/relationships/hyperlink" Target="https://doi.org/10.1145/3548606.3560585" TargetMode="External"/><Relationship Id="rId41" Type="http://schemas.openxmlformats.org/officeDocument/2006/relationships/hyperlink" Target="https://doi.org/10.1016/j.egyr.2021.08.126" TargetMode="External"/><Relationship Id="rId44" Type="http://schemas.openxmlformats.org/officeDocument/2006/relationships/hyperlink" Target="https://doi.org/10.1109/ACCESS.2023.3271680" TargetMode="External"/><Relationship Id="rId43" Type="http://schemas.openxmlformats.org/officeDocument/2006/relationships/hyperlink" Target="https://doi.org/10.1145/3548606.3560585" TargetMode="External"/><Relationship Id="rId46" Type="http://schemas.openxmlformats.org/officeDocument/2006/relationships/hyperlink" Target="https://doi.org/10.1007/978-3-030-52683-2_1" TargetMode="External"/><Relationship Id="rId45" Type="http://schemas.openxmlformats.org/officeDocument/2006/relationships/hyperlink" Target="https://doi.org/10.1109/ACCESS.2023.327168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07/s10664-022-10118-2" TargetMode="External"/><Relationship Id="rId48" Type="http://schemas.openxmlformats.org/officeDocument/2006/relationships/hyperlink" Target="https://doi.org/10.1080/1206212X.2024.2390978" TargetMode="External"/><Relationship Id="rId47" Type="http://schemas.openxmlformats.org/officeDocument/2006/relationships/hyperlink" Target="https://doi.org/10.1007/978-3-030-52683-2_1" TargetMode="External"/><Relationship Id="rId49" Type="http://schemas.openxmlformats.org/officeDocument/2006/relationships/hyperlink" Target="https://doi.org/10.1080/1206212X.2024.2390978"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doi.org/10.1007/s10664-022-10118-2" TargetMode="External"/><Relationship Id="rId73" Type="http://schemas.openxmlformats.org/officeDocument/2006/relationships/hyperlink" Target="https://doi.org/10.1145/3510457.3513044" TargetMode="External"/><Relationship Id="rId72" Type="http://schemas.openxmlformats.org/officeDocument/2006/relationships/hyperlink" Target="https://doi.org/10.1145/3510457.3513044" TargetMode="External"/><Relationship Id="rId31" Type="http://schemas.openxmlformats.org/officeDocument/2006/relationships/hyperlink" Target="https://doi.org/10.1109/ICPC.2019.00019" TargetMode="External"/><Relationship Id="rId75" Type="http://schemas.openxmlformats.org/officeDocument/2006/relationships/footer" Target="footer1.xml"/><Relationship Id="rId30" Type="http://schemas.openxmlformats.org/officeDocument/2006/relationships/hyperlink" Target="https://doi.org/10.1109/ICPC.2019.00019" TargetMode="External"/><Relationship Id="rId74" Type="http://schemas.openxmlformats.org/officeDocument/2006/relationships/header" Target="header1.xml"/><Relationship Id="rId33" Type="http://schemas.openxmlformats.org/officeDocument/2006/relationships/hyperlink" Target="https://doi.org/10.1109/MC.2022.3199378" TargetMode="External"/><Relationship Id="rId32" Type="http://schemas.openxmlformats.org/officeDocument/2006/relationships/hyperlink" Target="https://doi.org/10.1109/MC.2022.3199378" TargetMode="External"/><Relationship Id="rId35" Type="http://schemas.openxmlformats.org/officeDocument/2006/relationships/hyperlink" Target="https://doi.org/10.1007/s10664-017-9521-5" TargetMode="External"/><Relationship Id="rId34" Type="http://schemas.openxmlformats.org/officeDocument/2006/relationships/hyperlink" Target="https://doi.org/10.1007/s10664-017-9521-5" TargetMode="External"/><Relationship Id="rId71" Type="http://schemas.openxmlformats.org/officeDocument/2006/relationships/hyperlink" Target="https://doi.org/10.1109/DSN58291.2024.00018" TargetMode="External"/><Relationship Id="rId70" Type="http://schemas.openxmlformats.org/officeDocument/2006/relationships/hyperlink" Target="https://doi.org/10.1109/DSN58291.2024.00018" TargetMode="External"/><Relationship Id="rId37" Type="http://schemas.openxmlformats.org/officeDocument/2006/relationships/hyperlink" Target="https://doi.org/10.1145/3606017" TargetMode="External"/><Relationship Id="rId36" Type="http://schemas.openxmlformats.org/officeDocument/2006/relationships/hyperlink" Target="https://doi.org/10.1145/3606017" TargetMode="External"/><Relationship Id="rId39" Type="http://schemas.openxmlformats.org/officeDocument/2006/relationships/hyperlink" Target="https://doi.org/10.1109/SP46215.2023.10179304" TargetMode="External"/><Relationship Id="rId38" Type="http://schemas.openxmlformats.org/officeDocument/2006/relationships/hyperlink" Target="https://doi.org/10.1109/SP46215.2023.10179304" TargetMode="External"/><Relationship Id="rId62" Type="http://schemas.openxmlformats.org/officeDocument/2006/relationships/hyperlink" Target="https://doi.org/10.6028/NIST.SP.800-218" TargetMode="External"/><Relationship Id="rId61" Type="http://schemas.openxmlformats.org/officeDocument/2006/relationships/hyperlink" Target="https://doi.org/10.48550/arXiv.2406.08198" TargetMode="External"/><Relationship Id="rId20" Type="http://schemas.openxmlformats.org/officeDocument/2006/relationships/hyperlink" Target="https://doi.org/10.1109/TSE.2023.3267940" TargetMode="External"/><Relationship Id="rId64" Type="http://schemas.openxmlformats.org/officeDocument/2006/relationships/hyperlink" Target="https://doi.org/10.1109/TSE.2020.3038272" TargetMode="External"/><Relationship Id="rId63" Type="http://schemas.openxmlformats.org/officeDocument/2006/relationships/hyperlink" Target="https://doi.org/10.6028/NIST.SP.800-218" TargetMode="External"/><Relationship Id="rId22" Type="http://schemas.openxmlformats.org/officeDocument/2006/relationships/hyperlink" Target="https://doi.org/10.1145/3510457.3513046" TargetMode="External"/><Relationship Id="rId66" Type="http://schemas.openxmlformats.org/officeDocument/2006/relationships/hyperlink" Target="https://doi.org/10.1109/SP46215.2023.10179435" TargetMode="External"/><Relationship Id="rId21" Type="http://schemas.openxmlformats.org/officeDocument/2006/relationships/hyperlink" Target="https://doi.org/10.1109/TSE.2023.3267940" TargetMode="External"/><Relationship Id="rId65" Type="http://schemas.openxmlformats.org/officeDocument/2006/relationships/hyperlink" Target="https://doi.org/10.1109/TSE.2020.3038272" TargetMode="External"/><Relationship Id="rId24" Type="http://schemas.openxmlformats.org/officeDocument/2006/relationships/hyperlink" Target="https://doi.org/10.14722/ndss.2021.24001" TargetMode="External"/><Relationship Id="rId68" Type="http://schemas.openxmlformats.org/officeDocument/2006/relationships/hyperlink" Target="https://doi.org/10.1145/3714464" TargetMode="External"/><Relationship Id="rId23" Type="http://schemas.openxmlformats.org/officeDocument/2006/relationships/hyperlink" Target="https://doi.org/10.1145/3510457.3513046" TargetMode="External"/><Relationship Id="rId67" Type="http://schemas.openxmlformats.org/officeDocument/2006/relationships/hyperlink" Target="https://doi.org/10.1109/SP46215.2023.10179435" TargetMode="External"/><Relationship Id="rId60" Type="http://schemas.openxmlformats.org/officeDocument/2006/relationships/hyperlink" Target="https://doi.org/10.48550/arXiv.2406.08198" TargetMode="External"/><Relationship Id="rId26" Type="http://schemas.openxmlformats.org/officeDocument/2006/relationships/hyperlink" Target="https://doi.org/10.1109/MSEC.2022.3159862" TargetMode="External"/><Relationship Id="rId25" Type="http://schemas.openxmlformats.org/officeDocument/2006/relationships/hyperlink" Target="https://doi.org/10.14722/ndss.2021.24001" TargetMode="External"/><Relationship Id="rId69" Type="http://schemas.openxmlformats.org/officeDocument/2006/relationships/hyperlink" Target="https://doi.org/10.1145/3714464" TargetMode="External"/><Relationship Id="rId28" Type="http://schemas.openxmlformats.org/officeDocument/2006/relationships/hyperlink" Target="https://doi.org/10.1109/TSE.2023.3287175" TargetMode="External"/><Relationship Id="rId27" Type="http://schemas.openxmlformats.org/officeDocument/2006/relationships/hyperlink" Target="https://doi.org/10.1109/MSEC.2022.3159862" TargetMode="External"/><Relationship Id="rId29" Type="http://schemas.openxmlformats.org/officeDocument/2006/relationships/hyperlink" Target="https://doi.org/10.1109/TSE.2023.3287175" TargetMode="External"/><Relationship Id="rId51" Type="http://schemas.openxmlformats.org/officeDocument/2006/relationships/hyperlink" Target="https://doi.org/10.1109/TDSC.2024.3367890" TargetMode="External"/><Relationship Id="rId50" Type="http://schemas.openxmlformats.org/officeDocument/2006/relationships/hyperlink" Target="https://doi.org/10.1109/TDSC.2024.3367890" TargetMode="External"/><Relationship Id="rId53" Type="http://schemas.openxmlformats.org/officeDocument/2006/relationships/hyperlink" Target="https://doi.org/10.1145/3417208.3417213" TargetMode="External"/><Relationship Id="rId52" Type="http://schemas.openxmlformats.org/officeDocument/2006/relationships/hyperlink" Target="https://doi.org/10.1145/3417208.3417213" TargetMode="External"/><Relationship Id="rId11" Type="http://schemas.openxmlformats.org/officeDocument/2006/relationships/hyperlink" Target="https://doi.org/10.1109/MSEC.2023.3302956" TargetMode="External"/><Relationship Id="rId55" Type="http://schemas.openxmlformats.org/officeDocument/2006/relationships/hyperlink" Target="https://doi.org/10.1109/MSEC.2021.3051235" TargetMode="External"/><Relationship Id="rId10" Type="http://schemas.openxmlformats.org/officeDocument/2006/relationships/hyperlink" Target="https://doi.org/10.1109/MSEC.2023.3302956" TargetMode="External"/><Relationship Id="rId54" Type="http://schemas.openxmlformats.org/officeDocument/2006/relationships/hyperlink" Target="https://doi.org/10.1109/MSEC.2021.3051235" TargetMode="External"/><Relationship Id="rId13" Type="http://schemas.openxmlformats.org/officeDocument/2006/relationships/hyperlink" Target="https://doi.org/10.1109/ICSE48619.2023.00175" TargetMode="External"/><Relationship Id="rId57" Type="http://schemas.openxmlformats.org/officeDocument/2006/relationships/hyperlink" Target="https://doi.org/10.1016/j.jss.2021.111068" TargetMode="External"/><Relationship Id="rId12" Type="http://schemas.openxmlformats.org/officeDocument/2006/relationships/hyperlink" Target="https://doi.org/10.1109/ICSE48619.2023.00175" TargetMode="External"/><Relationship Id="rId56" Type="http://schemas.openxmlformats.org/officeDocument/2006/relationships/hyperlink" Target="https://doi.org/10.1016/j.jss.2021.111068" TargetMode="External"/><Relationship Id="rId15" Type="http://schemas.openxmlformats.org/officeDocument/2006/relationships/hyperlink" Target="https://doi.org/10.1371/journal.pone.0335128" TargetMode="External"/><Relationship Id="rId59" Type="http://schemas.openxmlformats.org/officeDocument/2006/relationships/hyperlink" Target="https://doi.org/10.1109/ETFA52439.2022.9921494" TargetMode="External"/><Relationship Id="rId14" Type="http://schemas.openxmlformats.org/officeDocument/2006/relationships/hyperlink" Target="https://doi.org/10.1371/journal.pone.0335128" TargetMode="External"/><Relationship Id="rId58" Type="http://schemas.openxmlformats.org/officeDocument/2006/relationships/hyperlink" Target="https://doi.org/10.1109/ETFA52439.2022.9921494" TargetMode="External"/><Relationship Id="rId17" Type="http://schemas.openxmlformats.org/officeDocument/2006/relationships/hyperlink" Target="https://doi.org/10.1145/1653662.1653728" TargetMode="External"/><Relationship Id="rId16" Type="http://schemas.openxmlformats.org/officeDocument/2006/relationships/hyperlink" Target="https://doi.org/10.1145/1653662.1653728" TargetMode="External"/><Relationship Id="rId19" Type="http://schemas.openxmlformats.org/officeDocument/2006/relationships/hyperlink" Target="https://doi.org/10.1145/3563696" TargetMode="External"/><Relationship Id="rId18" Type="http://schemas.openxmlformats.org/officeDocument/2006/relationships/hyperlink" Target="https://doi.org/10.1145/35636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3eNpVDwHd2QUKN7hyFkQDkMi7g==">CgMxLjA4AHIhMThSYmV1RXMxU3BmXzFhRVp0a2UxSDJVQmxYMHJCNkln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