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A62828"/>
          <w:sz w:val="48"/>
        </w:rPr>
        <w:t>ZODIACCHAIN</w:t>
      </w:r>
    </w:p>
    <w:p>
      <w:pPr>
        <w:spacing w:after="160"/>
        <w:jc w:val="center"/>
      </w:pPr>
      <w:r>
        <w:rPr>
          <w:color w:val="4E3BB1"/>
          <w:sz w:val="26"/>
        </w:rPr>
        <w:t>Whitepaper estratégico para grants e fase inicial de execução</w:t>
      </w:r>
    </w:p>
    <w:p>
      <w:pPr>
        <w:jc w:val="center"/>
      </w:pPr>
      <w:r>
        <w:t>WHITEPAPER v2.4  ·  Abril de 2026  ·  Polygon-first testnet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072"/>
            <w:shd w:fill="F6F0E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left"/>
            </w:pPr>
            <w:r>
              <w:rPr>
                <w:color w:val="1F1F1F"/>
                <w:sz w:val="22"/>
              </w:rPr>
              <w:t>Documento atualizado para rodada inicial de grants, com foco em documentação, narrativa técnica, proteção econômica e enquadramento regulatório prudente. Esta versão incorpora a nova regra da Dimensão Celeste baseada em Número Celeste Exato (01-60) como resultado oficial.</w:t>
            </w:r>
          </w:p>
        </w:tc>
      </w:tr>
    </w:tbl>
    <w:p>
      <w:pPr>
        <w:spacing w:before="3800"/>
        <w:jc w:val="center"/>
      </w:pPr>
      <w:r>
        <w:t>25 Animais Terrenos  ·  12 Animais Celestes  ·  Resultado Celeste oficial 01-60  ·  Core team in place</w:t>
      </w:r>
    </w:p>
    <w:p>
      <w:r>
        <w:br w:type="page"/>
      </w:r>
    </w:p>
    <w:p>
      <w:pPr>
        <w:pStyle w:val="Heading1"/>
      </w:pPr>
      <w:r>
        <w:t>Aviso legal e de escopo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BEFE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b/>
                <w:color w:val="1F1F1F"/>
                <w:sz w:val="22"/>
              </w:rPr>
              <w:t>Importante</w:t>
              <w:br/>
            </w:r>
            <w:r>
              <w:rPr>
                <w:color w:val="1F1F1F"/>
                <w:sz w:val="20"/>
              </w:rPr>
              <w:t>Este documento é informativo e descreve um produto em fase de documentação e validação técnica. Esta versão foi ajustada para grants e demonstração pública em testnet. Não constitui oferta de investimento, promessa de retorno financeiro ou convite para operação real-money em qualquer jurisdição. Qualquer fase com dinheiro real dependerá de estrutura regulatória adequada, revisão jurídica específica e controles de acesso por jurisdição.</w:t>
            </w:r>
          </w:p>
        </w:tc>
      </w:tr>
    </w:tbl>
    <w:p>
      <w:pPr>
        <w:spacing w:after="40"/>
      </w:pPr>
    </w:p>
    <w:p>
      <w:pPr>
        <w:pStyle w:val="Heading1"/>
      </w:pPr>
      <w:r>
        <w:t>Sumário executivo</w:t>
      </w:r>
    </w:p>
    <w:p>
      <w:r>
        <w:t>ZodiacChain é um protocolo de loteria descentralizada em duas dimensões que combina 25 Animais Terrenos com 12 Animais Celestes em uma experiência auditável, orientada por stablecoins e apoiada por aleatoriedade verificável. Nesta versão, a Dimensão Celeste passa a ter um resultado oficial único: um Número Celeste Exato entre 01 e 60. A leitura por animal e por elemento é derivada desse resultado, o que melhora a consistência matemática, a UX e a clareza técnica do produto.</w:t>
      </w:r>
    </w:p>
    <w:p>
      <w:r>
        <w:t>O foco imediato do projeto é documentação para grants, MVP em testnet, demonstração pública de fairness e preparação de ativos institucionais. O objetivo desta versão é tornar o projeto mais adequado para programas como Chainlink Build, grants de integração e futuras janelas de funding no ecossistema Polygon.</w:t>
      </w:r>
    </w:p>
    <w:p>
      <w:pPr>
        <w:pStyle w:val="Heading1"/>
      </w:pPr>
      <w:r>
        <w:t>1. Problema e oportunidade</w:t>
      </w:r>
    </w:p>
    <w:p>
      <w:pPr>
        <w:pStyle w:val="Heading2"/>
      </w:pPr>
      <w:r>
        <w:t>1.1 Oportunidade de produto</w:t>
      </w:r>
    </w:p>
    <w:p>
      <w:pPr>
        <w:pStyle w:val="ListBullet"/>
        <w:spacing w:after="20"/>
        <w:ind w:left="0"/>
      </w:pPr>
      <w:r>
        <w:t>Mercados lotéricos tradicionais têm baixa transparência operacional e retornos ao jogador pouco auditáveis.</w:t>
      </w:r>
    </w:p>
    <w:p>
      <w:pPr>
        <w:pStyle w:val="ListBullet"/>
        <w:spacing w:after="20"/>
        <w:ind w:left="0"/>
      </w:pPr>
      <w:r>
        <w:t>Plataformas cripto de gaming frequentemente sofrem com UX genérica, baixa identidade cultural e pouca clareza sobre regras de sorteio.</w:t>
      </w:r>
    </w:p>
    <w:p>
      <w:pPr>
        <w:pStyle w:val="ListBullet"/>
        <w:spacing w:after="20"/>
        <w:ind w:left="0"/>
      </w:pPr>
      <w:r>
        <w:t>Há espaço para um produto que una familiaridade cultural, leitura matemática simples e infraestrutura verificável em blockchain.</w:t>
      </w:r>
    </w:p>
    <w:p>
      <w:pPr>
        <w:pStyle w:val="Heading2"/>
      </w:pPr>
      <w:r>
        <w:t>1.2 Enquadramento correto para grants</w:t>
      </w:r>
    </w:p>
    <w:p>
      <w:r>
        <w:t>Para grant reviewers, o valor do ZodiacChain não deve ser apresentado como “lançar apostas reais rapidamente”, e sim como infraestrutura de sorteio verificável, onboarding de usuários em ambiente testnet, controle de risco e documentação open-source. Essa mudança de framing reduz resistência regulatória e aumenta aderência a programas de ecossistema.</w:t>
      </w:r>
    </w:p>
    <w:p>
      <w:pPr>
        <w:pStyle w:val="Heading1"/>
      </w:pPr>
      <w:r>
        <w:t>2. Arquitetura conceitual do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E9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type="dxa" w:w="7056"/>
            <w:shd w:fill="E9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Definição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Dimensão Terrena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25 animais, organizados sobre a faixa 00-99, com leitura familiar de animal e número exato.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Dimensão Celeste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12 animais organizados sobre uma faixa oficial de 01-60, inspirada no ciclo sexagenário, com leituras derivadas de animal, elemento e número exato.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Apostas Combo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Combinações entre resultado terreno e resultado celeste para multiplicadores superiores.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Motor de sorteio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Aleatoriedade verificável via Chainlink VRF em rede EVM, priorizando Polygon para o MVP.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Moeda de aposta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Stablecoins em ambiente Polygon para reduzir fricção e evitar volatilidade para o usuário.</w:t>
            </w:r>
          </w:p>
        </w:tc>
      </w:tr>
    </w:tbl>
    <w:p>
      <w:pPr>
        <w:spacing w:after="80"/>
      </w:pPr>
    </w:p>
    <w:p>
      <w:pPr>
        <w:pStyle w:val="Heading1"/>
      </w:pPr>
      <w:r>
        <w:t>3. Nova formulação oficial da Dimensão Celeste</w:t>
      </w:r>
    </w:p>
    <w:p>
      <w:r>
        <w:t>A Dimensão Celeste deve ser implementada com um único resultado oficial: Número Celeste Exato de 01 a 60. Esse número é a fonte de verdade do sorteio diário. As leituras de Animal Celeste e Elemento Celeste derivam desse número. Isso mantém a matemática atual do produto, mas simplifica a narrativa e deixa a documentação mais robusta para grants e futura auditoria.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B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r>
              <w:rPr>
                <w:b/>
                <w:color w:val="1F1F1F"/>
                <w:sz w:val="22"/>
              </w:rPr>
              <w:t>Formulação recomendada para lançamento</w:t>
              <w:br/>
            </w:r>
            <w:r>
              <w:rPr>
                <w:color w:val="1F1F1F"/>
                <w:sz w:val="20"/>
              </w:rPr>
              <w:t>O sistema celeste do ZodiacChain é inspirado no ciclo sexagenário chinês. No produto, a representação operacional é um resultado de 01 a 60, do qual se derivam animal e elemento. Isso evita sobrecarga conceitual, mantém autenticidade temática e melhora a experiência do usuário.</w:t>
            </w:r>
          </w:p>
        </w:tc>
      </w:tr>
    </w:tbl>
    <w:p>
      <w:pPr>
        <w:spacing w:after="40"/>
      </w:pPr>
    </w:p>
    <w:p>
      <w:pPr>
        <w:pStyle w:val="Heading2"/>
      </w:pPr>
      <w:r>
        <w:t>3.1 Mapeamento do Número Celeste Exato (01-60)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Animal Celeste</w:t>
            </w:r>
          </w:p>
        </w:tc>
        <w:tc>
          <w:tcPr>
            <w:tcW w:type="dxa" w:w="6912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Números oficiais no ciclo 01-60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Rato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01, 13, 25, 37, 49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Boi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02, 14, 26, 38, 50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Tigre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03, 15, 27, 39, 51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Coelho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04, 16, 28, 40, 52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Dragão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05, 17, 29, 41, 53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Serpente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06, 18, 30, 42, 54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Cavalo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07, 19, 31, 43, 55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Cabra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08, 20, 32, 44, 56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Macaco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09, 21, 33, 45, 57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Galo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10, 22, 34, 46, 58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Cão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11, 23, 35, 47, 59</w:t>
            </w:r>
          </w:p>
        </w:tc>
      </w:tr>
      <w:t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Porco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12, 24, 36, 48, 60</w:t>
            </w:r>
          </w:p>
        </w:tc>
      </w:tr>
    </w:tbl>
    <w:p>
      <w:pPr>
        <w:spacing w:after="80"/>
      </w:pPr>
    </w:p>
    <w:p>
      <w:r>
        <w:t>A consequência prática é simples: o sorteio celeste produz um número oficial. O usuário pode apostar no animal, no elemento ou no número celeste exato. Em vez de criar uma nova matemática, a atualização só formaliza melhor a que já existia no projeto.</w:t>
      </w:r>
    </w:p>
    <w:p>
      <w:pPr>
        <w:pStyle w:val="Heading1"/>
      </w:pPr>
      <w:r>
        <w:t>4. Mecânica do jogo</w:t>
      </w:r>
    </w:p>
    <w:p>
      <w:pPr>
        <w:pStyle w:val="Heading2"/>
      </w:pPr>
      <w:r>
        <w:t>4.1 Nível 1 - Dimensão Terrena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Modalidade</w:t>
            </w:r>
          </w:p>
        </w:tc>
        <w:tc>
          <w:tcPr>
            <w:tcW w:type="dxa" w:w="3168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 que apostar</w:t>
            </w:r>
          </w:p>
        </w:tc>
        <w:tc>
          <w:tcPr>
            <w:tcW w:type="dxa" w:w="1872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Probabilidade</w:t>
            </w:r>
          </w:p>
        </w:tc>
        <w:tc>
          <w:tcPr>
            <w:tcW w:type="dxa" w:w="2160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Multiplicador pago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Animal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 animal (4 números)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4/100 = 4%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22,5x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Grupo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 animais adjacentes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8/100 = 8%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11,25x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Dezena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Número exato 00-99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1/100 = 1%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90x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Centena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 dígitos exatos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1/1.000 = 0,1%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900x</w:t>
            </w:r>
          </w:p>
        </w:tc>
      </w:tr>
      <w:t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Milhar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 dígitos exatos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1/10.000 = 0,01%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9.000x</w:t>
            </w:r>
          </w:p>
        </w:tc>
      </w:tr>
    </w:tbl>
    <w:p>
      <w:pPr>
        <w:spacing w:after="80"/>
      </w:pPr>
    </w:p>
    <w:p>
      <w:pPr>
        <w:pStyle w:val="Heading2"/>
      </w:pPr>
      <w:r>
        <w:t>4.2 Nível 2 - Dimensão Celeste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Modalidade</w:t>
            </w:r>
          </w:p>
        </w:tc>
        <w:tc>
          <w:tcPr>
            <w:tcW w:type="dxa" w:w="3168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 que apostar</w:t>
            </w:r>
          </w:p>
        </w:tc>
        <w:tc>
          <w:tcPr>
            <w:tcW w:type="dxa" w:w="1872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Probabilidade</w:t>
            </w:r>
          </w:p>
        </w:tc>
        <w:tc>
          <w:tcPr>
            <w:tcW w:type="dxa" w:w="2016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Multiplicador pago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Animal Celeste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 dos 12 animais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5/60 = 8,33%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10,8x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Elemento Celeste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 dos 5 elementos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12/60 = 20%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4,5x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Número Celeste Exato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 número entre 01 e 60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1/60 = 1,67%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54x</w:t>
            </w:r>
          </w:p>
        </w:tc>
      </w:tr>
      <w:t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Trio Lunar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 animais em sequência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1/1.320 = 0,08%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1.188x</w:t>
            </w:r>
          </w:p>
        </w:tc>
      </w:tr>
    </w:tbl>
    <w:p>
      <w:pPr>
        <w:spacing w:after="80"/>
      </w:pPr>
    </w:p>
    <w:p>
      <w:r>
        <w:t>O antigo raciocínio “animal + elemento” continua válido como leitura conceitual do número sorteado, mas a interface e a documentação passam a priorizar o Número Celeste Exato como modalidade de precisão. Isso aumenta a consistência com a Dimensão Terrena.</w:t>
      </w:r>
    </w:p>
    <w:p>
      <w:pPr>
        <w:pStyle w:val="Heading2"/>
      </w:pPr>
      <w:r>
        <w:t>4.3 Nível 3 - Apostas Combo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888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Combo</w:t>
            </w:r>
          </w:p>
        </w:tc>
        <w:tc>
          <w:tcPr>
            <w:tcW w:type="dxa" w:w="3024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Probabilidade combinada</w:t>
            </w:r>
          </w:p>
        </w:tc>
        <w:tc>
          <w:tcPr>
            <w:tcW w:type="dxa" w:w="2016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Multiplicador pago</w:t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Animal Terreno x Animal Celeste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4% x 8,33% = 0,33%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270x</w:t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Animal Terreno x Elemento Celeste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4% x 20% = 0,8%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112x</w:t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Dezena x Animal Celeste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1% x 8,33% = 0,083%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1.080x</w:t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Animal Terreno x Número Celeste Exato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4% x 1,67% = 0,067%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1.350x</w:t>
            </w:r>
          </w:p>
        </w:tc>
      </w:tr>
      <w:t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Dezena x Número Celeste Exato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1% x 1,67% = 0,017%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5.400x</w:t>
            </w:r>
          </w:p>
        </w:tc>
      </w:tr>
    </w:tbl>
    <w:p>
      <w:pPr>
        <w:spacing w:after="80"/>
      </w:pPr>
    </w:p>
    <w:p>
      <w:pPr>
        <w:pStyle w:val="Heading2"/>
      </w:pPr>
      <w:r>
        <w:t>4.4 Evento especial e jackpot</w:t>
      </w:r>
    </w:p>
    <w:p>
      <w:pPr>
        <w:pStyle w:val="ListBullet"/>
        <w:spacing w:after="20"/>
        <w:ind w:left="0"/>
      </w:pPr>
      <w:r>
        <w:t>Encontro Cósmico: quando o mesmo animal aparece nas duas dimensões no mesmo dia, vencedores daquele animal recebem bônus adicional do fundo especial.</w:t>
      </w:r>
    </w:p>
    <w:p>
      <w:pPr>
        <w:pStyle w:val="ListBullet"/>
        <w:spacing w:after="20"/>
        <w:ind w:left="0"/>
      </w:pPr>
      <w:r>
        <w:t>Jackpot semanal: combinação de 1 Animal Terreno + 1 Animal Celeste + 1 Elemento Celeste, com rollover parcial quando não houver vencedor.</w:t>
      </w:r>
    </w:p>
    <w:p>
      <w:pPr>
        <w:pStyle w:val="Heading1"/>
      </w:pPr>
      <w:r>
        <w:t>5. Regras de proteção e sustentabilidade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Regra</w:t>
            </w:r>
          </w:p>
        </w:tc>
        <w:tc>
          <w:tcPr>
            <w:tcW w:type="dxa" w:w="1728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4320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Objetivo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Aposta mínima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US$ 1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Evitar spam e distorção por gas fee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Aposta máxima por aposta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US$ 500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Reduzir exposição excessiva do pool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Limite diário por carteira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US$ 2.000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Responsabilidade e AML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Teto de prêmio único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US$ 50.000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Preservar solvência inicial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Cooldown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30 segundos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Dificultar bots e frontrunning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Concentração máxima por animal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40% do pool do sorteio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Reduzir hedging malicioso e concentração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Verificação de solvência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Pool disponível &gt;= payout máximo potencial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Impedir aceitação descoberta</w:t>
            </w:r>
          </w:p>
        </w:tc>
      </w:tr>
    </w:tbl>
    <w:p>
      <w:pPr>
        <w:spacing w:after="80"/>
      </w:pPr>
    </w:p>
    <w:p>
      <w:r>
        <w:t>A regra de concentração máxima permanece válida e agora também se aplica de forma clara à leitura por animal dentro da Dimensão Celeste, já que cada animal ocupa 5 posições do ciclo 01-60.</w:t>
      </w:r>
    </w:p>
    <w:p>
      <w:pPr>
        <w:pStyle w:val="Heading1"/>
      </w:pPr>
      <w:r>
        <w:t>6. Modelo econômico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EEF6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Destino</w:t>
            </w:r>
          </w:p>
        </w:tc>
        <w:tc>
          <w:tcPr>
            <w:tcW w:type="dxa" w:w="6192"/>
            <w:shd w:fill="EEF6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Alocação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Prêmios (RTP)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90% do volume por sorteio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Tesouraria operacional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5%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Fundo de liquidez ZDC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3%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Fundo Encontro Cósmico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2%</w:t>
            </w:r>
          </w:p>
        </w:tc>
      </w:tr>
    </w:tbl>
    <w:p>
      <w:pPr>
        <w:spacing w:after="80"/>
      </w:pPr>
    </w:p>
    <w:p>
      <w:r>
        <w:t>Para documentação de grant, o ponto mais importante não é prometer monetização agressiva, e sim mostrar que o produto foi desenhado com payout alto, previsibilidade econômica e travas claras para não colapsar o pool no início.</w:t>
      </w:r>
    </w:p>
    <w:p>
      <w:pPr>
        <w:pStyle w:val="Heading1"/>
      </w:pPr>
      <w:r>
        <w:t>7. Arquitetura técnica em nível documental</w:t>
      </w:r>
    </w:p>
    <w:p>
      <w:pPr>
        <w:pStyle w:val="ListBullet"/>
        <w:spacing w:after="20"/>
        <w:ind w:left="0"/>
      </w:pPr>
      <w:r>
        <w:t>Rede prioritária do MVP: Polygon PoS, pela combinação de custo, tooling EVM e aderência a programas de ecossistema.</w:t>
      </w:r>
    </w:p>
    <w:p>
      <w:pPr>
        <w:pStyle w:val="ListBullet"/>
        <w:spacing w:after="20"/>
        <w:ind w:left="0"/>
      </w:pPr>
      <w:r>
        <w:t>Aleatoriedade: Chainlink VRF v2.5, com foco em clareza de fluxo e verificabilidade pública.</w:t>
      </w:r>
    </w:p>
    <w:p>
      <w:pPr>
        <w:pStyle w:val="ListBullet"/>
        <w:spacing w:after="20"/>
        <w:ind w:left="0"/>
      </w:pPr>
      <w:r>
        <w:t>Frontend: web app com histórico, painel de sorteios, regras públicas e carteira conectada.</w:t>
      </w:r>
    </w:p>
    <w:p>
      <w:pPr>
        <w:pStyle w:val="ListBullet"/>
        <w:spacing w:after="20"/>
        <w:ind w:left="0"/>
      </w:pPr>
      <w:r>
        <w:t>Dashboard de fairness: histórico de sorteios, leitura do Número Celeste Exato, derivação de animal e elemento, e visualização das proteções do pool.</w:t>
      </w:r>
    </w:p>
    <w:p>
      <w:pPr>
        <w:pStyle w:val="Heading1"/>
      </w:pPr>
      <w:r>
        <w:t>8. Estrutura regulatória e posicionamento prudente</w:t>
      </w:r>
    </w:p>
    <w:p>
      <w:r>
        <w:t>A documentação institucional do projeto deve refletir o cenário regulatório atual, sem depender do antigo enquadramento de sublicenças como narrativa principal. O material oficial da Curaçao Gaming Authority passou a operar com portal próprio sob a LOK, com registro e certificação próprios para operadores e fornecedores. No Brasil, a exploração de apostas de quota fixa exige autorização prévia da SPA/MF. Por isso, esta fase documental do ZodiacChain se limita a grants, testnet e demonstração pública do motor verificável.</w:t>
      </w:r>
    </w:p>
    <w:p>
      <w:pPr/>
      <w:r>
        <w:t>A residência do fundador no Brasil, por si só, não torna obrigatória a constituição inicial em jurisdição favorável. O fator decisivo é o modelo de operação pretendido: se a fase comercial futura envolver betting regulado sem autorização brasileira específica, a rota prudente é estruturar a operação regulada primeiro em jurisdição favorável e excluir o Brasil da fase 1 de lançamento comercial.</w:t>
      </w:r>
    </w:p>
    <w:p>
      <w:pPr>
        <w:pStyle w:val="ListBullet"/>
      </w:pPr>
      <w:r>
        <w:t>Diretriz documental adotada nesta versão: favorable-jurisdiction first. A fase inicial regulada será planejada para jurisdições favoráveis compatíveis com o modelo de negócio — como Curaçao, Malta, Gibraltar ou Isle of Man — sujeitas a custo, elegibilidade, timing e parecer jurídico local. O Brasil permanece fora da fase 1, salvo se houver autorização específica e estrutura regulatória própria para entrada local.</w:t>
      </w:r>
    </w:p>
    <w:p>
      <w:pPr>
        <w:pStyle w:val="ListBullet"/>
      </w:pPr>
      <w:r>
        <w:t>Presale pública de token e lançamento real-money ao público ficam intencionalmente adiados para depois de: validação do MVP, definição da jurisdição operacional, desenho de geofencing, política KYC/AML e revisão jurídica completa.</w:t>
      </w:r>
    </w:p>
    <w:p>
      <w:pPr>
        <w:pStyle w:val="ListBullet"/>
        <w:spacing w:after="20"/>
        <w:ind w:left="0"/>
      </w:pPr>
      <w:r>
        <w:t>Fase grant/testnet: sem operação real-money aberta ao público.</w:t>
      </w:r>
    </w:p>
    <w:p>
      <w:pPr>
        <w:pStyle w:val="ListBullet"/>
        <w:spacing w:after="20"/>
        <w:ind w:left="0"/>
      </w:pPr>
      <w:r>
        <w:t>Antes de qualquer lançamento regulado: parecer jurídico, definição de jurisdição, política de geofencing, KYC/AML e trilha de autorização compatível.</w:t>
      </w:r>
    </w:p>
    <w:p>
      <w:pPr>
        <w:pStyle w:val="ListBullet"/>
        <w:spacing w:after="20"/>
        <w:ind w:left="0"/>
      </w:pPr>
      <w:r>
        <w:t>Na narrativa para grants: enfatizar fairness infrastructure, onboarding, documentação open-source e responsible gaming controls.</w:t>
      </w:r>
    </w:p>
    <w:p>
      <w:pPr>
        <w:pStyle w:val="Heading1"/>
      </w:pPr>
      <w:r>
        <w:t>9. Roadmap revisado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type="dxa" w:w="1584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Horizonte</w:t>
            </w:r>
          </w:p>
        </w:tc>
        <w:tc>
          <w:tcPr>
            <w:tcW w:type="dxa" w:w="5760"/>
            <w:shd w:fill="E9EE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Entregas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Fase 1 - Documentação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0-30 dias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Whitepaper v2.2, grant pack, README público, identidade básica e site simples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Fase 2 - MVP testnet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30-90 dias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Demo pública em testnet, sorteio verificável, painel de fairness e regras públicas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Fase 3 - Preparação institucional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90-150 dias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Revisão jurídica, escopo de auditoria, onboarding de devs e trilha regulatória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Fase 4 - Funding seguinte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150+ dias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Aplicação a rodada maior, ampliação do produto e avaliação de launch path regulado</w:t>
            </w:r>
          </w:p>
        </w:tc>
      </w:tr>
    </w:tbl>
    <w:p>
      <w:pPr>
        <w:spacing w:after="80"/>
      </w:pPr>
    </w:p>
    <w:p>
      <w:pPr>
        <w:pStyle w:val="Heading1"/>
      </w:pPr>
      <w:r>
        <w:t>10. Estratégia de grants</w:t>
      </w:r>
    </w:p>
    <w:p>
      <w:pPr>
        <w:pStyle w:val="ListBullet"/>
        <w:spacing w:after="20"/>
        <w:ind w:left="0"/>
      </w:pPr>
      <w:r>
        <w:t>Prioridade 1: Chainlink Build e grants de integração/comunidade, por encaixe direto com VRF e infraestrutura verificável.</w:t>
      </w:r>
    </w:p>
    <w:p>
      <w:pPr>
        <w:pStyle w:val="ListBullet"/>
        <w:spacing w:after="20"/>
        <w:ind w:left="0"/>
      </w:pPr>
      <w:r>
        <w:t>Prioridade 2: Polygon current-path funding, com pedido menor, escopo em MVP testnet e documentação open-source.</w:t>
      </w:r>
    </w:p>
    <w:p>
      <w:pPr>
        <w:pStyle w:val="ListBullet"/>
        <w:spacing w:after="20"/>
        <w:ind w:left="0"/>
      </w:pPr>
      <w:r>
        <w:t>Prioridade 3: Gitcoin somente se houver subprojeto open-source separado do produto principal.</w:t>
      </w:r>
    </w:p>
    <w:p>
      <w:pPr>
        <w:pStyle w:val="ListBullet"/>
        <w:spacing w:after="20"/>
        <w:ind w:left="0"/>
      </w:pPr>
      <w:r>
        <w:t>Encode Club apenas se o projeto incorporar uma camada de IA legítima e relevante.</w:t>
      </w:r>
    </w:p>
    <w:p>
      <w:pPr>
        <w:pStyle w:val="Heading1"/>
      </w:pPr>
      <w:r>
        <w:t>11. Core team e contato público</w:t>
      </w:r>
    </w:p>
    <w:p>
      <w:pPr/>
      <w:r>
        <w:t>O projeto já não deve mais ser descrito como esforço individual. Nesta fase, o ZodiacChain conta com um core team operacional em Recife, Brazil, com liderança de produto/backend, reforço de backend e análise, liderança de QA e frente de business development e partnerships.</w:t>
      </w:r>
    </w:p>
    <w:p>
      <w:pPr>
        <w:pStyle w:val="Heading2"/>
      </w:pPr>
      <w:r>
        <w:t>Edson Marinho Gomes — Founder, Product &amp; Backend Lead</w:t>
      </w:r>
    </w:p>
    <w:p>
      <w:pPr/>
      <w:r>
        <w:t>Recife, Brazil · 6 years of experience · Full-time. Lidera a visão do produto, a priorização do roadmap e a tradução das regras do protocolo em arquitetura backend e documentação executável.</w:t>
      </w:r>
    </w:p>
    <w:p>
      <w:pPr>
        <w:pStyle w:val="Small"/>
      </w:pPr>
      <w:r>
        <w:t>Competências principais:</w:t>
      </w:r>
    </w:p>
    <w:p>
      <w:pPr>
        <w:pStyle w:val="ListBullet"/>
      </w:pPr>
      <w:r>
        <w:t>Product strategy &amp; roadmap alignment</w:t>
      </w:r>
    </w:p>
    <w:p>
      <w:pPr>
        <w:pStyle w:val="ListBullet"/>
      </w:pPr>
      <w:r>
        <w:t>Backend architecture &amp; business-rule design</w:t>
      </w:r>
    </w:p>
    <w:p>
      <w:pPr>
        <w:pStyle w:val="ListBullet"/>
      </w:pPr>
      <w:r>
        <w:t>Cross-functional execution leadership</w:t>
      </w:r>
    </w:p>
    <w:p>
      <w:pPr>
        <w:pStyle w:val="Small"/>
      </w:pPr>
      <w:r>
        <w:t>LinkedIn: https://www.linkedin.com/in/edmgomes/</w:t>
      </w:r>
    </w:p>
    <w:p>
      <w:pPr>
        <w:pStyle w:val="Heading2"/>
      </w:pPr>
      <w:r>
        <w:t>Bismark Jamerson — Backend Engineer &amp; Software Analyst</w:t>
      </w:r>
    </w:p>
    <w:p>
      <w:pPr/>
      <w:r>
        <w:t>Recife, Brazil · 6 years of experience · Full-time. Apoia a implementação backend do MVP, análise de requisitos, desenho de integrações e a transformação das regras do produto em fluxos técnicos consistentes.</w:t>
      </w:r>
    </w:p>
    <w:p>
      <w:pPr>
        <w:pStyle w:val="Small"/>
      </w:pPr>
      <w:r>
        <w:t>Competências principais:</w:t>
      </w:r>
    </w:p>
    <w:p>
      <w:pPr>
        <w:pStyle w:val="ListBullet"/>
      </w:pPr>
      <w:r>
        <w:t>Backend systems design</w:t>
      </w:r>
    </w:p>
    <w:p>
      <w:pPr>
        <w:pStyle w:val="ListBullet"/>
      </w:pPr>
      <w:r>
        <w:t>Requirements analysis &amp; technical translation</w:t>
      </w:r>
    </w:p>
    <w:p>
      <w:pPr>
        <w:pStyle w:val="ListBullet"/>
      </w:pPr>
      <w:r>
        <w:t>Integration and problem-solving execution</w:t>
      </w:r>
    </w:p>
    <w:p>
      <w:pPr>
        <w:pStyle w:val="Small"/>
      </w:pPr>
      <w:r>
        <w:t>LinkedIn: https://www.linkedin.com/in/bismark-jamerson-538b62163/</w:t>
      </w:r>
    </w:p>
    <w:p>
      <w:pPr>
        <w:pStyle w:val="Heading2"/>
      </w:pPr>
      <w:r>
        <w:t>José Rodrigues Lins Neto — QA Lead</w:t>
      </w:r>
    </w:p>
    <w:p>
      <w:pPr/>
      <w:r>
        <w:t>Recife, Brazil · 13+ years of experience · Full-time. Responsável pela estratégia de testes, critérios de aceitação, validação de fluxos críticos, controle de qualidade e disciplina de release para o MVP.</w:t>
      </w:r>
    </w:p>
    <w:p>
      <w:pPr>
        <w:pStyle w:val="Small"/>
      </w:pPr>
      <w:r>
        <w:t>Competências principais:</w:t>
      </w:r>
    </w:p>
    <w:p>
      <w:pPr>
        <w:pStyle w:val="ListBullet"/>
      </w:pPr>
      <w:r>
        <w:t>Test strategy &amp; validation planning</w:t>
      </w:r>
    </w:p>
    <w:p>
      <w:pPr>
        <w:pStyle w:val="ListBullet"/>
      </w:pPr>
      <w:r>
        <w:t>Defect management &amp; release quality control</w:t>
      </w:r>
    </w:p>
    <w:p>
      <w:pPr>
        <w:pStyle w:val="ListBullet"/>
      </w:pPr>
      <w:r>
        <w:t>Quality assurance process design</w:t>
      </w:r>
    </w:p>
    <w:p>
      <w:pPr>
        <w:pStyle w:val="Small"/>
      </w:pPr>
      <w:r>
        <w:t>LinkedIn: https://www.linkedin.com/in/jos%C3%A9-rodrigues-lins-neto-528aa050/</w:t>
      </w:r>
    </w:p>
    <w:p>
      <w:pPr>
        <w:pStyle w:val="Heading2"/>
      </w:pPr>
      <w:r>
        <w:t>Italo Melo — Business Development &amp; Partnerships Lead</w:t>
      </w:r>
    </w:p>
    <w:p>
      <w:pPr/>
      <w:r>
        <w:t>Recife, Brazil · 4+ years of experience · Full-time. Atua na frente de parcerias, grants, comunicação institucional e relacionamento externo. Tem inglês fluente e apoia o posicionamento internacional do projeto.</w:t>
      </w:r>
    </w:p>
    <w:p>
      <w:pPr>
        <w:pStyle w:val="Small"/>
      </w:pPr>
      <w:r>
        <w:t>Competências principais:</w:t>
      </w:r>
    </w:p>
    <w:p>
      <w:pPr>
        <w:pStyle w:val="ListBullet"/>
      </w:pPr>
      <w:r>
        <w:t>Partnership outreach &amp; relationship management</w:t>
      </w:r>
    </w:p>
    <w:p>
      <w:pPr>
        <w:pStyle w:val="ListBullet"/>
      </w:pPr>
      <w:r>
        <w:t>Stakeholder communication &amp; grant coordination</w:t>
      </w:r>
    </w:p>
    <w:p>
      <w:pPr>
        <w:pStyle w:val="ListBullet"/>
      </w:pPr>
      <w:r>
        <w:t>Business negotiation &amp; international positioning</w:t>
      </w:r>
    </w:p>
    <w:p>
      <w:pPr>
        <w:pStyle w:val="Small"/>
      </w:pPr>
      <w:r>
        <w:t>LinkedIn: not publicly listed yet.</w:t>
      </w:r>
    </w:p>
    <w:p>
      <w:pPr>
        <w:pStyle w:val="Heading2"/>
      </w:pPr>
      <w:r>
        <w:t>Lacunas críticas ainda em aberto</w:t>
      </w:r>
    </w:p>
    <w:p>
      <w:pPr>
        <w:pStyle w:val="ListBullet"/>
      </w:pPr>
      <w:r>
        <w:t>Smart Contract / Solidity Lead</w:t>
      </w:r>
    </w:p>
    <w:p>
      <w:pPr>
        <w:pStyle w:val="ListBullet"/>
      </w:pPr>
      <w:r>
        <w:t>Frontend Web3 Engineer</w:t>
      </w:r>
    </w:p>
    <w:p>
      <w:pPr>
        <w:pStyle w:val="ListBullet"/>
      </w:pPr>
      <w:r>
        <w:t>Legal &amp; Regulatory Counsel</w:t>
      </w:r>
    </w:p>
    <w:p>
      <w:pPr>
        <w:pStyle w:val="ListBullet"/>
      </w:pPr>
      <w:r>
        <w:t>External Security Auditor</w:t>
      </w:r>
    </w:p>
    <w:p>
      <w:pPr>
        <w:pStyle w:val="Heading2"/>
      </w:pPr>
      <w:r>
        <w:t>Canais públicos do projeto</w:t>
      </w:r>
    </w:p>
    <w:p>
      <w:pPr>
        <w:pStyle w:val="ListBullet"/>
      </w:pPr>
      <w:r>
        <w:t>Email principal: zodiacchain.protocol@gmail.com</w:t>
      </w:r>
    </w:p>
    <w:p>
      <w:pPr>
        <w:pStyle w:val="ListBullet"/>
      </w:pPr>
      <w:r>
        <w:t>X/Twitter: @ZodiacChainXYZ</w:t>
      </w:r>
    </w:p>
    <w:p>
      <w:pPr>
        <w:pStyle w:val="ListBullet"/>
      </w:pPr>
      <w:r>
        <w:t>GitHub organization: https://github.com/ZodiacChain</w:t>
      </w:r>
    </w:p>
    <w:p>
      <w:pPr>
        <w:pStyle w:val="ListBullet"/>
      </w:pPr>
      <w:r>
        <w:t>GitHub docs repository: https://github.com/ZodiacChain/zodiacchain-docs</w:t>
      </w:r>
    </w:p>
    <w:p>
      <w:pPr>
        <w:pStyle w:val="ListBullet"/>
      </w:pPr>
      <w:r>
        <w:t>Telegram: @ZodiacChain</w:t>
      </w:r>
    </w:p>
    <w:p>
      <w:pPr>
        <w:pStyle w:val="Heading2"/>
      </w:pPr>
      <w:r>
        <w:t>Referências institucionais consultadas</w:t>
      </w:r>
    </w:p>
    <w:p>
      <w:pPr>
        <w:pStyle w:val="Small"/>
      </w:pPr>
      <w:r>
        <w:rPr>
          <w:b/>
        </w:rPr>
        <w:t>Base de atualização documental em abril de 2026:</w:t>
      </w:r>
    </w:p>
    <w:p>
      <w:pPr>
        <w:pStyle w:val="ListBullet"/>
      </w:pPr>
      <w:r>
        <w:t>Chainlink Build Program e Chainlink Grants/Archives.</w:t>
      </w:r>
    </w:p>
    <w:p>
      <w:pPr>
        <w:pStyle w:val="ListBullet"/>
      </w:pPr>
      <w:r>
        <w:t>Chainlink VRF v2.5 Security Considerations.</w:t>
      </w:r>
    </w:p>
    <w:p>
      <w:pPr>
        <w:pStyle w:val="ListBullet"/>
      </w:pPr>
      <w:r>
        <w:t>Polygon Questbook Season 2 (program closed) e fórum da Community Treasury.</w:t>
      </w:r>
    </w:p>
    <w:p>
      <w:pPr>
        <w:pStyle w:val="ListBullet"/>
      </w:pPr>
      <w:r>
        <w:t>Curaçao Gaming Authority portal, register e license conditions sob a LOK.</w:t>
      </w:r>
    </w:p>
    <w:p>
      <w:pPr>
        <w:pStyle w:val="ListBullet"/>
      </w:pPr>
      <w:r>
        <w:t>Secretaria de Prêmios e Apostas / Ministério da Fazenda - página de apostas de quota fixa.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636363"/>
      <w:sz w:val="18"/>
    </w:rPr>
  </w:style>
  <w:style w:type="paragraph" w:customStyle="1" w:styleId="BoxTitle">
    <w:name w:val="BoxTitle"/>
    <w:basedOn w:val="Normal"/>
    <w:rPr>
      <w:b/>
      <w:color w:val="1F1F1F"/>
      <w:sz w:val="22"/>
    </w:rPr>
  </w:style>
  <w:style w:type="paragraph" w:customStyle="1" w:styleId="Captionish">
    <w:name w:val="Captionish"/>
    <w:basedOn w:val="Normal"/>
    <w:rPr>
      <w:color w:val="6363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