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a46e8c01aa44e1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rFonts w:ascii="Times New Roman" w:hAnsi="Times New Roman" w:eastAsia="SimSun"/>
          <w:b/>
          <w:color w:val="1b4332"/>
          <w:sz w:val="56"/>
        </w:rPr>
        <w:t>记账管家</w:t>
      </w:r>
    </w:p>
    <w:p>
      <w:pPr>
        <w:spacing w:after="600"/>
        <w:jc w:val="center"/>
      </w:pPr>
      <w:r>
        <w:rPr>
          <w:rFonts w:ascii="Times New Roman" w:hAnsi="Times New Roman" w:eastAsia="SimSun"/>
          <w:b/>
          <w:color w:val="2d6a4f"/>
          <w:sz w:val="36"/>
        </w:rPr>
        <w:t>用户使用手册</w:t>
      </w:r>
    </w:p>
    <w:p>
      <w:pPr>
        <w:spacing w:after="3000"/>
        <w:jc w:val="center"/>
      </w:pPr>
      <w:r>
        <w:rPr>
          <w:rFonts w:ascii="Times New Roman" w:hAnsi="Times New Roman" w:eastAsia="SimSun"/>
          <w:color w:val="636e72"/>
          <w:sz w:val="24"/>
        </w:rPr>
        <w:t>个人记账理财系统</w:t>
      </w:r>
    </w:p>
    <w:p>
      <w:pPr>
        <w:spacing w:after="80"/>
        <w:jc w:val="center"/>
      </w:pPr>
      <w:r>
        <w:rPr>
          <w:rFonts w:ascii="Times New Roman" w:hAnsi="Times New Roman" w:eastAsia="SimSun"/>
          <w:color w:val="2d3436"/>
          <w:sz w:val="24"/>
        </w:rPr>
        <w:t>版本：v1.0</w:t>
      </w:r>
    </w:p>
    <w:p>
      <w:pPr>
        <w:spacing w:after="80"/>
        <w:jc w:val="center"/>
      </w:pPr>
      <w:r>
        <w:rPr>
          <w:rFonts w:ascii="Times New Roman" w:hAnsi="Times New Roman" w:eastAsia="SimSun"/>
          <w:color w:val="2d3436"/>
          <w:sz w:val="24"/>
        </w:rPr>
        <w:t>适用平台：PC端浏览器 / 平板浏览器</w:t>
      </w:r>
    </w:p>
    <w:p>
      <w:pPr>
        <w:spacing w:after="80"/>
        <w:jc w:val="center"/>
      </w:pPr>
      <w:r>
        <w:rPr>
          <w:rFonts w:ascii="Times New Roman" w:hAnsi="Times New Roman" w:eastAsia="SimSun"/>
          <w:color w:val="2d3436"/>
          <w:sz w:val="24"/>
        </w:rPr>
        <w:t>文档日期：2025年6月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第一章 系统简介</w:t>
      </w:r>
    </w:p>
    <w:p>
      <w:pPr>
        <w:pStyle w:val="Heading2"/>
      </w:pPr>
      <w:r>
        <w:t>1.1 系统概述</w:t>
      </w:r>
    </w:p>
    <w:p>
      <w:r>
        <w:t>记账管家是一款面向个人用户的纯前端记账理财系统。用户无需安装任何软件，只需通过浏览器即可访问使用。系统所有数据存储在本地浏览器中，保障用户隐私安全。</w:t>
      </w:r>
    </w:p>
    <w:p>
      <w:pPr>
        <w:pStyle w:val="Heading2"/>
      </w:pPr>
      <w:r>
        <w:t>1.2 系统特点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纯前端实现：</w:t>
      </w:r>
      <w:r>
        <w:t>无需后端服务器，打开浏览器即可使用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数据本地存储：</w:t>
      </w:r>
      <w:r>
        <w:t>所有数据保存在浏览器本地，保护隐私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数据可视化：</w:t>
      </w:r>
      <w:r>
        <w:t>集成ECharts图表库，直观展示收支数据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响应式设计：</w:t>
      </w:r>
      <w:r>
        <w:t>适配PC端和平板端，多设备可用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预算管理：</w:t>
      </w:r>
      <w:r>
        <w:t>支持分类预算设置与超支预警</w:t>
      </w:r>
    </w:p>
    <w:p>
      <w:pPr>
        <w:pStyle w:val="Heading2"/>
      </w:pPr>
      <w:r>
        <w:t>1.3 运行环境要求</w:t>
      </w:r>
    </w:p>
    <w:tbl>
      <w:tblPr>
        <w:tblW w:w="5000" w:type="pct"/>
        <w:tblBorders>
          <w:top w:val="single" w:color="2d6a4f" w:sz="12"/>
          <w:left w:val="nil"/>
          <w:bottom w:val="single" w:color="2d6a4f" w:sz="12"/>
          <w:right w:val="nil"/>
          <w:insideH w:val="single" w:color="d4cfc2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项目</w:t>
            </w:r>
          </w:p>
        </w:tc>
        <w:tc>
          <w:tcPr>
            <w:tcW w:w="45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要求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浏览器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Chrome 90+ / Edge 90+ / Firefox 90+ / Safari 14+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设备类型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PC电脑 / 平板电脑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屏幕分辨率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推荐 1280x768 及以上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网络连接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首次加载需要，后续可离线使用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JavaScript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浏览器需启用JavaScript</w:t>
            </w:r>
          </w:p>
        </w:tc>
      </w:tr>
    </w:tbl>
    <w:p>
      <w:pPr>
        <w:pStyle w:val="Heading1"/>
      </w:pPr>
      <w:r>
        <w:t>第二章 系统安装与启动</w:t>
      </w:r>
    </w:p>
    <w:p>
      <w:pPr>
        <w:pStyle w:val="Heading2"/>
      </w:pPr>
      <w:r>
        <w:t>2.1 方式一：直接打开（最简单）</w:t>
      </w:r>
    </w:p>
    <w:p>
      <w:r>
        <w:t>1. 将项目文件夹解压到任意位置</w:t>
      </w:r>
    </w:p>
    <w:p>
      <w:r>
        <w:t>2. 双击打开 index.html 文件，系统将自动在浏览器中运行</w:t>
      </w:r>
    </w:p>
    <w:p>
      <w:r>
        <w:t>3. 或者右键 index.html，选择"用浏览器打开"</w:t>
      </w:r>
    </w:p>
    <w:p>
      <w:pPr>
        <w:pStyle w:val="Heading2"/>
      </w:pPr>
      <w:r>
        <w:t>2.2 方式二：使用本地服务器（推荐）</w:t>
      </w:r>
    </w:p>
    <w:p>
      <w:r>
        <w:t>使用本地服务器可以确保所有功能正常运行，操作步骤如下：</w:t>
      </w:r>
    </w:p>
    <w:p>
      <w:r>
        <w:t>步骤1：安装Python（如未安装，访问 https://www.python.org 下载安装）</w:t>
      </w:r>
    </w:p>
    <w:p>
      <w:r>
        <w:t>步骤2：打开命令行/终端，进入项目文件夹</w:t>
      </w:r>
    </w:p>
    <w:p>
      <w:r>
        <w:t>步骤3：执行以下命令启动服务器：</w:t>
      </w:r>
    </w:p>
    <w:p>
      <w:pPr>
        <w:shd w:val="clear" w:fill="f0f0f0"/>
        <w:spacing w:before="60" w:after="60" w:line="320" w:lineRule="exact"/>
        <w:ind w:left="240" w:firstLine="0"/>
      </w:pPr>
      <w:r>
        <w:rPr>
          <w:rFonts w:ascii="Consolas" w:hAnsi="Consolas" w:eastAsia="SimSun"/>
          <w:color w:val="40916c"/>
          <w:sz w:val="18"/>
        </w:rPr>
        <w:t xml:space="preserve">python -m http.server 8080</w:t>
      </w:r>
    </w:p>
    <w:p>
      <w:r>
        <w:t>步骤4：打开浏览器，访问 http://localhost:8080</w:t>
      </w:r>
    </w:p>
    <w:p>
      <w:r>
        <w:t>步骤5：看到登录页面即表示启动成功</w:t>
      </w:r>
    </w:p>
    <w:p>
      <w:pPr>
        <w:pStyle w:val="Heading2"/>
      </w:pPr>
      <w:r>
        <w:t>2.3 方式三：使用VS Code Live Server</w:t>
      </w:r>
    </w:p>
    <w:p>
      <w:r>
        <w:t>1. 使用VS Code打开项目文件夹</w:t>
      </w:r>
    </w:p>
    <w:p>
      <w:r>
        <w:t>2. 安装 Live Server 插件</w:t>
      </w:r>
    </w:p>
    <w:p>
      <w:r>
        <w:t>3. 右键 index.html，选择 Open with Live Server</w:t>
      </w:r>
    </w:p>
    <w:p>
      <w:r>
        <w:t>4. 浏览器将自动打开运行页面</w:t>
      </w:r>
    </w:p>
    <w:p>
      <w:pPr>
        <w:pStyle w:val="Heading1"/>
      </w:pPr>
      <w:r>
        <w:t>第三章 快速上手指南</w:t>
      </w:r>
    </w:p>
    <w:p>
      <w:pPr>
        <w:pStyle w:val="Heading2"/>
      </w:pPr>
      <w:r>
        <w:t>3.1 首次使用流程</w:t>
      </w:r>
    </w:p>
    <w:p>
      <w:r>
        <w:t>首次使用系统时，请按以下步骤操作：</w:t>
      </w:r>
    </w:p>
    <w:p>
      <w:r>
        <w:t>步骤1：打开系统首页，点击"还没有账号？立即注册"进入注册页面</w:t>
      </w:r>
    </w:p>
    <w:p>
      <w:r>
        <w:t>步骤2：填写用户名（4-16位字母/数字/下划线）、手机号、密码（至少6位），点击注册</w:t>
      </w:r>
    </w:p>
    <w:p>
      <w:r>
        <w:t>步骤3：注册成功后自动跳转到登录页，使用刚才注册的账号密码登录</w:t>
      </w:r>
    </w:p>
    <w:p>
      <w:r>
        <w:t>步骤4：登录成功后进入仪表盘首页，开始使用记账功能</w:t>
      </w:r>
    </w:p>
    <w:p>
      <w:pPr>
        <w:pStyle w:val="Heading2"/>
      </w:pPr>
      <w:r>
        <w:t>3.2 演示账号</w:t>
      </w:r>
    </w:p>
    <w:p>
      <w:r>
        <w:t>系统提供演示账号供快速体验，无需注册：</w:t>
      </w:r>
    </w:p>
    <w:tbl>
      <w:tblPr>
        <w:tblW w:w="5000" w:type="pct"/>
        <w:tblBorders>
          <w:top w:val="single" w:color="2d6a4f" w:sz="12"/>
          <w:left w:val="nil"/>
          <w:bottom w:val="single" w:color="2d6a4f" w:sz="12"/>
          <w:right w:val="nil"/>
          <w:insideH w:val="single" w:color="d4cfc2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项目</w:t>
            </w:r>
          </w:p>
        </w:tc>
        <w:tc>
          <w:tcPr>
            <w:tcW w:w="45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内容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用户名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demo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密码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123456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说明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演示账号已预置示例数据，可直接体验全部功能</w:t>
            </w:r>
          </w:p>
        </w:tc>
      </w:tr>
    </w:tbl>
    <w:p>
      <w:pPr>
        <w:pStyle w:val="Heading2"/>
      </w:pPr>
      <w:r>
        <w:t>3.3 主界面布局说明</w:t>
      </w:r>
    </w:p>
    <w:p>
      <w:r>
        <w:t>登录后进入主界面，布局如下：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左侧边栏：</w:t>
      </w:r>
      <w:r>
        <w:t>系统导航菜单，包含仪表盘、收支明细、记一笔、统计分析、预算管理、个人中心六个入口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顶部导航栏：</w:t>
      </w:r>
      <w:r>
        <w:t>显示当前页面标题、主题切换按钮（亮色/暗色）、用户菜单（个人中心/退出登录）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主内容区：</w:t>
      </w:r>
      <w:r>
        <w:t>显示当前页面的主要内容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底部版权栏：</w:t>
      </w:r>
      <w:r>
        <w:t>显示系统名称和版权信息</w:t>
      </w:r>
    </w:p>
    <w:p>
      <w:pPr>
        <w:pStyle w:val="Heading1"/>
      </w:pPr>
      <w:r>
        <w:t>第四章 功能使用指南</w:t>
      </w:r>
    </w:p>
    <w:p>
      <w:pPr>
        <w:pStyle w:val="Heading2"/>
      </w:pPr>
      <w:r>
        <w:t>4.1 用户注册</w:t>
      </w:r>
    </w:p>
    <w:p>
      <w:r>
        <w:t>操作路径：登录页 &gt; 点击"还没有账号？立即注册"</w:t>
      </w:r>
    </w:p>
    <w:p>
      <w:r>
        <w:t>操作步骤：</w:t>
      </w:r>
    </w:p>
    <w:p>
      <w:r>
        <w:t>1. 输入用户名：4-16位，只能包含字母、数字、下划线</w:t>
      </w:r>
    </w:p>
    <w:p>
      <w:r>
        <w:t>2. 输入手机号：11位有效手机号码</w:t>
      </w:r>
    </w:p>
    <w:p>
      <w:r>
        <w:t>3. 输入密码：至少6位字符</w:t>
      </w:r>
    </w:p>
    <w:p>
      <w:r>
        <w:t>4. 确认密码：与密码保持一致</w:t>
      </w:r>
    </w:p>
    <w:p>
      <w:r>
        <w:t>5. 点击"注册"按钮</w:t>
      </w:r>
    </w:p>
    <w:p>
      <w:r>
        <w:t>注意事项：</w:t>
      </w:r>
    </w:p>
    <w:p>
      <w:pPr>
        <w:numPr>
          <w:ilvl w:val="0"/>
          <w:numId w:val="2"/>
        </w:numPr>
        <w:ind w:firstLine="0"/>
      </w:pPr>
      <w:r>
        <w:t>用户名不能重复，如提示"用户名已存在"请更换用户名</w:t>
      </w:r>
    </w:p>
    <w:p>
      <w:pPr>
        <w:numPr>
          <w:ilvl w:val="0"/>
          <w:numId w:val="2"/>
        </w:numPr>
        <w:ind w:firstLine="0"/>
      </w:pPr>
      <w:r>
        <w:t>所有字段均为必填项</w:t>
      </w:r>
    </w:p>
    <w:p>
      <w:pPr>
        <w:numPr>
          <w:ilvl w:val="0"/>
          <w:numId w:val="2"/>
        </w:numPr>
        <w:ind w:firstLine="0"/>
      </w:pPr>
      <w:r>
        <w:t>注册成功后自动跳转到登录页</w:t>
      </w:r>
    </w:p>
    <w:p>
      <w:pPr>
        <w:pStyle w:val="Heading2"/>
      </w:pPr>
      <w:r>
        <w:t>4.2 用户登录</w:t>
      </w:r>
    </w:p>
    <w:p>
      <w:r>
        <w:t>操作路径：打开系统首页</w:t>
      </w:r>
    </w:p>
    <w:p>
      <w:r>
        <w:t>操作步骤：</w:t>
      </w:r>
    </w:p>
    <w:p>
      <w:r>
        <w:t>1. 输入注册时的用户名</w:t>
      </w:r>
    </w:p>
    <w:p>
      <w:r>
        <w:t>2. 输入密码</w:t>
      </w:r>
    </w:p>
    <w:p>
      <w:r>
        <w:t>3. 点击"登录"按钮</w:t>
      </w:r>
    </w:p>
    <w:p>
      <w:r>
        <w:t>4. 登录成功后进入仪表盘首页</w:t>
      </w:r>
    </w:p>
    <w:p>
      <w:r>
        <w:t>注意事项：</w:t>
      </w:r>
    </w:p>
    <w:p>
      <w:pPr>
        <w:numPr>
          <w:ilvl w:val="0"/>
          <w:numId w:val="2"/>
        </w:numPr>
        <w:ind w:firstLine="0"/>
      </w:pPr>
      <w:r>
        <w:t>密码区分大小写</w:t>
      </w:r>
    </w:p>
    <w:p>
      <w:pPr>
        <w:numPr>
          <w:ilvl w:val="0"/>
          <w:numId w:val="2"/>
        </w:numPr>
        <w:ind w:firstLine="0"/>
      </w:pPr>
      <w:r>
        <w:t>登录失败时会显示具体错误原因（用户名不存在/密码错误）</w:t>
      </w:r>
    </w:p>
    <w:p>
      <w:pPr>
        <w:numPr>
          <w:ilvl w:val="0"/>
          <w:numId w:val="2"/>
        </w:numPr>
        <w:ind w:firstLine="0"/>
      </w:pPr>
      <w:r>
        <w:t>登录状态保持至浏览器关闭，下次打开需重新登录</w:t>
      </w:r>
    </w:p>
    <w:p>
      <w:pPr>
        <w:pStyle w:val="Heading2"/>
      </w:pPr>
      <w:r>
        <w:t>4.3 仪表盘首页</w:t>
      </w:r>
    </w:p>
    <w:p>
      <w:r>
        <w:t>操作路径：登录后默认进入 或 侧边栏点击"仪表盘"</w:t>
      </w:r>
    </w:p>
    <w:p>
      <w:r>
        <w:t>功能说明：</w:t>
      </w:r>
    </w:p>
    <w:p>
      <w:r>
        <w:t>仪表盘首页展示用户财务概览，包括以下区域：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本月收支概览：</w:t>
      </w:r>
      <w:r>
        <w:t>三个统计卡片分别显示本月收入、本月支出、本月结余的金额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快捷操作入口：</w:t>
      </w:r>
      <w:r>
        <w:t>四个快捷按钮：记收入、记支出、看统计、设预算，点击快速跳转到对应功能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近期记录：</w:t>
      </w:r>
      <w:r>
        <w:t>展示最近5条收支记录，点击可查看详情</w:t>
      </w:r>
    </w:p>
    <w:p>
      <w:pPr>
        <w:pStyle w:val="Heading2"/>
      </w:pPr>
      <w:r>
        <w:t>4.4 记一笔（新增收支记录）</w:t>
      </w:r>
    </w:p>
    <w:p>
      <w:r>
        <w:t>操作路径：侧边栏点击"记一笔" 或 仪表盘点击"记收入/记支出"</w:t>
      </w:r>
    </w:p>
    <w:p>
      <w:r>
        <w:t>操作步骤：</w:t>
      </w:r>
    </w:p>
    <w:p>
      <w:r>
        <w:t>1. 选择类型：收入 或 支出</w:t>
      </w:r>
    </w:p>
    <w:p>
      <w:r>
        <w:t>2. 输入金额：正数，支持两位小数</w:t>
      </w:r>
    </w:p>
    <w:p>
      <w:r>
        <w:t>3. 选择分类：根据类型自动切换收入/支出分类列表</w:t>
      </w:r>
    </w:p>
    <w:p>
      <w:r>
        <w:t>4. 选择日期：点击日期选择器选择记录日期，默认为今天</w:t>
      </w:r>
    </w:p>
    <w:p>
      <w:r>
        <w:t>5. 填写备注（可选）：添加交易说明</w:t>
      </w:r>
    </w:p>
    <w:p>
      <w:r>
        <w:t>6. 点击"保存"按钮</w:t>
      </w:r>
    </w:p>
    <w:p>
      <w:r>
        <w:t>注意事项：</w:t>
      </w:r>
    </w:p>
    <w:p>
      <w:pPr>
        <w:numPr>
          <w:ilvl w:val="0"/>
          <w:numId w:val="2"/>
        </w:numPr>
        <w:ind w:firstLine="0"/>
      </w:pPr>
      <w:r>
        <w:t>金额为必填项，必须大于0</w:t>
      </w:r>
    </w:p>
    <w:p>
      <w:pPr>
        <w:numPr>
          <w:ilvl w:val="0"/>
          <w:numId w:val="2"/>
        </w:numPr>
        <w:ind w:firstLine="0"/>
      </w:pPr>
      <w:r>
        <w:t>切换收入/支出类型时，分类列表会自动更新</w:t>
      </w:r>
    </w:p>
    <w:p>
      <w:pPr>
        <w:numPr>
          <w:ilvl w:val="0"/>
          <w:numId w:val="2"/>
        </w:numPr>
        <w:ind w:firstLine="0"/>
      </w:pPr>
      <w:r>
        <w:t>保存成功后自动跳转到收支明细列表</w:t>
      </w:r>
    </w:p>
    <w:p>
      <w:pPr>
        <w:pStyle w:val="Heading2"/>
      </w:pPr>
      <w:r>
        <w:t>4.5 收支明细</w:t>
      </w:r>
    </w:p>
    <w:p>
      <w:r>
        <w:t>操作路径：侧边栏点击"收支明细"</w:t>
      </w:r>
    </w:p>
    <w:p>
      <w:r>
        <w:t>功能说明：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记录列表：</w:t>
      </w:r>
      <w:r>
        <w:t>以表格形式展示所有收支记录，收入显示绿色，支出显示红色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搜索功能：</w:t>
      </w:r>
      <w:r>
        <w:t>在搜索框输入关键词（分类名称或备注内容），按回车搜索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类型筛选：</w:t>
      </w:r>
      <w:r>
        <w:t>下拉选择"全部/收入/支出"，只显示对应类型的记录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分类筛选：</w:t>
      </w:r>
      <w:r>
        <w:t>下拉选择具体分类，只显示该分类的记录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日期筛选：</w:t>
      </w:r>
      <w:r>
        <w:t>选择开始日期和结束日期，只显示该日期范围内的记录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分页功能：</w:t>
      </w:r>
      <w:r>
        <w:t>每页显示10条记录，支持上一页/下一页/直接跳转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查看详情：</w:t>
      </w:r>
      <w:r>
        <w:t>点击某条记录进入详情页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编辑记录：</w:t>
      </w:r>
      <w:r>
        <w:t>详情页点击"编辑"按钮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删除记录：</w:t>
      </w:r>
      <w:r>
        <w:t>详情页点击"删除"按钮，确认后删除</w:t>
      </w:r>
    </w:p>
    <w:p>
      <w:pPr>
        <w:pStyle w:val="Heading2"/>
      </w:pPr>
      <w:r>
        <w:t>4.6 统计分析</w:t>
      </w:r>
    </w:p>
    <w:p>
      <w:r>
        <w:t>操作路径：侧边栏点击"统计分析" 或 仪表盘点击"看统计"</w:t>
      </w:r>
    </w:p>
    <w:p>
      <w:r>
        <w:t>功能说明：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支出分类占比：</w:t>
      </w:r>
      <w:r>
        <w:t>环形图展示各支出分类的金额占比，右侧显示分类图例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收支分类明细：</w:t>
      </w:r>
      <w:r>
        <w:t>分组柱状图对比各分类的收入和支出金额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月度收支趋势：</w:t>
      </w:r>
      <w:r>
        <w:t>折线图展示全年12个月的收入、支出、结余变化趋势</w:t>
      </w:r>
    </w:p>
    <w:p>
      <w:r>
        <w:t>操作提示：</w:t>
      </w:r>
    </w:p>
    <w:p>
      <w:pPr>
        <w:numPr>
          <w:ilvl w:val="0"/>
          <w:numId w:val="2"/>
        </w:numPr>
        <w:ind w:firstLine="0"/>
      </w:pPr>
      <w:r>
        <w:t>顶部可选择不同月份查看对应数据</w:t>
      </w:r>
    </w:p>
    <w:p>
      <w:pPr>
        <w:numPr>
          <w:ilvl w:val="0"/>
          <w:numId w:val="2"/>
        </w:numPr>
        <w:ind w:firstLine="0"/>
      </w:pPr>
      <w:r>
        <w:t>鼠标悬停在图表上可查看具体数值</w:t>
      </w:r>
    </w:p>
    <w:p>
      <w:pPr>
        <w:numPr>
          <w:ilvl w:val="0"/>
          <w:numId w:val="2"/>
        </w:numPr>
        <w:ind w:firstLine="0"/>
      </w:pPr>
      <w:r>
        <w:t>支持亮色/暗色主题切换</w:t>
      </w:r>
    </w:p>
    <w:p>
      <w:pPr>
        <w:pStyle w:val="Heading2"/>
      </w:pPr>
      <w:r>
        <w:t>4.7 预算管理</w:t>
      </w:r>
    </w:p>
    <w:p>
      <w:r>
        <w:t>操作路径：侧边栏点击"预算管理" 或 仪表盘点击"设预算"</w:t>
      </w:r>
    </w:p>
    <w:p>
      <w:r>
        <w:t>功能说明：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预算概览：</w:t>
      </w:r>
      <w:r>
        <w:t>顶部显示本月总预算、已支出、剩余金额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分类预算：</w:t>
      </w:r>
      <w:r>
        <w:t>列出各支出分类，可单独设置预算金额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预算进度：</w:t>
      </w:r>
      <w:r>
        <w:t>进度条可视化展示预算执行情况</w:t>
      </w:r>
    </w:p>
    <w:p>
      <w:r>
        <w:t>预算状态说明：</w:t>
      </w:r>
    </w:p>
    <w:tbl>
      <w:tblPr>
        <w:tblW w:w="5000" w:type="pct"/>
        <w:tblBorders>
          <w:top w:val="single" w:color="2d6a4f" w:sz="12"/>
          <w:left w:val="nil"/>
          <w:bottom w:val="single" w:color="2d6a4f" w:sz="12"/>
          <w:right w:val="nil"/>
          <w:insideH w:val="single" w:color="d4cfc2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状态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颜色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说明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安全</w:t>
            </w:r>
          </w:p>
        </w:tc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绿色</w:t>
            </w:r>
          </w:p>
        </w:tc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已支出 &lt; 预算的80%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警告</w:t>
            </w:r>
          </w:p>
        </w:tc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黄色</w:t>
            </w:r>
          </w:p>
        </w:tc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已支出达到预算的80%-100%</w:t>
            </w:r>
          </w:p>
        </w:tc>
      </w:tr>
      <w:tr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超支</w:t>
            </w:r>
          </w:p>
        </w:tc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红色</w:t>
            </w:r>
          </w:p>
        </w:tc>
        <w:tc>
          <w:tcPr>
            <w:tcW w:w="30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已支出超过预算100%</w:t>
            </w:r>
          </w:p>
        </w:tc>
      </w:tr>
    </w:tbl>
    <w:p>
      <w:r>
        <w:t>操作步骤：</w:t>
      </w:r>
    </w:p>
    <w:p>
      <w:r>
        <w:t>1. 点击某分类的"设置"按钮</w:t>
      </w:r>
    </w:p>
    <w:p>
      <w:r>
        <w:t>2. 在弹出的模态框中输入预算金额</w:t>
      </w:r>
    </w:p>
    <w:p>
      <w:r>
        <w:t>3. 点击"保存"</w:t>
      </w:r>
    </w:p>
    <w:p>
      <w:r>
        <w:t>4. 系统自动更新预算概览和进度条</w:t>
      </w:r>
    </w:p>
    <w:p>
      <w:pPr>
        <w:pStyle w:val="Heading2"/>
      </w:pPr>
      <w:r>
        <w:t>4.8 个人中心</w:t>
      </w:r>
    </w:p>
    <w:p>
      <w:r>
        <w:t>操作路径：侧边栏点击"个人中心" 或 顶部用户菜单</w:t>
      </w:r>
    </w:p>
    <w:p>
      <w:r>
        <w:t>功能说明：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用户头像：</w:t>
      </w:r>
      <w:r>
        <w:t>自动生成用户名首字母作为头像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统计概览：</w:t>
      </w:r>
      <w:r>
        <w:t>显示总记录数、总收入、总支出</w:t>
      </w:r>
    </w:p>
    <w:p>
      <w:pPr>
        <w:numPr>
          <w:ilvl w:val="0"/>
          <w:numId w:val="1"/>
        </w:numPr>
        <w:ind w:firstLine="0"/>
      </w:pPr>
      <w:r>
        <w:rPr>
          <w:b/>
        </w:rPr>
        <w:t xml:space="preserve">信息修改：</w:t>
      </w:r>
      <w:r>
        <w:t>可修改手机号和密码</w:t>
      </w:r>
    </w:p>
    <w:p>
      <w:r>
        <w:t>操作步骤：</w:t>
      </w:r>
    </w:p>
    <w:p>
      <w:r>
        <w:t>1. 修改手机号：输入新手机号（11位），点击保存</w:t>
      </w:r>
    </w:p>
    <w:p>
      <w:r>
        <w:t>2. 修改密码：输入新密码（至少6位），点击保存</w:t>
      </w:r>
    </w:p>
    <w:p>
      <w:r>
        <w:t>3. 留空表示不修改该项</w:t>
      </w:r>
    </w:p>
    <w:p>
      <w:r>
        <w:t>注意事项：</w:t>
      </w:r>
    </w:p>
    <w:p>
      <w:pPr>
        <w:numPr>
          <w:ilvl w:val="0"/>
          <w:numId w:val="2"/>
        </w:numPr>
        <w:ind w:firstLine="0"/>
      </w:pPr>
      <w:r>
        <w:t>手机号需符合11位手机号码格式</w:t>
      </w:r>
    </w:p>
    <w:p>
      <w:pPr>
        <w:numPr>
          <w:ilvl w:val="0"/>
          <w:numId w:val="2"/>
        </w:numPr>
        <w:ind w:firstLine="0"/>
      </w:pPr>
      <w:r>
        <w:t>密码最少6位</w:t>
      </w:r>
    </w:p>
    <w:p>
      <w:pPr>
        <w:pStyle w:val="Heading2"/>
      </w:pPr>
      <w:r>
        <w:t>4.9 主题切换</w:t>
      </w:r>
    </w:p>
    <w:p>
      <w:r>
        <w:t>操作路径：顶部导航栏点击月亮/太阳图标</w:t>
      </w:r>
    </w:p>
    <w:p>
      <w:r>
        <w:t>功能说明：在亮色模式和暗色模式之间切换，切换后图表颜色也会自适应调整。</w:t>
      </w:r>
    </w:p>
    <w:p>
      <w:pPr>
        <w:pStyle w:val="Heading2"/>
      </w:pPr>
      <w:r>
        <w:t>4.10 退出登录</w:t>
      </w:r>
    </w:p>
    <w:p>
      <w:r>
        <w:t>操作路径：顶部用户菜单 &gt; 点击"退出登录"</w:t>
      </w:r>
    </w:p>
    <w:p>
      <w:r>
        <w:t>退出后清除当前登录状态，返回登录页面。所有数据保留在本地存储中，下次登录可继续查看。</w:t>
      </w:r>
    </w:p>
    <w:p>
      <w:pPr>
        <w:pStyle w:val="Heading1"/>
      </w:pPr>
      <w:r>
        <w:t>第五章 常见问题解答（FAQ）</w:t>
      </w:r>
    </w:p>
    <w:p>
      <w:pPr>
        <w:pStyle w:val="Heading2"/>
      </w:pPr>
      <w:r>
        <w:t>Q1：更换浏览器后数据还在吗？</w:t>
      </w:r>
    </w:p>
    <w:p>
      <w:r>
        <w:t>A：数据存储在当前浏览器的本地存储中，更换浏览器或清除浏览器数据会导致数据丢失。建议在同一台设备上使用同一浏览器访问。后续版本将支持云端同步。</w:t>
      </w:r>
    </w:p>
    <w:p>
      <w:pPr>
        <w:pStyle w:val="Heading2"/>
      </w:pPr>
      <w:r>
        <w:t>Q2：忘记密码怎么办？</w:t>
      </w:r>
    </w:p>
    <w:p>
      <w:r>
        <w:t>A：由于数据存储在本地，暂时不支持密码找回功能。如果忘记密码，可以重新注册一个新账号。建议在安全的地方记录好自己的密码。</w:t>
      </w:r>
    </w:p>
    <w:p>
      <w:pPr>
        <w:pStyle w:val="Heading2"/>
      </w:pPr>
      <w:r>
        <w:t>Q3：可以同时使用多个设备吗？</w:t>
      </w:r>
    </w:p>
    <w:p>
      <w:r>
        <w:t>A：可以在不同设备上分别使用，但数据不会自动同步。每个设备上的数据是独立的。如需跨设备使用，目前需要手动在每台设备上录入数据。</w:t>
      </w:r>
    </w:p>
    <w:p>
      <w:pPr>
        <w:pStyle w:val="Heading2"/>
      </w:pPr>
      <w:r>
        <w:t>Q4：数据存储在哪里？安全吗？</w:t>
      </w:r>
    </w:p>
    <w:p>
      <w:r>
        <w:t>A：所有数据存储在您自己的浏览器本地存储（localStorage）中，不会上传到任何服务器。这意味着您的财务数据完全由您自己掌控，无需担心隐私泄露。但请注意不要清除浏览器数据。</w:t>
      </w:r>
    </w:p>
    <w:p>
      <w:pPr>
        <w:pStyle w:val="Heading2"/>
      </w:pPr>
      <w:r>
        <w:t>Q5：系统支持哪些收支分类？</w:t>
      </w:r>
    </w:p>
    <w:p>
      <w:r>
        <w:t>A：系统预设以下分类（暂不支持自定义）：</w:t>
      </w:r>
    </w:p>
    <w:tbl>
      <w:tblPr>
        <w:tblW w:w="5000" w:type="pct"/>
        <w:tblBorders>
          <w:top w:val="single" w:color="2d6a4f" w:sz="12"/>
          <w:left w:val="nil"/>
          <w:bottom w:val="single" w:color="2d6a4f" w:sz="12"/>
          <w:right w:val="nil"/>
          <w:insideH w:val="single" w:color="d4cfc2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收入分类</w:t>
            </w:r>
          </w:p>
        </w:tc>
        <w:tc>
          <w:tcPr>
            <w:tcW w:w="4500" w:type="dxa"/>
            <w:shd w:val="clear" w:fill="e8f5e9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1b4332"/>
                <w:sz w:val="21"/>
              </w:rPr>
              <w:t>支出分类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工资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餐饮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奖金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交通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投资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购物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兼职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房租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红包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水电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其他收入</w:t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娱乐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/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教育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/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医疗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/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通讯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/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美容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/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社交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/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日用</w:t>
            </w:r>
          </w:p>
        </w:tc>
      </w:tr>
      <w:tr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/>
            </w:r>
          </w:p>
        </w:tc>
        <w:tc>
          <w:tcPr>
            <w:tcW w:w="4500" w:type="dxa"/>
          </w:tcPr>
          <w:p>
            <w:pPr>
              <w:spacing w:before="40" w:after="40" w:line="360" w:lineRule="exact"/>
              <w:ind w:firstLine="0"/>
              <w:jc w:val="center"/>
            </w:pPr>
            <w:r>
              <w:rPr>
                <w:rFonts w:ascii="Times New Roman" w:hAnsi="Times New Roman" w:eastAsia="SimSun"/>
                <w:color w:val="2d3436"/>
                <w:sz w:val="20"/>
              </w:rPr>
              <w:t>其他支出</w:t>
            </w:r>
          </w:p>
        </w:tc>
      </w:tr>
    </w:tbl>
    <w:p>
      <w:pPr>
        <w:pStyle w:val="Heading2"/>
      </w:pPr>
      <w:r>
        <w:t>Q6：页面显示异常或功能无法使用怎么办？</w:t>
      </w:r>
    </w:p>
    <w:p>
      <w:r>
        <w:t>A：请按以下步骤排查：</w:t>
      </w:r>
    </w:p>
    <w:p>
      <w:r>
        <w:t>1. 确认浏览器为Chrome 90+/Edge 90+/Firefox 90+版本</w:t>
      </w:r>
    </w:p>
    <w:p>
      <w:r>
        <w:t>2. 确认浏览器已启用JavaScript</w:t>
      </w:r>
    </w:p>
    <w:p>
      <w:r>
        <w:t>3. 尝试清除浏览器缓存后刷新页面</w:t>
      </w:r>
    </w:p>
    <w:p>
      <w:r>
        <w:t>4. 检查是否使用了兼容的打开方式（推荐用本地服务器方式运行）</w:t>
      </w:r>
    </w:p>
    <w:p>
      <w:r>
        <w:t>5. 如问题仍未解决，请记录错误信息并联系开发团队</w:t>
      </w:r>
    </w:p>
    <w:p>
      <w:pPr>
        <w:pStyle w:val="Heading2"/>
      </w:pPr>
      <w:r>
        <w:t>Q7：如何备份数据？</w:t>
      </w:r>
    </w:p>
    <w:p>
      <w:r>
        <w:t>A：目前版本暂不支持数据导出功能。数据保存在浏览器localStorage中。如需备份，可以使用浏览器的开发者工具（F12 &gt; Application &gt; Local Storage）查看和导出数据。后续版本将增加CSV/Excel导出功能。</w:t>
      </w:r>
    </w:p>
    <w:p>
      <w:pPr>
        <w:pStyle w:val="Heading2"/>
      </w:pPr>
      <w:r>
        <w:t>Q8：为什么打开页面是空白的？</w:t>
      </w:r>
    </w:p>
    <w:p>
      <w:r>
        <w:t>A：可能是以下原因导致：</w:t>
      </w:r>
    </w:p>
    <w:p>
      <w:r>
        <w:t>1. JavaScript被禁用：请检查浏览器设置，确保JavaScript已启用</w:t>
      </w:r>
    </w:p>
    <w:p>
      <w:r>
        <w:t>2. 直接打开文件：部分浏览器限制本地文件访问，建议使用本地服务器方式运行</w:t>
      </w:r>
    </w:p>
    <w:p>
      <w:r>
        <w:t>3. 浏览器兼容性：请使用Chrome/Edge/Firefox的较新版本</w:t>
      </w:r>
    </w:p>
    <w:p>
      <w:pPr>
        <w:sectPr>
          <w:headerReference w:type="default" r:id="R1974d0fb8aaf498a"/>
          <w:footerReference w:type="default" r:id="Rd8711b5d2e724013"/>
          <w:pgSz w:w="11906" w:h="16838"/>
          <w:pgMar w:top="144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SimSun"/>
        <w:color w:val="636e72"/>
        <w:sz w:val="18"/>
      </w:rPr>
      <w:t xml:space="preserve">- </w:t>
    </w:r>
    <w:r>
      <w:rPr>
        <w:rFonts w:ascii="Times New Roman" w:hAnsi="Times New Roman" w:eastAsia="SimSun"/>
        <w:color w:val="636e72"/>
        <w:sz w:val="18"/>
      </w:rPr>
      <w:fldChar w:fldCharType="begin"/>
    </w:r>
    <w:r>
      <w:rPr>
        <w:rFonts w:ascii="Times New Roman" w:hAnsi="Times New Roman" w:eastAsia="SimSun"/>
        <w:color w:val="636e72"/>
        <w:sz w:val="18"/>
      </w:rPr>
      <w:instrText xml:space="preserve"> PAGE </w:instrText>
    </w:r>
    <w:r>
      <w:rPr>
        <w:rFonts w:ascii="Times New Roman" w:hAnsi="Times New Roman" w:eastAsia="SimSun"/>
        <w:color w:val="636e72"/>
        <w:sz w:val="18"/>
      </w:rPr>
      <w:fldChar w:fldCharType="separate"/>
    </w:r>
    <w:r>
      <w:rPr>
        <w:rFonts w:ascii="Times New Roman" w:hAnsi="Times New Roman" w:eastAsia="SimSun"/>
        <w:color w:val="636e72"/>
        <w:sz w:val="18"/>
      </w:rPr>
      <w:t>1</w:t>
    </w:r>
    <w:r>
      <w:rPr>
        <w:rFonts w:ascii="Times New Roman" w:hAnsi="Times New Roman" w:eastAsia="SimSun"/>
        <w:color w:val="636e72"/>
        <w:sz w:val="18"/>
      </w:rPr>
      <w:fldChar w:fldCharType="end"/>
    </w:r>
    <w:r>
      <w:rPr>
        <w:rFonts w:ascii="Times New Roman" w:hAnsi="Times New Roman" w:eastAsia="SimSun"/>
        <w:color w:val="636e72"/>
        <w:sz w:val="18"/>
      </w:rPr>
      <w:t xml:space="preserve"> -</w:t>
    </w:r>
    <w:r>
      <w:rPr>
        <w:rFonts w:ascii="Times New Roman" w:hAnsi="Times New Roman" w:eastAsia="SimSun"/>
        <w:color w:val="636e72"/>
        <w:sz w:val="18"/>
      </w:rPr>
      <w:fldChar w:fldCharType="begin"/>
    </w:r>
    <w:r>
      <w:rPr>
        <w:rFonts w:ascii="Times New Roman" w:hAnsi="Times New Roman" w:eastAsia="SimSun"/>
        <w:color w:val="636e72"/>
        <w:sz w:val="18"/>
      </w:rPr>
      <w:instrText xml:space="preserve"> NUMPAGES </w:instrText>
    </w:r>
    <w:r>
      <w:rPr>
        <w:rFonts w:ascii="Times New Roman" w:hAnsi="Times New Roman" w:eastAsia="SimSun"/>
        <w:color w:val="636e72"/>
        <w:sz w:val="18"/>
      </w:rPr>
      <w:fldChar w:fldCharType="separate"/>
    </w:r>
    <w:r>
      <w:rPr>
        <w:rFonts w:ascii="Times New Roman" w:hAnsi="Times New Roman" w:eastAsia="SimSun"/>
        <w:color w:val="636e72"/>
        <w:sz w:val="18"/>
      </w:rPr>
      <w:t>1</w:t>
    </w:r>
    <w:r>
      <w:rPr>
        <w:rFonts w:ascii="Times New Roman" w:hAnsi="Times New Roman" w:eastAsia="SimSun"/>
        <w:color w:val="636e72"/>
        <w:sz w:val="18"/>
      </w:rPr>
      <w:fldChar w:fldCharType="end"/>
    </w:r>
    <w:r>
      <w:rPr>
        <w:rFonts w:ascii="Times New Roman" w:hAnsi="Times New Roman" w:eastAsia="SimSun"/>
        <w:color w:val="636e72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Times New Roman" w:hAnsi="Times New Roman" w:eastAsia="SimSun"/>
        <w:color w:val="636e72"/>
        <w:sz w:val="18"/>
      </w:rPr>
      <w:t>记账管家 - 用户使用手册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●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400" w:lineRule="exact"/>
      <w:ind w:firstLine="480"/>
    </w:pPr>
    <w:rPr>
      <w:rFonts w:ascii="Times New Roman" w:hAnsi="Times New Roman" w:eastAsia="SimSun"/>
      <w:color w:val="2d3436"/>
      <w:sz w:val="24"/>
    </w:rPr>
  </w:style>
  <w:style w:type="paragraph" w:styleId="Heading1">
    <w:name w:val="heading 1"/>
    <w:basedOn w:val="Normal"/>
    <w:pPr>
      <w:keepNext/>
      <w:keepLines/>
      <w:spacing w:before="400" w:after="200" w:line="400" w:lineRule="exact"/>
      <w:ind w:firstLine="0"/>
      <w:jc w:val="center"/>
      <w:outlineLvl w:val="0"/>
    </w:pPr>
    <w:rPr>
      <w:rFonts w:ascii="Times New Roman" w:hAnsi="Times New Roman" w:eastAsia="SimSun"/>
      <w:b/>
      <w:color w:val="2d6a4f"/>
      <w:sz w:val="28"/>
    </w:rPr>
  </w:style>
  <w:style w:type="paragraph" w:styleId="Heading2">
    <w:name w:val="heading 2"/>
    <w:basedOn w:val="Normal"/>
    <w:pPr>
      <w:keepNext/>
      <w:keepLines/>
      <w:spacing w:before="300" w:after="160" w:line="400" w:lineRule="exact"/>
      <w:ind w:firstLine="0"/>
      <w:outlineLvl w:val="1"/>
    </w:pPr>
    <w:rPr>
      <w:rFonts w:ascii="Times New Roman" w:hAnsi="Times New Roman" w:eastAsia="SimSun"/>
      <w:b/>
      <w:color w:val="1b4332"/>
      <w:sz w:val="24"/>
    </w:rPr>
  </w:style>
  <w:style w:type="paragraph" w:styleId="Heading3">
    <w:name w:val="heading 3"/>
    <w:basedOn w:val="Normal"/>
    <w:pPr>
      <w:keepNext/>
      <w:keepLines/>
      <w:spacing w:before="200" w:after="120" w:line="400" w:lineRule="exact"/>
      <w:ind w:firstLine="0"/>
      <w:outlineLvl w:val="2"/>
    </w:pPr>
    <w:rPr>
      <w:rFonts w:ascii="Times New Roman" w:hAnsi="Times New Roman" w:eastAsia="SimSun"/>
      <w:b/>
      <w:color w:val="40916c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1c05124b07674f5c" /><Relationship Type="http://schemas.openxmlformats.org/officeDocument/2006/relationships/numbering" Target="numbering.xml" Id="R5cf417982c5b47c4" /><Relationship Type="http://schemas.openxmlformats.org/officeDocument/2006/relationships/header" Target="header1.xml" Id="R1974d0fb8aaf498a" /><Relationship Type="http://schemas.openxmlformats.org/officeDocument/2006/relationships/footer" Target="footer1.xml" Id="Rd8711b5d2e724013" /><Relationship Type="http://schemas.openxmlformats.org/officeDocument/2006/relationships/settings" Target="settings.xml" Id="R1f52d001e2b446ab" /></Relationships>
</file>