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media/image4.svg" ContentType="image/svg+xml"/>
  <Override PartName="/word/media/image7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4B59B2">
      <w:pPr>
        <w:jc w:val="center"/>
        <w:rPr>
          <w:b/>
          <w:color w:val="000000" w:themeColor="text1"/>
          <w:sz w:val="40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40"/>
          <w:szCs w:val="28"/>
          <w14:textFill>
            <w14:solidFill>
              <w14:schemeClr w14:val="tx1"/>
            </w14:solidFill>
          </w14:textFill>
        </w:rPr>
        <w:t>ET-2</w:t>
      </w:r>
      <w:r>
        <w:rPr>
          <w:rFonts w:hint="eastAsia"/>
          <w:b/>
          <w:color w:val="000000" w:themeColor="text1"/>
          <w:sz w:val="40"/>
          <w:szCs w:val="28"/>
          <w:lang w:val="en-US" w:eastAsia="zh-CN"/>
          <w14:textFill>
            <w14:solidFill>
              <w14:schemeClr w14:val="tx1"/>
            </w14:solidFill>
          </w14:textFill>
        </w:rPr>
        <w:t>6年龄分段Beurer</w:t>
      </w:r>
      <w:r>
        <w:rPr>
          <w:rFonts w:hint="eastAsia"/>
          <w:b/>
          <w:color w:val="000000" w:themeColor="text1"/>
          <w:sz w:val="40"/>
          <w:szCs w:val="28"/>
          <w14:textFill>
            <w14:solidFill>
              <w14:schemeClr w14:val="tx1"/>
            </w14:solidFill>
          </w14:textFill>
        </w:rPr>
        <w:t>设计规格</w:t>
      </w:r>
    </w:p>
    <w:p w14:paraId="17D0A9B8">
      <w:pPr>
        <w:pStyle w:val="15"/>
        <w:tabs>
          <w:tab w:val="left" w:pos="800"/>
          <w:tab w:val="left" w:pos="3000"/>
        </w:tabs>
        <w:ind w:right="105" w:rightChars="50" w:firstLine="0" w:firstLineChars="0"/>
        <w:rPr>
          <w:color w:val="000000" w:themeColor="text1"/>
          <w:sz w:val="20"/>
          <w:szCs w:val="21"/>
          <w14:textFill>
            <w14:solidFill>
              <w14:schemeClr w14:val="tx1"/>
            </w14:solidFill>
          </w14:textFill>
        </w:rPr>
      </w:pPr>
    </w:p>
    <w:p w14:paraId="28C9EF05">
      <w:pPr>
        <w:pStyle w:val="15"/>
        <w:numPr>
          <w:ilvl w:val="0"/>
          <w:numId w:val="1"/>
        </w:numPr>
        <w:ind w:firstLineChars="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sz w:val="24"/>
          <w:szCs w:val="28"/>
        </w:rPr>
        <w:t>设计要求</w:t>
      </w:r>
    </w:p>
    <w:p w14:paraId="4E915CB4">
      <w:pPr>
        <w:widowControl w:val="0"/>
        <w:numPr>
          <w:ilvl w:val="0"/>
          <w:numId w:val="2"/>
        </w:numPr>
        <w:bidi w:val="0"/>
        <w:ind w:left="0" w:leftChars="0" w:firstLine="420" w:firstLineChars="0"/>
        <w:jc w:val="both"/>
        <w:rPr>
          <w:rFonts w:hint="eastAsia"/>
          <w:lang w:val="en-US" w:eastAsia="zh-CN"/>
        </w:rPr>
      </w:pPr>
      <w:bookmarkStart w:id="0" w:name="OLE_LINK5"/>
      <w:r>
        <w:rPr>
          <w:rFonts w:hint="eastAsia"/>
          <w:lang w:val="en-US" w:eastAsia="zh-CN"/>
        </w:rPr>
        <w:t>耳温模式下添加振动，振动频率和蜂鸣一致,长蜂鸣声230ms,短蜂鸣160ms</w:t>
      </w:r>
    </w:p>
    <w:p w14:paraId="1AEE2D0E">
      <w:pPr>
        <w:numPr>
          <w:ilvl w:val="0"/>
          <w:numId w:val="2"/>
        </w:num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删除耳温模式下长按设置键切换物温功能，只保留额温模式切换物温功能。</w:t>
      </w:r>
    </w:p>
    <w:p w14:paraId="7F64D87C">
      <w:pPr>
        <w:widowControl w:val="0"/>
        <w:numPr>
          <w:ilvl w:val="0"/>
          <w:numId w:val="2"/>
        </w:numPr>
        <w:bidi w:val="0"/>
        <w:ind w:left="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删除额温罩戴上或取下</w:t>
      </w:r>
      <w:bookmarkStart w:id="1" w:name="OLE_LINK4"/>
      <w:r>
        <w:rPr>
          <w:rFonts w:hint="eastAsia"/>
          <w:lang w:val="en-US" w:eastAsia="zh-CN"/>
        </w:rPr>
        <w:t>的振动和蜂鸣</w:t>
      </w:r>
    </w:p>
    <w:bookmarkEnd w:id="1"/>
    <w:p w14:paraId="538A6D11">
      <w:pPr>
        <w:widowControl w:val="0"/>
        <w:numPr>
          <w:ilvl w:val="0"/>
          <w:numId w:val="2"/>
        </w:numPr>
        <w:bidi w:val="0"/>
        <w:ind w:left="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测量等待准备完成要双蜂鸣/双振动功能。</w:t>
      </w:r>
    </w:p>
    <w:p w14:paraId="1B13F054">
      <w:pPr>
        <w:widowControl w:val="0"/>
        <w:numPr>
          <w:ilvl w:val="0"/>
          <w:numId w:val="2"/>
        </w:numPr>
        <w:bidi w:val="0"/>
        <w:ind w:left="0" w:leftChars="0" w:firstLine="420" w:firstLineChars="0"/>
        <w:jc w:val="both"/>
        <w:rPr>
          <w:rFonts w:hint="default"/>
          <w:strike w:val="0"/>
          <w:dstrike w:val="0"/>
          <w:lang w:val="en-US" w:eastAsia="zh-CN"/>
        </w:rPr>
      </w:pPr>
      <w:r>
        <w:rPr>
          <w:rFonts w:hint="eastAsia"/>
          <w:strike w:val="0"/>
          <w:dstrike w:val="0"/>
          <w:lang w:val="en-US" w:eastAsia="zh-CN"/>
        </w:rPr>
        <w:t>测量结束要蜂鸣/振动功能。</w:t>
      </w:r>
    </w:p>
    <w:p w14:paraId="7FF06E5B">
      <w:pPr>
        <w:widowControl w:val="0"/>
        <w:numPr>
          <w:ilvl w:val="0"/>
          <w:numId w:val="2"/>
        </w:numPr>
        <w:bidi w:val="0"/>
        <w:ind w:left="0" w:leftChars="0" w:firstLine="420" w:firstLineChars="0"/>
        <w:jc w:val="both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手动关机添加蜂鸣/振动功能230ms。</w:t>
      </w:r>
    </w:p>
    <w:p w14:paraId="6EDF8B3A">
      <w:pPr>
        <w:widowControl w:val="0"/>
        <w:numPr>
          <w:ilvl w:val="0"/>
          <w:numId w:val="2"/>
        </w:numPr>
        <w:bidi w:val="0"/>
        <w:ind w:left="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记忆模式关机，长按测量键4s</w:t>
      </w:r>
    </w:p>
    <w:p w14:paraId="6E3BE4AB">
      <w:pPr>
        <w:widowControl w:val="0"/>
        <w:numPr>
          <w:ilvl w:val="0"/>
          <w:numId w:val="2"/>
        </w:numPr>
        <w:bidi w:val="0"/>
        <w:ind w:left="0" w:leftChars="0" w:firstLine="420" w:firstLineChars="0"/>
        <w:jc w:val="both"/>
        <w:rPr>
          <w:rFonts w:hint="default"/>
          <w:color w:val="FF0000"/>
          <w:lang w:val="en-US" w:eastAsia="zh-CN"/>
        </w:rPr>
      </w:pPr>
      <w:r>
        <w:rPr>
          <w:rFonts w:hint="eastAsia"/>
          <w:lang w:val="en-US" w:eastAsia="zh-CN"/>
        </w:rPr>
        <w:t>额温扫测，固定扫测时间3s。</w:t>
      </w:r>
      <w:r>
        <w:rPr>
          <w:rFonts w:hint="eastAsia"/>
          <w:color w:val="FF0000"/>
          <w:lang w:val="en-US" w:eastAsia="zh-CN"/>
        </w:rPr>
        <w:t>额温补偿用ET219的、添加额温扫测动画</w:t>
      </w:r>
    </w:p>
    <w:p w14:paraId="72AE0F21">
      <w:pPr>
        <w:widowControl w:val="0"/>
        <w:numPr>
          <w:ilvl w:val="0"/>
          <w:numId w:val="2"/>
        </w:numPr>
        <w:bidi w:val="0"/>
        <w:ind w:left="0" w:leftChars="0" w:firstLine="420" w:firstLineChars="0"/>
        <w:jc w:val="both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背光常量15s，耳温5s等待完成不可以打断背光</w:t>
      </w:r>
    </w:p>
    <w:p w14:paraId="0E3EC970">
      <w:pPr>
        <w:widowControl w:val="0"/>
        <w:numPr>
          <w:ilvl w:val="0"/>
          <w:numId w:val="2"/>
        </w:numPr>
        <w:bidi w:val="0"/>
        <w:ind w:left="0" w:leftChars="0" w:firstLine="420" w:firstLineChars="0"/>
        <w:jc w:val="both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二级低电显示Lo+低电符号</w:t>
      </w:r>
    </w:p>
    <w:bookmarkEnd w:id="0"/>
    <w:p w14:paraId="5E0F3052">
      <w:pPr>
        <w:pStyle w:val="15"/>
        <w:numPr>
          <w:ilvl w:val="0"/>
          <w:numId w:val="1"/>
        </w:numPr>
        <w:tabs>
          <w:tab w:val="left" w:pos="800"/>
          <w:tab w:val="left" w:pos="3000"/>
        </w:tabs>
        <w:ind w:right="105" w:rightChars="50" w:firstLineChars="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sz w:val="24"/>
          <w:szCs w:val="21"/>
        </w:rPr>
        <w:t>按键功能设计：</w:t>
      </w:r>
    </w:p>
    <w:p w14:paraId="53AB5EEB">
      <w:pPr>
        <w:pStyle w:val="18"/>
        <w:numPr>
          <w:ilvl w:val="0"/>
          <w:numId w:val="3"/>
        </w:numPr>
        <w:ind w:firstLineChars="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按键功能设计：</w:t>
      </w:r>
    </w:p>
    <w:p w14:paraId="047530BA">
      <w:pPr>
        <w:pStyle w:val="18"/>
        <w:numPr>
          <w:ilvl w:val="0"/>
          <w:numId w:val="4"/>
        </w:numPr>
        <w:ind w:firstLineChars="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开机：短按测量键；</w:t>
      </w:r>
    </w:p>
    <w:p w14:paraId="70DD245A">
      <w:pPr>
        <w:pStyle w:val="18"/>
        <w:numPr>
          <w:ilvl w:val="0"/>
          <w:numId w:val="4"/>
        </w:numPr>
        <w:ind w:firstLineChars="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测量；开机状态下，按下测量键测量；</w:t>
      </w:r>
    </w:p>
    <w:p w14:paraId="6F22C19D">
      <w:pPr>
        <w:pStyle w:val="18"/>
        <w:numPr>
          <w:ilvl w:val="0"/>
          <w:numId w:val="4"/>
        </w:numPr>
        <w:ind w:firstLineChars="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关机：测量键长按</w:t>
      </w:r>
      <w:r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秒关机，待机30秒自动关机；</w:t>
      </w:r>
    </w:p>
    <w:p w14:paraId="40334AC3">
      <w:pPr>
        <w:pStyle w:val="18"/>
        <w:numPr>
          <w:ilvl w:val="0"/>
          <w:numId w:val="4"/>
        </w:numPr>
        <w:ind w:firstLineChars="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声音开关：开机状态下，短按设置键</w:t>
      </w:r>
      <w:r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切换</w:t>
      </w: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；</w:t>
      </w:r>
    </w:p>
    <w:p w14:paraId="5E37354B">
      <w:pPr>
        <w:pStyle w:val="18"/>
        <w:numPr>
          <w:ilvl w:val="0"/>
          <w:numId w:val="4"/>
        </w:numPr>
        <w:ind w:firstLineChars="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模式：开机状态</w:t>
      </w:r>
      <w:r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在额温模式</w:t>
      </w: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下，长按设置键3秒切换物温；</w:t>
      </w:r>
    </w:p>
    <w:p w14:paraId="60C98493">
      <w:pPr>
        <w:pStyle w:val="18"/>
        <w:numPr>
          <w:ilvl w:val="0"/>
          <w:numId w:val="4"/>
        </w:numPr>
        <w:ind w:firstLineChars="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记忆：</w:t>
      </w:r>
      <w:r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关机状态</w:t>
      </w: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下，短按记忆键进入；</w:t>
      </w:r>
    </w:p>
    <w:p w14:paraId="5EEF524C">
      <w:pPr>
        <w:pStyle w:val="18"/>
        <w:numPr>
          <w:ilvl w:val="0"/>
          <w:numId w:val="4"/>
        </w:numPr>
        <w:ind w:firstLineChars="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年龄分段选择：</w:t>
      </w: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开机状态下</w:t>
      </w:r>
      <w:r>
        <w:rPr>
          <w:rFonts w:hint="eastAsia"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短按记忆键；</w:t>
      </w:r>
    </w:p>
    <w:p w14:paraId="76F3A6F4">
      <w:pPr>
        <w:pStyle w:val="18"/>
        <w:numPr>
          <w:ilvl w:val="0"/>
          <w:numId w:val="4"/>
        </w:numPr>
        <w:ind w:firstLineChars="0"/>
        <w:rPr>
          <w:color w:val="auto"/>
          <w:sz w:val="20"/>
          <w:szCs w:val="20"/>
        </w:rPr>
      </w:pPr>
      <w:r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单位切换</w:t>
      </w: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：</w:t>
      </w:r>
      <w:r>
        <w:rPr>
          <w:rFonts w:hint="eastAsia"/>
          <w:color w:val="auto"/>
          <w:sz w:val="20"/>
          <w:szCs w:val="20"/>
        </w:rPr>
        <w:t>关机时，长按</w:t>
      </w:r>
      <w:r>
        <w:rPr>
          <w:rFonts w:hint="eastAsia"/>
          <w:color w:val="auto"/>
          <w:sz w:val="20"/>
          <w:szCs w:val="20"/>
          <w:lang w:val="en-US" w:eastAsia="zh-CN"/>
        </w:rPr>
        <w:t>设置</w:t>
      </w:r>
      <w:r>
        <w:rPr>
          <w:rFonts w:hint="eastAsia"/>
          <w:color w:val="auto"/>
          <w:sz w:val="20"/>
          <w:szCs w:val="20"/>
        </w:rPr>
        <w:t>键</w:t>
      </w:r>
      <w:r>
        <w:rPr>
          <w:rFonts w:hint="eastAsia"/>
          <w:color w:val="auto"/>
          <w:sz w:val="20"/>
          <w:szCs w:val="20"/>
          <w:lang w:val="en-US" w:eastAsia="zh-CN"/>
        </w:rPr>
        <w:t>3</w:t>
      </w:r>
      <w:r>
        <w:rPr>
          <w:rFonts w:hint="eastAsia"/>
          <w:color w:val="auto"/>
          <w:sz w:val="20"/>
          <w:szCs w:val="20"/>
        </w:rPr>
        <w:t>秒进入；</w:t>
      </w:r>
    </w:p>
    <w:p w14:paraId="15B99B67">
      <w:pPr>
        <w:pStyle w:val="18"/>
        <w:numPr>
          <w:ilvl w:val="0"/>
          <w:numId w:val="4"/>
        </w:numPr>
        <w:ind w:firstLineChars="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生产模式：</w:t>
      </w:r>
      <w:r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关机时</w:t>
      </w: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，长按测量键不松开，短按设置键后松开然后长按；</w:t>
      </w:r>
    </w:p>
    <w:p w14:paraId="25B5735D">
      <w:pPr>
        <w:pStyle w:val="18"/>
        <w:numPr>
          <w:ilvl w:val="0"/>
          <w:numId w:val="4"/>
        </w:numPr>
        <w:ind w:firstLineChars="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黑体模式：</w:t>
      </w:r>
      <w:r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待测量状态</w:t>
      </w:r>
      <w:r>
        <w:rPr>
          <w:rFonts w:hint="eastAsia"/>
          <w:color w:val="auto"/>
          <w:sz w:val="20"/>
          <w:szCs w:val="20"/>
        </w:rPr>
        <w:t>下，长按</w:t>
      </w:r>
      <w:r>
        <w:rPr>
          <w:rFonts w:hint="eastAsia"/>
          <w:color w:val="auto"/>
          <w:sz w:val="20"/>
          <w:szCs w:val="20"/>
          <w:lang w:val="en-US" w:eastAsia="zh-CN"/>
        </w:rPr>
        <w:t>测量</w:t>
      </w:r>
      <w:r>
        <w:rPr>
          <w:rFonts w:hint="eastAsia"/>
          <w:color w:val="auto"/>
          <w:sz w:val="20"/>
          <w:szCs w:val="20"/>
        </w:rPr>
        <w:t>键</w:t>
      </w:r>
      <w:r>
        <w:rPr>
          <w:rFonts w:hint="eastAsia"/>
          <w:color w:val="auto"/>
          <w:sz w:val="20"/>
          <w:szCs w:val="20"/>
          <w:lang w:val="en-US" w:eastAsia="zh-CN"/>
        </w:rPr>
        <w:t>7</w:t>
      </w:r>
      <w:r>
        <w:rPr>
          <w:rFonts w:hint="eastAsia"/>
          <w:color w:val="auto"/>
          <w:sz w:val="20"/>
          <w:szCs w:val="20"/>
        </w:rPr>
        <w:t>秒进入；</w:t>
      </w:r>
    </w:p>
    <w:p w14:paraId="02428C94">
      <w:pPr>
        <w:pStyle w:val="18"/>
        <w:numPr>
          <w:ilvl w:val="0"/>
          <w:numId w:val="4"/>
        </w:numPr>
        <w:ind w:firstLineChars="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校准模式：开机状态下，短路P53口后再次短路P54进入；</w:t>
      </w:r>
    </w:p>
    <w:p w14:paraId="3A35F38F">
      <w:pPr>
        <w:pStyle w:val="18"/>
        <w:numPr>
          <w:ilvl w:val="0"/>
          <w:numId w:val="4"/>
        </w:numPr>
        <w:ind w:firstLineChars="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绑定检测模式：</w:t>
      </w:r>
      <w:r>
        <w:rPr>
          <w:rFonts w:hint="eastAsia"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>除生产以外开机状态下</w:t>
      </w: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，短路P54口进入；</w:t>
      </w:r>
    </w:p>
    <w:p w14:paraId="02A76A1F">
      <w:pPr>
        <w:pStyle w:val="18"/>
        <w:numPr>
          <w:ilvl w:val="0"/>
          <w:numId w:val="4"/>
        </w:numPr>
        <w:ind w:firstLineChars="0"/>
        <w:rPr>
          <w:rFonts w:hint="default" w:eastAsiaTheme="minor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参数调整模式：生产模式下，短路P54口进入；</w:t>
      </w:r>
    </w:p>
    <w:p w14:paraId="58DC414D">
      <w:pPr>
        <w:pStyle w:val="2"/>
        <w:numPr>
          <w:ilvl w:val="0"/>
          <w:numId w:val="1"/>
        </w:numPr>
        <w:bidi w:val="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lang w:val="en-US" w:eastAsia="zh-CN"/>
        </w:rPr>
        <w:t>不同年龄段的发烧报警</w:t>
      </w:r>
    </w:p>
    <w:p w14:paraId="34C3D093">
      <w:pPr>
        <w:pStyle w:val="18"/>
        <w:numPr>
          <w:numId w:val="0"/>
        </w:numPr>
        <w:ind w:leftChars="0"/>
        <w:rPr>
          <w:rFonts w:asciiTheme="minorEastAsia" w:hAnsiTheme="minorEastAsia" w:cstheme="minorEastAsia"/>
          <w:color w:val="FF0000"/>
          <w:sz w:val="18"/>
          <w:szCs w:val="18"/>
        </w:rPr>
      </w:pPr>
      <w:r>
        <w:rPr>
          <w:rFonts w:hint="eastAsia"/>
          <w:color w:val="FF0000"/>
          <w:sz w:val="20"/>
          <w:szCs w:val="20"/>
          <w:lang w:val="en-US" w:eastAsia="zh-CN"/>
        </w:rPr>
        <w:t>不同年龄</w:t>
      </w:r>
      <w:r>
        <w:rPr>
          <w:rFonts w:hint="eastAsia"/>
          <w:color w:val="FF0000"/>
          <w:sz w:val="20"/>
          <w:szCs w:val="20"/>
        </w:rPr>
        <w:t>分段</w:t>
      </w:r>
      <w:r>
        <w:rPr>
          <w:rFonts w:hint="eastAsia"/>
          <w:color w:val="FF0000"/>
          <w:sz w:val="20"/>
          <w:szCs w:val="20"/>
          <w:lang w:val="en-US" w:eastAsia="zh-CN"/>
        </w:rPr>
        <w:t>与</w:t>
      </w:r>
      <w:r>
        <w:rPr>
          <w:rFonts w:hint="eastAsia"/>
          <w:color w:val="FF0000"/>
          <w:sz w:val="20"/>
          <w:szCs w:val="20"/>
        </w:rPr>
        <w:t>背光显示关系：</w:t>
      </w:r>
    </w:p>
    <w:p w14:paraId="7368CBC0">
      <w:pPr>
        <w:pStyle w:val="18"/>
        <w:ind w:firstLine="0" w:firstLineChars="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tbl>
      <w:tblPr>
        <w:tblStyle w:val="8"/>
        <w:tblW w:w="1119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1"/>
        <w:gridCol w:w="2205"/>
        <w:gridCol w:w="1985"/>
        <w:gridCol w:w="1559"/>
        <w:gridCol w:w="2126"/>
        <w:gridCol w:w="1418"/>
      </w:tblGrid>
      <w:tr w14:paraId="2DF4E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901" w:type="dxa"/>
            <w:shd w:val="clear" w:color="auto" w:fill="auto"/>
            <w:vAlign w:val="center"/>
          </w:tcPr>
          <w:p w14:paraId="6D57E44B">
            <w:pPr>
              <w:ind w:right="105"/>
              <w:jc w:val="center"/>
              <w:rPr>
                <w:rFonts w:hint="eastAsia" w:eastAsia="宋体" w:cs="Arial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b/>
              </w:rPr>
              <w:t>温度℃</w:t>
            </w:r>
          </w:p>
        </w:tc>
        <w:tc>
          <w:tcPr>
            <w:tcW w:w="2205" w:type="dxa"/>
            <w:shd w:val="clear" w:color="auto" w:fill="auto"/>
            <w:vAlign w:val="center"/>
          </w:tcPr>
          <w:p w14:paraId="1949C788">
            <w:pPr>
              <w:ind w:right="105"/>
              <w:jc w:val="center"/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b/>
              </w:rPr>
              <w:t>温度℉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33DC8C46">
            <w:pPr>
              <w:ind w:right="105"/>
              <w:jc w:val="center"/>
              <w:rPr>
                <w:rFonts w:hint="eastAsia" w:eastAsia="宋体" w:cs="Arial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 w:cs="Arial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提示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1216786">
            <w:pPr>
              <w:ind w:right="105"/>
              <w:jc w:val="center"/>
              <w:rPr>
                <w:rFonts w:hint="eastAsia" w:eastAsia="宋体" w:cs="Arial"/>
                <w:b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 w:cs="Arial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背光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5B1705E3">
            <w:pPr>
              <w:ind w:right="105"/>
              <w:jc w:val="center"/>
              <w:rPr>
                <w:rFonts w:hint="default" w:eastAsia="宋体" w:cs="Arial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 w:cs="Arial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哭笑脸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AFA1918">
            <w:pPr>
              <w:ind w:right="105"/>
              <w:jc w:val="center"/>
              <w:rPr>
                <w:rFonts w:hint="eastAsia" w:eastAsia="宋体" w:cs="Arial"/>
                <w:b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 w:cs="Arial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显示</w:t>
            </w:r>
          </w:p>
        </w:tc>
      </w:tr>
      <w:tr w14:paraId="20885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  <w:jc w:val="center"/>
        </w:trPr>
        <w:tc>
          <w:tcPr>
            <w:tcW w:w="11194" w:type="dxa"/>
            <w:gridSpan w:val="6"/>
            <w:shd w:val="clear" w:color="auto" w:fill="auto"/>
          </w:tcPr>
          <w:p w14:paraId="17C4F887">
            <w:pPr>
              <w:ind w:right="105"/>
              <w:jc w:val="center"/>
              <w:rPr>
                <w:rFonts w:hint="eastAsia" w:eastAsia="宋体" w:cs="Arial"/>
                <w:b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b/>
                <w:bCs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  <w:t xml:space="preserve">0 – 3 </w:t>
            </w:r>
            <w:r>
              <w:rPr>
                <w:rFonts w:hint="eastAsia" w:eastAsia="宋体" w:cs="Arial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月</w:t>
            </w:r>
          </w:p>
        </w:tc>
      </w:tr>
      <w:tr w14:paraId="399F2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" w:hRule="atLeast"/>
          <w:jc w:val="center"/>
        </w:trPr>
        <w:tc>
          <w:tcPr>
            <w:tcW w:w="1901" w:type="dxa"/>
            <w:shd w:val="clear" w:color="auto" w:fill="auto"/>
          </w:tcPr>
          <w:p w14:paraId="0984D21C">
            <w:pPr>
              <w:ind w:right="105"/>
              <w:jc w:val="center"/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  <w:t>34.0 ≤ T ≤ 37.4</w:t>
            </w:r>
          </w:p>
        </w:tc>
        <w:tc>
          <w:tcPr>
            <w:tcW w:w="2205" w:type="dxa"/>
            <w:shd w:val="clear" w:color="auto" w:fill="auto"/>
          </w:tcPr>
          <w:p w14:paraId="7EDA5220">
            <w:pPr>
              <w:ind w:right="105"/>
              <w:jc w:val="center"/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</w:pPr>
            <w:bookmarkStart w:id="2" w:name="OLE_LINK14"/>
            <w:bookmarkEnd w:id="2"/>
            <w:r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  <w:t>93.2 ≤ T ≤ 99.4</w:t>
            </w:r>
          </w:p>
        </w:tc>
        <w:tc>
          <w:tcPr>
            <w:tcW w:w="1985" w:type="dxa"/>
            <w:shd w:val="clear" w:color="auto" w:fill="auto"/>
          </w:tcPr>
          <w:p w14:paraId="0F3FEDF8">
            <w:pPr>
              <w:ind w:right="105"/>
              <w:jc w:val="center"/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</w:rPr>
              <w:t>Bi-</w:t>
            </w:r>
          </w:p>
        </w:tc>
        <w:tc>
          <w:tcPr>
            <w:tcW w:w="1559" w:type="dxa"/>
            <w:shd w:val="clear" w:color="auto" w:fill="auto"/>
          </w:tcPr>
          <w:p w14:paraId="76867923">
            <w:pPr>
              <w:ind w:right="105"/>
              <w:jc w:val="center"/>
              <w:rPr>
                <w:rFonts w:hint="default" w:eastAsia="宋体" w:cs="Arial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 w:cs="Arial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绿色</w:t>
            </w:r>
          </w:p>
        </w:tc>
        <w:tc>
          <w:tcPr>
            <w:tcW w:w="2126" w:type="dxa"/>
            <w:shd w:val="clear" w:color="auto" w:fill="auto"/>
          </w:tcPr>
          <w:p w14:paraId="64DA6FD1">
            <w:pPr>
              <w:ind w:right="105"/>
              <w:jc w:val="center"/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121920" cy="121920"/>
                  <wp:effectExtent l="0" t="0" r="11430" b="11430"/>
                  <wp:docPr id="1956395054" name="Grafik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6395054" name="Grafik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" cy="1219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shd w:val="clear" w:color="auto" w:fill="auto"/>
          </w:tcPr>
          <w:p w14:paraId="7D30CBD0">
            <w:pPr>
              <w:ind w:right="105"/>
              <w:jc w:val="center"/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162C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" w:hRule="atLeast"/>
          <w:jc w:val="center"/>
        </w:trPr>
        <w:tc>
          <w:tcPr>
            <w:tcW w:w="1901" w:type="dxa"/>
            <w:shd w:val="clear" w:color="auto" w:fill="auto"/>
          </w:tcPr>
          <w:p w14:paraId="6DEDB40C">
            <w:pPr>
              <w:ind w:right="105"/>
              <w:jc w:val="center"/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  <w:t xml:space="preserve">37.4 &lt; T ≤ 43.0 </w:t>
            </w:r>
            <w:bookmarkStart w:id="3" w:name="OLE_LINK9"/>
            <w:bookmarkEnd w:id="3"/>
          </w:p>
        </w:tc>
        <w:tc>
          <w:tcPr>
            <w:tcW w:w="2205" w:type="dxa"/>
            <w:shd w:val="clear" w:color="auto" w:fill="auto"/>
          </w:tcPr>
          <w:p w14:paraId="02630EE7">
            <w:pPr>
              <w:ind w:right="105"/>
              <w:jc w:val="center"/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</w:pPr>
            <w:bookmarkStart w:id="4" w:name="OLE_LINK18"/>
            <w:bookmarkEnd w:id="4"/>
            <w:r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  <w:t>99.4 &lt; T ≤ 109.4</w:t>
            </w:r>
          </w:p>
        </w:tc>
        <w:tc>
          <w:tcPr>
            <w:tcW w:w="1985" w:type="dxa"/>
            <w:shd w:val="clear" w:color="auto" w:fill="auto"/>
          </w:tcPr>
          <w:p w14:paraId="09A349A6">
            <w:pPr>
              <w:ind w:right="105"/>
              <w:jc w:val="center"/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</w:rPr>
              <w:t>Bi-</w:t>
            </w:r>
            <w:r>
              <w:rPr>
                <w:rFonts w:hint="eastAsia" w:asciiTheme="minorEastAsia" w:hAnsiTheme="minorEastAsia" w:cstheme="minorEastAsia"/>
                <w:lang w:val="en-US" w:eastAsia="zh-CN"/>
              </w:rPr>
              <w:t>-bi-bi-bi-</w:t>
            </w:r>
          </w:p>
        </w:tc>
        <w:tc>
          <w:tcPr>
            <w:tcW w:w="1559" w:type="dxa"/>
            <w:shd w:val="clear" w:color="auto" w:fill="auto"/>
          </w:tcPr>
          <w:p w14:paraId="73EC3B04">
            <w:pPr>
              <w:ind w:right="105"/>
              <w:jc w:val="center"/>
              <w:rPr>
                <w:rFonts w:hint="default" w:eastAsia="宋体" w:cs="Arial"/>
                <w:color w:val="000000" w:themeColor="text1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 w:cs="Arial"/>
                <w:color w:val="000000" w:themeColor="text1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红色</w:t>
            </w:r>
          </w:p>
        </w:tc>
        <w:tc>
          <w:tcPr>
            <w:tcW w:w="2126" w:type="dxa"/>
            <w:shd w:val="clear" w:color="auto" w:fill="auto"/>
          </w:tcPr>
          <w:p w14:paraId="5EE7DF59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/>
                <w:b/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121920" cy="121920"/>
                  <wp:effectExtent l="0" t="0" r="11430" b="11430"/>
                  <wp:docPr id="341126345" name="Grafik 2" descr="Traurige Gesichtskontur mit einfarbiger Füll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1126345" name="Grafik 2" descr="Traurige Gesichtskontur mit einfarbiger Füllung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" cy="121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shd w:val="clear" w:color="auto" w:fill="auto"/>
          </w:tcPr>
          <w:p w14:paraId="1E242372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eastAsia="ja-JP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2603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" w:hRule="atLeast"/>
          <w:jc w:val="center"/>
        </w:trPr>
        <w:tc>
          <w:tcPr>
            <w:tcW w:w="1901" w:type="dxa"/>
            <w:shd w:val="clear" w:color="auto" w:fill="auto"/>
          </w:tcPr>
          <w:p w14:paraId="05A349FE">
            <w:pPr>
              <w:ind w:right="105"/>
              <w:jc w:val="center"/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  <w:t>T &lt; 34.0</w:t>
            </w:r>
          </w:p>
        </w:tc>
        <w:tc>
          <w:tcPr>
            <w:tcW w:w="2205" w:type="dxa"/>
            <w:shd w:val="clear" w:color="auto" w:fill="auto"/>
          </w:tcPr>
          <w:p w14:paraId="3E11C251">
            <w:pPr>
              <w:ind w:right="105"/>
              <w:jc w:val="center"/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  <w:t>T &lt; 93.2</w:t>
            </w:r>
          </w:p>
        </w:tc>
        <w:tc>
          <w:tcPr>
            <w:tcW w:w="1985" w:type="dxa"/>
            <w:shd w:val="clear" w:color="auto" w:fill="auto"/>
          </w:tcPr>
          <w:p w14:paraId="5C7FFB78">
            <w:pPr>
              <w:ind w:right="105"/>
              <w:jc w:val="center"/>
              <w:rPr>
                <w:rFonts w:eastAsia="Yu Gothic" w:cs="Arial"/>
                <w:color w:val="000000" w:themeColor="text1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lang w:val="en-US" w:eastAsia="zh-CN"/>
              </w:rPr>
              <w:t>b</w:t>
            </w:r>
            <w:r>
              <w:rPr>
                <w:rFonts w:hint="eastAsia" w:asciiTheme="minorEastAsia" w:hAnsiTheme="minorEastAsia" w:cstheme="minorEastAsia"/>
              </w:rPr>
              <w:t>i</w:t>
            </w:r>
            <w:r>
              <w:rPr>
                <w:rFonts w:hint="eastAsia" w:asciiTheme="minorEastAsia" w:hAnsiTheme="minorEastAsia" w:cstheme="minorEastAsia"/>
                <w:lang w:val="en-US" w:eastAsia="zh-CN"/>
              </w:rPr>
              <w:t>-bi-bi-bi-</w:t>
            </w:r>
          </w:p>
        </w:tc>
        <w:tc>
          <w:tcPr>
            <w:tcW w:w="1559" w:type="dxa"/>
            <w:shd w:val="clear" w:color="auto" w:fill="auto"/>
          </w:tcPr>
          <w:p w14:paraId="5D1DB097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 w:cs="Arial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绿色</w:t>
            </w:r>
          </w:p>
        </w:tc>
        <w:tc>
          <w:tcPr>
            <w:tcW w:w="2126" w:type="dxa"/>
            <w:shd w:val="clear" w:color="auto" w:fill="auto"/>
          </w:tcPr>
          <w:p w14:paraId="4734CBF7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121920" cy="121920"/>
                  <wp:effectExtent l="0" t="0" r="11430" b="11430"/>
                  <wp:docPr id="1757293932" name="Grafik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7293932" name="Grafik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" cy="1219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shd w:val="clear" w:color="auto" w:fill="auto"/>
          </w:tcPr>
          <w:p w14:paraId="5637FA00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  <w:t>Lo</w:t>
            </w:r>
          </w:p>
        </w:tc>
      </w:tr>
      <w:tr w14:paraId="2C885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" w:hRule="atLeast"/>
          <w:jc w:val="center"/>
        </w:trPr>
        <w:tc>
          <w:tcPr>
            <w:tcW w:w="1901" w:type="dxa"/>
            <w:shd w:val="clear" w:color="auto" w:fill="auto"/>
          </w:tcPr>
          <w:p w14:paraId="5D814A42">
            <w:pPr>
              <w:ind w:right="105"/>
              <w:jc w:val="center"/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  <w:t>T &gt; 43.0</w:t>
            </w:r>
          </w:p>
        </w:tc>
        <w:tc>
          <w:tcPr>
            <w:tcW w:w="2205" w:type="dxa"/>
            <w:shd w:val="clear" w:color="auto" w:fill="auto"/>
          </w:tcPr>
          <w:p w14:paraId="78E921D7">
            <w:pPr>
              <w:ind w:right="105"/>
              <w:jc w:val="center"/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  <w:t>T &gt; 109.4</w:t>
            </w:r>
          </w:p>
        </w:tc>
        <w:tc>
          <w:tcPr>
            <w:tcW w:w="1985" w:type="dxa"/>
            <w:shd w:val="clear" w:color="auto" w:fill="auto"/>
          </w:tcPr>
          <w:p w14:paraId="55E2066C">
            <w:pPr>
              <w:ind w:right="105"/>
              <w:jc w:val="center"/>
              <w:rPr>
                <w:rFonts w:eastAsia="Yu Gothic" w:cs="Arial"/>
                <w:color w:val="000000" w:themeColor="text1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</w:rPr>
              <w:t>Bi-</w:t>
            </w:r>
            <w:r>
              <w:rPr>
                <w:rFonts w:hint="eastAsia" w:asciiTheme="minorEastAsia" w:hAnsiTheme="minorEastAsia" w:cstheme="minorEastAsia"/>
                <w:lang w:val="en-US" w:eastAsia="zh-CN"/>
              </w:rPr>
              <w:t>-bi-bi-bi-</w:t>
            </w:r>
          </w:p>
        </w:tc>
        <w:tc>
          <w:tcPr>
            <w:tcW w:w="1559" w:type="dxa"/>
            <w:shd w:val="clear" w:color="auto" w:fill="auto"/>
          </w:tcPr>
          <w:p w14:paraId="2C6822E4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 w:cs="Arial"/>
                <w:color w:val="000000" w:themeColor="text1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红色</w:t>
            </w:r>
          </w:p>
        </w:tc>
        <w:tc>
          <w:tcPr>
            <w:tcW w:w="2126" w:type="dxa"/>
            <w:shd w:val="clear" w:color="auto" w:fill="auto"/>
          </w:tcPr>
          <w:p w14:paraId="159302E0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121920" cy="121920"/>
                  <wp:effectExtent l="0" t="0" r="11430" b="11430"/>
                  <wp:docPr id="2054557125" name="Grafik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4557125" name="Grafik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" cy="1219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shd w:val="clear" w:color="auto" w:fill="auto"/>
          </w:tcPr>
          <w:p w14:paraId="40342C20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  <w:t>Hi</w:t>
            </w:r>
          </w:p>
        </w:tc>
      </w:tr>
      <w:tr w14:paraId="7CC46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" w:hRule="atLeast"/>
          <w:jc w:val="center"/>
        </w:trPr>
        <w:tc>
          <w:tcPr>
            <w:tcW w:w="11194" w:type="dxa"/>
            <w:gridSpan w:val="6"/>
            <w:shd w:val="clear" w:color="auto" w:fill="auto"/>
          </w:tcPr>
          <w:p w14:paraId="575E0C22">
            <w:pPr>
              <w:ind w:right="105"/>
              <w:jc w:val="center"/>
              <w:rPr>
                <w:rFonts w:hint="eastAsia" w:eastAsia="宋体" w:cs="Arial"/>
                <w:b/>
                <w:bCs/>
                <w:color w:val="000000" w:themeColor="text1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b/>
                <w:bCs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  <w:t xml:space="preserve">3 – 36 </w:t>
            </w:r>
            <w:r>
              <w:rPr>
                <w:rFonts w:hint="eastAsia" w:eastAsia="宋体" w:cs="Arial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月</w:t>
            </w:r>
          </w:p>
        </w:tc>
      </w:tr>
      <w:tr w14:paraId="62E88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" w:hRule="atLeast"/>
          <w:jc w:val="center"/>
        </w:trPr>
        <w:tc>
          <w:tcPr>
            <w:tcW w:w="1901" w:type="dxa"/>
            <w:shd w:val="clear" w:color="auto" w:fill="auto"/>
          </w:tcPr>
          <w:p w14:paraId="52C38700">
            <w:pPr>
              <w:ind w:right="105"/>
              <w:jc w:val="center"/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sz w:val="23"/>
                <w:szCs w:val="23"/>
                <w:lang w:eastAsia="ja-JP"/>
                <w14:textFill>
                  <w14:solidFill>
                    <w14:schemeClr w14:val="tx1"/>
                  </w14:solidFill>
                </w14:textFill>
              </w:rPr>
              <w:t>34.0 ≤ T ≤ 37.6</w:t>
            </w:r>
          </w:p>
        </w:tc>
        <w:tc>
          <w:tcPr>
            <w:tcW w:w="2205" w:type="dxa"/>
            <w:shd w:val="clear" w:color="auto" w:fill="auto"/>
          </w:tcPr>
          <w:p w14:paraId="4C36B580">
            <w:pPr>
              <w:ind w:right="105"/>
              <w:jc w:val="center"/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sz w:val="23"/>
                <w:szCs w:val="23"/>
                <w:lang w:eastAsia="ja-JP"/>
                <w14:textFill>
                  <w14:solidFill>
                    <w14:schemeClr w14:val="tx1"/>
                  </w14:solidFill>
                </w14:textFill>
              </w:rPr>
              <w:t>93.2 ≤ T ≤ 99.6</w:t>
            </w:r>
          </w:p>
        </w:tc>
        <w:tc>
          <w:tcPr>
            <w:tcW w:w="1985" w:type="dxa"/>
            <w:shd w:val="clear" w:color="auto" w:fill="auto"/>
          </w:tcPr>
          <w:p w14:paraId="4A789B76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</w:rPr>
              <w:t>Bi-</w:t>
            </w:r>
          </w:p>
        </w:tc>
        <w:tc>
          <w:tcPr>
            <w:tcW w:w="1559" w:type="dxa"/>
            <w:shd w:val="clear" w:color="auto" w:fill="auto"/>
          </w:tcPr>
          <w:p w14:paraId="065D5F03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 w:cs="Arial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绿色</w:t>
            </w:r>
          </w:p>
        </w:tc>
        <w:tc>
          <w:tcPr>
            <w:tcW w:w="2126" w:type="dxa"/>
            <w:shd w:val="clear" w:color="auto" w:fill="auto"/>
          </w:tcPr>
          <w:p w14:paraId="56F2688F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shd w:val="clear" w:color="auto" w:fill="FFFFFF"/>
                <w:lang w:eastAsia="ja-JP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121920" cy="121920"/>
                  <wp:effectExtent l="0" t="0" r="11430" b="11430"/>
                  <wp:docPr id="1603561306" name="Grafik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3561306" name="Grafik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" cy="1219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shd w:val="clear" w:color="auto" w:fill="auto"/>
          </w:tcPr>
          <w:p w14:paraId="404FA097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72D6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" w:hRule="atLeast"/>
          <w:jc w:val="center"/>
        </w:trPr>
        <w:tc>
          <w:tcPr>
            <w:tcW w:w="1901" w:type="dxa"/>
            <w:shd w:val="clear" w:color="auto" w:fill="auto"/>
          </w:tcPr>
          <w:p w14:paraId="7AB42160">
            <w:pPr>
              <w:ind w:right="105"/>
              <w:jc w:val="center"/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sz w:val="23"/>
                <w:szCs w:val="23"/>
                <w:lang w:eastAsia="ja-JP"/>
                <w14:textFill>
                  <w14:solidFill>
                    <w14:schemeClr w14:val="tx1"/>
                  </w14:solidFill>
                </w14:textFill>
              </w:rPr>
              <w:t xml:space="preserve">37.6 </w:t>
            </w:r>
            <w:r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  <w:t xml:space="preserve">&lt; </w:t>
            </w:r>
            <w:r>
              <w:rPr>
                <w:rFonts w:eastAsia="Yu Gothic" w:cs="Arial"/>
                <w:color w:val="000000" w:themeColor="text1"/>
                <w:sz w:val="23"/>
                <w:szCs w:val="23"/>
                <w:lang w:eastAsia="ja-JP"/>
                <w14:textFill>
                  <w14:solidFill>
                    <w14:schemeClr w14:val="tx1"/>
                  </w14:solidFill>
                </w14:textFill>
              </w:rPr>
              <w:t>T ≤ 38.5</w:t>
            </w:r>
          </w:p>
        </w:tc>
        <w:tc>
          <w:tcPr>
            <w:tcW w:w="2205" w:type="dxa"/>
            <w:shd w:val="clear" w:color="auto" w:fill="auto"/>
          </w:tcPr>
          <w:p w14:paraId="09236917">
            <w:pPr>
              <w:ind w:right="105"/>
              <w:jc w:val="center"/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sz w:val="23"/>
                <w:szCs w:val="23"/>
                <w:lang w:eastAsia="ja-JP"/>
                <w14:textFill>
                  <w14:solidFill>
                    <w14:schemeClr w14:val="tx1"/>
                  </w14:solidFill>
                </w14:textFill>
              </w:rPr>
              <w:t xml:space="preserve">99.6 </w:t>
            </w:r>
            <w:r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  <w:t xml:space="preserve">&lt; </w:t>
            </w:r>
            <w:r>
              <w:rPr>
                <w:rFonts w:eastAsia="Yu Gothic" w:cs="Arial"/>
                <w:color w:val="000000" w:themeColor="text1"/>
                <w:sz w:val="23"/>
                <w:szCs w:val="23"/>
                <w:lang w:eastAsia="ja-JP"/>
                <w14:textFill>
                  <w14:solidFill>
                    <w14:schemeClr w14:val="tx1"/>
                  </w14:solidFill>
                </w14:textFill>
              </w:rPr>
              <w:t>T ≤ 101.3</w:t>
            </w:r>
          </w:p>
        </w:tc>
        <w:tc>
          <w:tcPr>
            <w:tcW w:w="1985" w:type="dxa"/>
            <w:shd w:val="clear" w:color="auto" w:fill="auto"/>
          </w:tcPr>
          <w:p w14:paraId="21701E02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</w:rPr>
              <w:t>Bi-</w:t>
            </w:r>
          </w:p>
        </w:tc>
        <w:tc>
          <w:tcPr>
            <w:tcW w:w="1559" w:type="dxa"/>
            <w:shd w:val="clear" w:color="auto" w:fill="auto"/>
          </w:tcPr>
          <w:p w14:paraId="09E00765">
            <w:pPr>
              <w:ind w:right="105"/>
              <w:jc w:val="center"/>
              <w:rPr>
                <w:rFonts w:hint="eastAsia" w:eastAsia="宋体" w:cs="Arial"/>
                <w:color w:val="000000" w:themeColor="text1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 w:cs="Arial"/>
                <w:color w:val="000000" w:themeColor="text1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黄色</w:t>
            </w:r>
          </w:p>
        </w:tc>
        <w:tc>
          <w:tcPr>
            <w:tcW w:w="2126" w:type="dxa"/>
            <w:shd w:val="clear" w:color="auto" w:fill="auto"/>
          </w:tcPr>
          <w:p w14:paraId="4512DA41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121920" cy="121920"/>
                  <wp:effectExtent l="0" t="0" r="11430" b="11430"/>
                  <wp:docPr id="975530867" name="Grafik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5530867" name="Grafik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" cy="1219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shd w:val="clear" w:color="auto" w:fill="auto"/>
          </w:tcPr>
          <w:p w14:paraId="4A56B192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CC22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" w:hRule="atLeast"/>
          <w:jc w:val="center"/>
        </w:trPr>
        <w:tc>
          <w:tcPr>
            <w:tcW w:w="1901" w:type="dxa"/>
            <w:shd w:val="clear" w:color="auto" w:fill="auto"/>
          </w:tcPr>
          <w:p w14:paraId="5D7C325F">
            <w:pPr>
              <w:ind w:right="105"/>
              <w:jc w:val="center"/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  <w:t>38.5 &lt; T ≤ 43.0</w:t>
            </w:r>
          </w:p>
        </w:tc>
        <w:tc>
          <w:tcPr>
            <w:tcW w:w="2205" w:type="dxa"/>
            <w:shd w:val="clear" w:color="auto" w:fill="auto"/>
          </w:tcPr>
          <w:p w14:paraId="728F6295">
            <w:pPr>
              <w:ind w:right="105"/>
              <w:jc w:val="center"/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  <w:t>101.3 &lt; T ≤ 109.4</w:t>
            </w:r>
          </w:p>
        </w:tc>
        <w:tc>
          <w:tcPr>
            <w:tcW w:w="1985" w:type="dxa"/>
            <w:shd w:val="clear" w:color="auto" w:fill="auto"/>
          </w:tcPr>
          <w:p w14:paraId="41D11C0C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</w:rPr>
              <w:t>Bi-</w:t>
            </w:r>
            <w:r>
              <w:rPr>
                <w:rFonts w:hint="eastAsia" w:asciiTheme="minorEastAsia" w:hAnsiTheme="minorEastAsia" w:cstheme="minorEastAsia"/>
                <w:lang w:val="en-US" w:eastAsia="zh-CN"/>
              </w:rPr>
              <w:t>-bi-bi-bi-</w:t>
            </w:r>
          </w:p>
        </w:tc>
        <w:tc>
          <w:tcPr>
            <w:tcW w:w="1559" w:type="dxa"/>
            <w:shd w:val="clear" w:color="auto" w:fill="auto"/>
          </w:tcPr>
          <w:p w14:paraId="79112DE7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 w:cs="Arial"/>
                <w:color w:val="000000" w:themeColor="text1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红色</w:t>
            </w:r>
          </w:p>
        </w:tc>
        <w:tc>
          <w:tcPr>
            <w:tcW w:w="2126" w:type="dxa"/>
            <w:shd w:val="clear" w:color="auto" w:fill="auto"/>
          </w:tcPr>
          <w:p w14:paraId="6ED8A3D4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121920" cy="121920"/>
                  <wp:effectExtent l="0" t="0" r="11430" b="11430"/>
                  <wp:docPr id="1676781872" name="Grafik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6781872" name="Grafik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" cy="1219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shd w:val="clear" w:color="auto" w:fill="auto"/>
          </w:tcPr>
          <w:p w14:paraId="23910F30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9CE0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" w:hRule="atLeast"/>
          <w:jc w:val="center"/>
        </w:trPr>
        <w:tc>
          <w:tcPr>
            <w:tcW w:w="1901" w:type="dxa"/>
            <w:shd w:val="clear" w:color="auto" w:fill="auto"/>
          </w:tcPr>
          <w:p w14:paraId="5E721B57">
            <w:pPr>
              <w:ind w:right="105"/>
              <w:jc w:val="center"/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sz w:val="23"/>
                <w:szCs w:val="23"/>
                <w:lang w:eastAsia="ja-JP"/>
                <w14:textFill>
                  <w14:solidFill>
                    <w14:schemeClr w14:val="tx1"/>
                  </w14:solidFill>
                </w14:textFill>
              </w:rPr>
              <w:t xml:space="preserve">T </w:t>
            </w:r>
            <w:r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  <w:t xml:space="preserve">&lt; </w:t>
            </w:r>
            <w:r>
              <w:rPr>
                <w:rFonts w:eastAsia="Yu Gothic" w:cs="Arial"/>
                <w:color w:val="000000" w:themeColor="text1"/>
                <w:sz w:val="23"/>
                <w:szCs w:val="23"/>
                <w:lang w:eastAsia="ja-JP"/>
                <w14:textFill>
                  <w14:solidFill>
                    <w14:schemeClr w14:val="tx1"/>
                  </w14:solidFill>
                </w14:textFill>
              </w:rPr>
              <w:t>34.0</w:t>
            </w:r>
          </w:p>
        </w:tc>
        <w:tc>
          <w:tcPr>
            <w:tcW w:w="2205" w:type="dxa"/>
            <w:shd w:val="clear" w:color="auto" w:fill="auto"/>
          </w:tcPr>
          <w:p w14:paraId="58682975">
            <w:pPr>
              <w:ind w:right="105"/>
              <w:jc w:val="center"/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sz w:val="23"/>
                <w:szCs w:val="23"/>
                <w:lang w:eastAsia="ja-JP"/>
                <w14:textFill>
                  <w14:solidFill>
                    <w14:schemeClr w14:val="tx1"/>
                  </w14:solidFill>
                </w14:textFill>
              </w:rPr>
              <w:t xml:space="preserve">T </w:t>
            </w:r>
            <w:r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  <w:t xml:space="preserve">&lt; </w:t>
            </w:r>
            <w:r>
              <w:rPr>
                <w:rFonts w:eastAsia="Yu Gothic" w:cs="Arial"/>
                <w:color w:val="000000" w:themeColor="text1"/>
                <w:sz w:val="23"/>
                <w:szCs w:val="23"/>
                <w:lang w:eastAsia="ja-JP"/>
                <w14:textFill>
                  <w14:solidFill>
                    <w14:schemeClr w14:val="tx1"/>
                  </w14:solidFill>
                </w14:textFill>
              </w:rPr>
              <w:t>93.2</w:t>
            </w:r>
          </w:p>
        </w:tc>
        <w:tc>
          <w:tcPr>
            <w:tcW w:w="1985" w:type="dxa"/>
            <w:shd w:val="clear" w:color="auto" w:fill="auto"/>
          </w:tcPr>
          <w:p w14:paraId="0D97C705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lang w:val="en-US" w:eastAsia="zh-CN"/>
              </w:rPr>
              <w:t>b</w:t>
            </w:r>
            <w:r>
              <w:rPr>
                <w:rFonts w:hint="eastAsia" w:asciiTheme="minorEastAsia" w:hAnsiTheme="minorEastAsia" w:cstheme="minorEastAsia"/>
              </w:rPr>
              <w:t>i</w:t>
            </w:r>
            <w:r>
              <w:rPr>
                <w:rFonts w:hint="eastAsia" w:asciiTheme="minorEastAsia" w:hAnsiTheme="minorEastAsia" w:cstheme="minorEastAsia"/>
                <w:lang w:val="en-US" w:eastAsia="zh-CN"/>
              </w:rPr>
              <w:t>-bi-bi-bi-</w:t>
            </w:r>
          </w:p>
        </w:tc>
        <w:tc>
          <w:tcPr>
            <w:tcW w:w="1559" w:type="dxa"/>
            <w:shd w:val="clear" w:color="auto" w:fill="auto"/>
          </w:tcPr>
          <w:p w14:paraId="5E6C77F5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 w:cs="Arial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绿色</w:t>
            </w:r>
          </w:p>
        </w:tc>
        <w:tc>
          <w:tcPr>
            <w:tcW w:w="2126" w:type="dxa"/>
            <w:shd w:val="clear" w:color="auto" w:fill="auto"/>
          </w:tcPr>
          <w:p w14:paraId="19B4BEEC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121920" cy="121920"/>
                  <wp:effectExtent l="0" t="0" r="11430" b="11430"/>
                  <wp:docPr id="2027014490" name="Grafik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7014490" name="Grafik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" cy="1219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shd w:val="clear" w:color="auto" w:fill="auto"/>
          </w:tcPr>
          <w:p w14:paraId="217D6C24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  <w:t>Lo</w:t>
            </w:r>
          </w:p>
        </w:tc>
      </w:tr>
      <w:tr w14:paraId="59952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" w:hRule="atLeast"/>
          <w:jc w:val="center"/>
        </w:trPr>
        <w:tc>
          <w:tcPr>
            <w:tcW w:w="1901" w:type="dxa"/>
            <w:shd w:val="clear" w:color="auto" w:fill="auto"/>
          </w:tcPr>
          <w:p w14:paraId="51475F1A">
            <w:pPr>
              <w:ind w:right="105"/>
              <w:jc w:val="center"/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sz w:val="23"/>
                <w:szCs w:val="23"/>
                <w:lang w:eastAsia="ja-JP"/>
                <w14:textFill>
                  <w14:solidFill>
                    <w14:schemeClr w14:val="tx1"/>
                  </w14:solidFill>
                </w14:textFill>
              </w:rPr>
              <w:t xml:space="preserve">T </w:t>
            </w:r>
            <w:r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  <w:t xml:space="preserve">&gt; </w:t>
            </w:r>
            <w:r>
              <w:rPr>
                <w:rFonts w:eastAsia="Yu Gothic" w:cs="Arial"/>
                <w:color w:val="000000" w:themeColor="text1"/>
                <w:sz w:val="23"/>
                <w:szCs w:val="23"/>
                <w:lang w:eastAsia="ja-JP"/>
                <w14:textFill>
                  <w14:solidFill>
                    <w14:schemeClr w14:val="tx1"/>
                  </w14:solidFill>
                </w14:textFill>
              </w:rPr>
              <w:t>43.0</w:t>
            </w:r>
          </w:p>
        </w:tc>
        <w:tc>
          <w:tcPr>
            <w:tcW w:w="2205" w:type="dxa"/>
            <w:shd w:val="clear" w:color="auto" w:fill="auto"/>
          </w:tcPr>
          <w:p w14:paraId="094D5828">
            <w:pPr>
              <w:ind w:right="105"/>
              <w:jc w:val="center"/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sz w:val="23"/>
                <w:szCs w:val="23"/>
                <w:lang w:eastAsia="ja-JP"/>
                <w14:textFill>
                  <w14:solidFill>
                    <w14:schemeClr w14:val="tx1"/>
                  </w14:solidFill>
                </w14:textFill>
              </w:rPr>
              <w:t xml:space="preserve">T </w:t>
            </w:r>
            <w:r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  <w:t xml:space="preserve">&gt; </w:t>
            </w:r>
            <w:r>
              <w:rPr>
                <w:rFonts w:eastAsia="Yu Gothic" w:cs="Arial"/>
                <w:color w:val="000000" w:themeColor="text1"/>
                <w:sz w:val="23"/>
                <w:szCs w:val="23"/>
                <w:lang w:eastAsia="ja-JP"/>
                <w14:textFill>
                  <w14:solidFill>
                    <w14:schemeClr w14:val="tx1"/>
                  </w14:solidFill>
                </w14:textFill>
              </w:rPr>
              <w:t>109.4</w:t>
            </w:r>
          </w:p>
        </w:tc>
        <w:tc>
          <w:tcPr>
            <w:tcW w:w="1985" w:type="dxa"/>
            <w:shd w:val="clear" w:color="auto" w:fill="auto"/>
          </w:tcPr>
          <w:p w14:paraId="1D186002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</w:rPr>
              <w:t>Bi-</w:t>
            </w:r>
            <w:r>
              <w:rPr>
                <w:rFonts w:hint="eastAsia" w:asciiTheme="minorEastAsia" w:hAnsiTheme="minorEastAsia" w:cstheme="minorEastAsia"/>
                <w:lang w:val="en-US" w:eastAsia="zh-CN"/>
              </w:rPr>
              <w:t>-bi-bi-bi-</w:t>
            </w:r>
          </w:p>
        </w:tc>
        <w:tc>
          <w:tcPr>
            <w:tcW w:w="1559" w:type="dxa"/>
            <w:shd w:val="clear" w:color="auto" w:fill="auto"/>
          </w:tcPr>
          <w:p w14:paraId="15FFD461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 w:cs="Arial"/>
                <w:color w:val="000000" w:themeColor="text1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红色</w:t>
            </w:r>
          </w:p>
        </w:tc>
        <w:tc>
          <w:tcPr>
            <w:tcW w:w="2126" w:type="dxa"/>
            <w:shd w:val="clear" w:color="auto" w:fill="auto"/>
          </w:tcPr>
          <w:p w14:paraId="4FBA79FD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121920" cy="121920"/>
                  <wp:effectExtent l="0" t="0" r="11430" b="11430"/>
                  <wp:docPr id="1022508964" name="Grafik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2508964" name="Grafik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" cy="1219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shd w:val="clear" w:color="auto" w:fill="auto"/>
          </w:tcPr>
          <w:p w14:paraId="3455717E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  <w:t>Hi</w:t>
            </w:r>
          </w:p>
        </w:tc>
      </w:tr>
      <w:tr w14:paraId="54B39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" w:hRule="atLeast"/>
          <w:jc w:val="center"/>
        </w:trPr>
        <w:tc>
          <w:tcPr>
            <w:tcW w:w="11194" w:type="dxa"/>
            <w:gridSpan w:val="6"/>
            <w:shd w:val="clear" w:color="auto" w:fill="auto"/>
          </w:tcPr>
          <w:p w14:paraId="35DC2943">
            <w:pPr>
              <w:ind w:right="105"/>
              <w:jc w:val="center"/>
              <w:rPr>
                <w:rFonts w:hint="eastAsia" w:eastAsia="宋体" w:cs="Arial"/>
                <w:b/>
                <w:bCs/>
                <w:color w:val="000000" w:themeColor="text1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b/>
                <w:bCs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  <w:t>36+</w:t>
            </w:r>
            <w:r>
              <w:rPr>
                <w:rFonts w:hint="eastAsia" w:eastAsia="宋体" w:cs="Arial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月</w:t>
            </w:r>
          </w:p>
        </w:tc>
      </w:tr>
      <w:tr w14:paraId="4E0AA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" w:hRule="atLeast"/>
          <w:jc w:val="center"/>
        </w:trPr>
        <w:tc>
          <w:tcPr>
            <w:tcW w:w="1901" w:type="dxa"/>
            <w:shd w:val="clear" w:color="auto" w:fill="auto"/>
          </w:tcPr>
          <w:p w14:paraId="44C20120">
            <w:pPr>
              <w:ind w:right="105"/>
              <w:jc w:val="center"/>
              <w:rPr>
                <w:rFonts w:eastAsia="Yu Gothic" w:cs="Arial"/>
                <w:color w:val="000000" w:themeColor="text1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sz w:val="23"/>
                <w:szCs w:val="23"/>
                <w:lang w:eastAsia="ja-JP"/>
                <w14:textFill>
                  <w14:solidFill>
                    <w14:schemeClr w14:val="tx1"/>
                  </w14:solidFill>
                </w14:textFill>
              </w:rPr>
              <w:t>34.0 ≤ T ≤ 37.7</w:t>
            </w:r>
          </w:p>
        </w:tc>
        <w:tc>
          <w:tcPr>
            <w:tcW w:w="2205" w:type="dxa"/>
            <w:shd w:val="clear" w:color="auto" w:fill="auto"/>
          </w:tcPr>
          <w:p w14:paraId="61DE913D">
            <w:pPr>
              <w:ind w:right="105"/>
              <w:jc w:val="center"/>
              <w:rPr>
                <w:rFonts w:eastAsia="Yu Gothic" w:cs="Arial"/>
                <w:color w:val="000000" w:themeColor="text1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sz w:val="23"/>
                <w:szCs w:val="23"/>
                <w:lang w:eastAsia="ja-JP"/>
                <w14:textFill>
                  <w14:solidFill>
                    <w14:schemeClr w14:val="tx1"/>
                  </w14:solidFill>
                </w14:textFill>
              </w:rPr>
              <w:t>93.2 ≤ T ≤ 99.9</w:t>
            </w:r>
          </w:p>
        </w:tc>
        <w:tc>
          <w:tcPr>
            <w:tcW w:w="1985" w:type="dxa"/>
            <w:shd w:val="clear" w:color="auto" w:fill="auto"/>
          </w:tcPr>
          <w:p w14:paraId="6071A398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</w:rPr>
              <w:t>Bi-</w:t>
            </w:r>
          </w:p>
        </w:tc>
        <w:tc>
          <w:tcPr>
            <w:tcW w:w="1559" w:type="dxa"/>
            <w:shd w:val="clear" w:color="auto" w:fill="auto"/>
          </w:tcPr>
          <w:p w14:paraId="1A0D0E7E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 w:cs="Arial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绿色</w:t>
            </w:r>
          </w:p>
        </w:tc>
        <w:tc>
          <w:tcPr>
            <w:tcW w:w="2126" w:type="dxa"/>
            <w:shd w:val="clear" w:color="auto" w:fill="auto"/>
          </w:tcPr>
          <w:p w14:paraId="571C80F8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121920" cy="121920"/>
                  <wp:effectExtent l="0" t="0" r="11430" b="11430"/>
                  <wp:docPr id="2044432894" name="Grafik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4432894" name="Grafik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" cy="1219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shd w:val="clear" w:color="auto" w:fill="auto"/>
          </w:tcPr>
          <w:p w14:paraId="6A651F64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FB19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" w:hRule="atLeast"/>
          <w:jc w:val="center"/>
        </w:trPr>
        <w:tc>
          <w:tcPr>
            <w:tcW w:w="1901" w:type="dxa"/>
            <w:shd w:val="clear" w:color="auto" w:fill="auto"/>
          </w:tcPr>
          <w:p w14:paraId="202B1BCF">
            <w:pPr>
              <w:ind w:right="105"/>
              <w:jc w:val="center"/>
              <w:rPr>
                <w:rFonts w:eastAsia="Yu Gothic" w:cs="Arial"/>
                <w:color w:val="000000" w:themeColor="text1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sz w:val="23"/>
                <w:szCs w:val="23"/>
                <w:lang w:eastAsia="ja-JP"/>
                <w14:textFill>
                  <w14:solidFill>
                    <w14:schemeClr w14:val="tx1"/>
                  </w14:solidFill>
                </w14:textFill>
              </w:rPr>
              <w:t xml:space="preserve">37.7 </w:t>
            </w:r>
            <w:r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  <w:t xml:space="preserve">&lt; </w:t>
            </w:r>
            <w:r>
              <w:rPr>
                <w:rFonts w:eastAsia="Yu Gothic" w:cs="Arial"/>
                <w:color w:val="000000" w:themeColor="text1"/>
                <w:sz w:val="23"/>
                <w:szCs w:val="23"/>
                <w:lang w:eastAsia="ja-JP"/>
                <w14:textFill>
                  <w14:solidFill>
                    <w14:schemeClr w14:val="tx1"/>
                  </w14:solidFill>
                </w14:textFill>
              </w:rPr>
              <w:t>T ≤ 39.4</w:t>
            </w:r>
          </w:p>
        </w:tc>
        <w:tc>
          <w:tcPr>
            <w:tcW w:w="2205" w:type="dxa"/>
            <w:shd w:val="clear" w:color="auto" w:fill="auto"/>
          </w:tcPr>
          <w:p w14:paraId="1D679719">
            <w:pPr>
              <w:ind w:right="105"/>
              <w:jc w:val="center"/>
              <w:rPr>
                <w:rFonts w:eastAsia="Yu Gothic" w:cs="Arial"/>
                <w:color w:val="000000" w:themeColor="text1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sz w:val="23"/>
                <w:szCs w:val="23"/>
                <w:lang w:eastAsia="ja-JP"/>
                <w14:textFill>
                  <w14:solidFill>
                    <w14:schemeClr w14:val="tx1"/>
                  </w14:solidFill>
                </w14:textFill>
              </w:rPr>
              <w:t xml:space="preserve">99.9 </w:t>
            </w:r>
            <w:r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  <w:t xml:space="preserve">&lt; </w:t>
            </w:r>
            <w:r>
              <w:rPr>
                <w:rFonts w:eastAsia="Yu Gothic" w:cs="Arial"/>
                <w:color w:val="000000" w:themeColor="text1"/>
                <w:sz w:val="23"/>
                <w:szCs w:val="23"/>
                <w:lang w:eastAsia="ja-JP"/>
                <w14:textFill>
                  <w14:solidFill>
                    <w14:schemeClr w14:val="tx1"/>
                  </w14:solidFill>
                </w14:textFill>
              </w:rPr>
              <w:t>T ≤ 103.0</w:t>
            </w:r>
          </w:p>
        </w:tc>
        <w:tc>
          <w:tcPr>
            <w:tcW w:w="1985" w:type="dxa"/>
            <w:shd w:val="clear" w:color="auto" w:fill="auto"/>
          </w:tcPr>
          <w:p w14:paraId="02E802F8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</w:rPr>
              <w:t>Bi-</w:t>
            </w:r>
          </w:p>
        </w:tc>
        <w:tc>
          <w:tcPr>
            <w:tcW w:w="1559" w:type="dxa"/>
            <w:shd w:val="clear" w:color="auto" w:fill="auto"/>
          </w:tcPr>
          <w:p w14:paraId="2DC0465B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 w:cs="Arial"/>
                <w:color w:val="000000" w:themeColor="text1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黄色</w:t>
            </w:r>
          </w:p>
        </w:tc>
        <w:tc>
          <w:tcPr>
            <w:tcW w:w="2126" w:type="dxa"/>
            <w:shd w:val="clear" w:color="auto" w:fill="auto"/>
          </w:tcPr>
          <w:p w14:paraId="31F72B2E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121920" cy="121920"/>
                  <wp:effectExtent l="0" t="0" r="11430" b="11430"/>
                  <wp:docPr id="178451394" name="Grafik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451394" name="Grafik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" cy="1219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shd w:val="clear" w:color="auto" w:fill="auto"/>
          </w:tcPr>
          <w:p w14:paraId="095E7494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8FF3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" w:hRule="atLeast"/>
          <w:jc w:val="center"/>
        </w:trPr>
        <w:tc>
          <w:tcPr>
            <w:tcW w:w="1901" w:type="dxa"/>
            <w:shd w:val="clear" w:color="auto" w:fill="auto"/>
          </w:tcPr>
          <w:p w14:paraId="6C667F7A">
            <w:pPr>
              <w:ind w:right="105"/>
              <w:jc w:val="center"/>
              <w:rPr>
                <w:rFonts w:eastAsia="Yu Gothic" w:cs="Arial"/>
                <w:color w:val="000000" w:themeColor="text1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  <w:t>39.4 &lt; T ≤ 43.0</w:t>
            </w:r>
          </w:p>
        </w:tc>
        <w:tc>
          <w:tcPr>
            <w:tcW w:w="2205" w:type="dxa"/>
            <w:shd w:val="clear" w:color="auto" w:fill="auto"/>
          </w:tcPr>
          <w:p w14:paraId="1318C24B">
            <w:pPr>
              <w:ind w:right="105"/>
              <w:jc w:val="center"/>
              <w:rPr>
                <w:rFonts w:eastAsia="Yu Gothic" w:cs="Arial"/>
                <w:color w:val="000000" w:themeColor="text1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  <w:t>103.0 &lt; T ≤ 109.4</w:t>
            </w:r>
          </w:p>
        </w:tc>
        <w:tc>
          <w:tcPr>
            <w:tcW w:w="1985" w:type="dxa"/>
            <w:shd w:val="clear" w:color="auto" w:fill="auto"/>
          </w:tcPr>
          <w:p w14:paraId="35638F75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</w:rPr>
              <w:t>Bi-</w:t>
            </w:r>
            <w:r>
              <w:rPr>
                <w:rFonts w:hint="eastAsia" w:asciiTheme="minorEastAsia" w:hAnsiTheme="minorEastAsia" w:cstheme="minorEastAsia"/>
                <w:lang w:val="en-US" w:eastAsia="zh-CN"/>
              </w:rPr>
              <w:t>-bi-bi-bi-</w:t>
            </w:r>
          </w:p>
        </w:tc>
        <w:tc>
          <w:tcPr>
            <w:tcW w:w="1559" w:type="dxa"/>
            <w:shd w:val="clear" w:color="auto" w:fill="auto"/>
          </w:tcPr>
          <w:p w14:paraId="6F8D6D11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 w:cs="Arial"/>
                <w:color w:val="000000" w:themeColor="text1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红色</w:t>
            </w:r>
          </w:p>
        </w:tc>
        <w:tc>
          <w:tcPr>
            <w:tcW w:w="2126" w:type="dxa"/>
            <w:shd w:val="clear" w:color="auto" w:fill="auto"/>
          </w:tcPr>
          <w:p w14:paraId="3058FB15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121920" cy="121920"/>
                  <wp:effectExtent l="0" t="0" r="11430" b="11430"/>
                  <wp:docPr id="208366950" name="Grafik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366950" name="Grafik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" cy="1219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shd w:val="clear" w:color="auto" w:fill="auto"/>
          </w:tcPr>
          <w:p w14:paraId="48A6450C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FCCC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8" w:hRule="atLeast"/>
          <w:jc w:val="center"/>
        </w:trPr>
        <w:tc>
          <w:tcPr>
            <w:tcW w:w="1901" w:type="dxa"/>
            <w:shd w:val="clear" w:color="auto" w:fill="auto"/>
          </w:tcPr>
          <w:p w14:paraId="66B5175B">
            <w:pPr>
              <w:ind w:right="105"/>
              <w:jc w:val="center"/>
              <w:rPr>
                <w:rFonts w:eastAsia="Yu Gothic" w:cs="Arial"/>
                <w:color w:val="000000" w:themeColor="text1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sz w:val="23"/>
                <w:szCs w:val="23"/>
                <w:lang w:eastAsia="ja-JP"/>
                <w14:textFill>
                  <w14:solidFill>
                    <w14:schemeClr w14:val="tx1"/>
                  </w14:solidFill>
                </w14:textFill>
              </w:rPr>
              <w:t xml:space="preserve">T </w:t>
            </w:r>
            <w:r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  <w:t xml:space="preserve">&lt; </w:t>
            </w:r>
            <w:r>
              <w:rPr>
                <w:rFonts w:eastAsia="Yu Gothic" w:cs="Arial"/>
                <w:color w:val="000000" w:themeColor="text1"/>
                <w:sz w:val="23"/>
                <w:szCs w:val="23"/>
                <w:lang w:eastAsia="ja-JP"/>
                <w14:textFill>
                  <w14:solidFill>
                    <w14:schemeClr w14:val="tx1"/>
                  </w14:solidFill>
                </w14:textFill>
              </w:rPr>
              <w:t>34.0</w:t>
            </w:r>
          </w:p>
        </w:tc>
        <w:tc>
          <w:tcPr>
            <w:tcW w:w="2205" w:type="dxa"/>
            <w:shd w:val="clear" w:color="auto" w:fill="auto"/>
          </w:tcPr>
          <w:p w14:paraId="034A6B95">
            <w:pPr>
              <w:ind w:right="105"/>
              <w:jc w:val="center"/>
              <w:rPr>
                <w:rFonts w:eastAsia="Yu Gothic" w:cs="Arial"/>
                <w:color w:val="000000" w:themeColor="text1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sz w:val="23"/>
                <w:szCs w:val="23"/>
                <w:lang w:eastAsia="ja-JP"/>
                <w14:textFill>
                  <w14:solidFill>
                    <w14:schemeClr w14:val="tx1"/>
                  </w14:solidFill>
                </w14:textFill>
              </w:rPr>
              <w:t>T &lt; 93.2</w:t>
            </w:r>
          </w:p>
        </w:tc>
        <w:tc>
          <w:tcPr>
            <w:tcW w:w="1985" w:type="dxa"/>
            <w:shd w:val="clear" w:color="auto" w:fill="auto"/>
          </w:tcPr>
          <w:p w14:paraId="595D70C7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lang w:val="en-US" w:eastAsia="zh-CN"/>
              </w:rPr>
              <w:t>b</w:t>
            </w:r>
            <w:r>
              <w:rPr>
                <w:rFonts w:hint="eastAsia" w:asciiTheme="minorEastAsia" w:hAnsiTheme="minorEastAsia" w:cstheme="minorEastAsia"/>
              </w:rPr>
              <w:t>i</w:t>
            </w:r>
            <w:r>
              <w:rPr>
                <w:rFonts w:hint="eastAsia" w:asciiTheme="minorEastAsia" w:hAnsiTheme="minorEastAsia" w:cstheme="minorEastAsia"/>
                <w:lang w:val="en-US" w:eastAsia="zh-CN"/>
              </w:rPr>
              <w:t>-bi-bi-bi-</w:t>
            </w:r>
          </w:p>
        </w:tc>
        <w:tc>
          <w:tcPr>
            <w:tcW w:w="1559" w:type="dxa"/>
            <w:shd w:val="clear" w:color="auto" w:fill="auto"/>
          </w:tcPr>
          <w:p w14:paraId="4ABBD106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 w:cs="Arial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绿色</w:t>
            </w:r>
          </w:p>
        </w:tc>
        <w:tc>
          <w:tcPr>
            <w:tcW w:w="2126" w:type="dxa"/>
            <w:shd w:val="clear" w:color="auto" w:fill="auto"/>
          </w:tcPr>
          <w:p w14:paraId="7463D3B4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/>
                <w:b/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121920" cy="121920"/>
                  <wp:effectExtent l="0" t="0" r="11430" b="11430"/>
                  <wp:docPr id="2053907747" name="Grafik 1" descr="Lächelnde Gesichtskontur mit einfarbiger Füll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3907747" name="Grafik 1" descr="Lächelnde Gesichtskontur mit einfarbiger Füllung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" cy="12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shd w:val="clear" w:color="auto" w:fill="auto"/>
          </w:tcPr>
          <w:p w14:paraId="05D02443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  <w:t>Lo</w:t>
            </w:r>
          </w:p>
        </w:tc>
      </w:tr>
      <w:tr w14:paraId="04D2C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" w:hRule="atLeast"/>
          <w:jc w:val="center"/>
        </w:trPr>
        <w:tc>
          <w:tcPr>
            <w:tcW w:w="1901" w:type="dxa"/>
            <w:shd w:val="clear" w:color="auto" w:fill="auto"/>
          </w:tcPr>
          <w:p w14:paraId="4617A8CA">
            <w:pPr>
              <w:ind w:right="105"/>
              <w:jc w:val="center"/>
              <w:rPr>
                <w:rFonts w:eastAsia="Yu Gothic" w:cs="Arial"/>
                <w:color w:val="000000" w:themeColor="text1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sz w:val="23"/>
                <w:szCs w:val="23"/>
                <w:lang w:eastAsia="ja-JP"/>
                <w14:textFill>
                  <w14:solidFill>
                    <w14:schemeClr w14:val="tx1"/>
                  </w14:solidFill>
                </w14:textFill>
              </w:rPr>
              <w:t>T &gt; 43.0</w:t>
            </w:r>
          </w:p>
        </w:tc>
        <w:tc>
          <w:tcPr>
            <w:tcW w:w="2205" w:type="dxa"/>
            <w:shd w:val="clear" w:color="auto" w:fill="auto"/>
          </w:tcPr>
          <w:p w14:paraId="33E65BBF">
            <w:pPr>
              <w:ind w:right="105"/>
              <w:jc w:val="center"/>
              <w:rPr>
                <w:rFonts w:eastAsia="Yu Gothic" w:cs="Arial"/>
                <w:color w:val="000000" w:themeColor="text1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sz w:val="23"/>
                <w:szCs w:val="23"/>
                <w:lang w:eastAsia="ja-JP"/>
                <w14:textFill>
                  <w14:solidFill>
                    <w14:schemeClr w14:val="tx1"/>
                  </w14:solidFill>
                </w14:textFill>
              </w:rPr>
              <w:t xml:space="preserve">T </w:t>
            </w:r>
            <w:r>
              <w:rPr>
                <w:rFonts w:eastAsia="Yu Gothic" w:cs="Arial"/>
                <w:color w:val="000000" w:themeColor="text1"/>
                <w:lang w:eastAsia="ja-JP"/>
                <w14:textFill>
                  <w14:solidFill>
                    <w14:schemeClr w14:val="tx1"/>
                  </w14:solidFill>
                </w14:textFill>
              </w:rPr>
              <w:t xml:space="preserve">&gt; </w:t>
            </w:r>
            <w:r>
              <w:rPr>
                <w:rFonts w:eastAsia="Yu Gothic" w:cs="Arial"/>
                <w:color w:val="000000" w:themeColor="text1"/>
                <w:sz w:val="23"/>
                <w:szCs w:val="23"/>
                <w:lang w:eastAsia="ja-JP"/>
                <w14:textFill>
                  <w14:solidFill>
                    <w14:schemeClr w14:val="tx1"/>
                  </w14:solidFill>
                </w14:textFill>
              </w:rPr>
              <w:t>109.4</w:t>
            </w:r>
          </w:p>
        </w:tc>
        <w:tc>
          <w:tcPr>
            <w:tcW w:w="1985" w:type="dxa"/>
            <w:shd w:val="clear" w:color="auto" w:fill="auto"/>
          </w:tcPr>
          <w:p w14:paraId="4DD5020A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</w:rPr>
              <w:t>Bi-</w:t>
            </w:r>
            <w:r>
              <w:rPr>
                <w:rFonts w:hint="eastAsia" w:asciiTheme="minorEastAsia" w:hAnsiTheme="minorEastAsia" w:cstheme="minorEastAsia"/>
                <w:lang w:val="en-US" w:eastAsia="zh-CN"/>
              </w:rPr>
              <w:t>-bi-bi-bi-</w:t>
            </w:r>
          </w:p>
        </w:tc>
        <w:tc>
          <w:tcPr>
            <w:tcW w:w="1559" w:type="dxa"/>
            <w:shd w:val="clear" w:color="auto" w:fill="auto"/>
          </w:tcPr>
          <w:p w14:paraId="1191A8C8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 w:cs="Arial"/>
                <w:color w:val="000000" w:themeColor="text1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红色</w:t>
            </w:r>
          </w:p>
        </w:tc>
        <w:tc>
          <w:tcPr>
            <w:tcW w:w="2126" w:type="dxa"/>
            <w:shd w:val="clear" w:color="auto" w:fill="auto"/>
          </w:tcPr>
          <w:p w14:paraId="10FAAF95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121920" cy="121920"/>
                  <wp:effectExtent l="0" t="0" r="11430" b="11430"/>
                  <wp:docPr id="1584803602" name="Grafik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4803602" name="Grafik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" cy="1219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shd w:val="clear" w:color="auto" w:fill="auto"/>
          </w:tcPr>
          <w:p w14:paraId="5CE985FE">
            <w:pPr>
              <w:ind w:right="105"/>
              <w:jc w:val="center"/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Yu Gothic" w:cs="Arial"/>
                <w:color w:val="000000" w:themeColor="text1"/>
                <w:shd w:val="clear" w:color="auto" w:fill="FFFFFF"/>
                <w:lang w:val="en-US" w:eastAsia="ja-JP"/>
                <w14:textFill>
                  <w14:solidFill>
                    <w14:schemeClr w14:val="tx1"/>
                  </w14:solidFill>
                </w14:textFill>
              </w:rPr>
              <w:t>Hi</w:t>
            </w:r>
          </w:p>
        </w:tc>
      </w:tr>
    </w:tbl>
    <w:p w14:paraId="5080A2FC">
      <w:pPr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36C833C3">
      <w:pPr>
        <w:pStyle w:val="15"/>
        <w:ind w:firstLine="0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C2D7817">
      <w:pPr>
        <w:pStyle w:val="15"/>
        <w:numPr>
          <w:ilvl w:val="0"/>
          <w:numId w:val="1"/>
        </w:numPr>
        <w:ind w:firstLineChars="0"/>
        <w:rPr>
          <w:b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变更记录</w:t>
      </w:r>
    </w:p>
    <w:p w14:paraId="78DD8F82">
      <w:pPr>
        <w:pStyle w:val="15"/>
        <w:spacing w:before="156" w:beforeLines="50"/>
        <w:ind w:right="105" w:rightChars="50" w:firstLine="0" w:firstLineChars="0"/>
        <w:jc w:val="left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  <w:lang w:val="en-US" w:eastAsia="zh-CN"/>
        </w:rPr>
        <w:t>2024.10.10</w:t>
      </w:r>
      <w:r>
        <w:rPr>
          <w:rFonts w:hint="eastAsia" w:asciiTheme="minorEastAsia" w:hAnsiTheme="minorEastAsia"/>
        </w:rPr>
        <w:t>新编制</w:t>
      </w:r>
    </w:p>
    <w:p w14:paraId="1516A55E">
      <w:pPr>
        <w:pStyle w:val="15"/>
        <w:spacing w:before="156" w:beforeLines="50"/>
        <w:ind w:right="105" w:rightChars="50" w:firstLine="0" w:firstLineChars="0"/>
        <w:jc w:val="left"/>
        <w:rPr>
          <w:rFonts w:hint="eastAsia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2025.04.02</w:t>
      </w:r>
    </w:p>
    <w:p w14:paraId="65D68B3E">
      <w:pPr>
        <w:pStyle w:val="15"/>
        <w:spacing w:before="156" w:beforeLines="50"/>
        <w:ind w:right="105" w:rightChars="50" w:firstLine="0" w:firstLineChars="0"/>
        <w:jc w:val="left"/>
        <w:rPr>
          <w:rFonts w:hint="default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根据客户要求修改功能，详情见标红部分</w:t>
      </w:r>
      <w:bookmarkStart w:id="5" w:name="_GoBack"/>
      <w:bookmarkEnd w:id="5"/>
    </w:p>
    <w:p w14:paraId="6B7851A1">
      <w:pPr>
        <w:pStyle w:val="15"/>
        <w:ind w:firstLine="0" w:firstLineChars="0"/>
        <w:rPr>
          <w:b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</w:p>
    <w:p w14:paraId="12478AAC">
      <w:pPr>
        <w:pStyle w:val="15"/>
        <w:spacing w:before="156" w:beforeLines="50"/>
        <w:ind w:right="105" w:rightChars="50" w:firstLine="0" w:firstLineChars="0"/>
        <w:jc w:val="left"/>
        <w:rPr>
          <w:rFonts w:hint="default" w:asciiTheme="minorEastAsia" w:hAnsi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Yu Gothic">
    <w:panose1 w:val="020B0400000000000000"/>
    <w:charset w:val="80"/>
    <w:family w:val="swiss"/>
    <w:pitch w:val="default"/>
    <w:sig w:usb0="E00002FF" w:usb1="2AC7FDFF" w:usb2="00000016" w:usb3="00000000" w:csb0="200200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9B7703">
    <w:pPr>
      <w:pStyle w:val="6"/>
      <w:pBdr>
        <w:bottom w:val="none" w:color="auto" w:sz="0" w:space="9"/>
      </w:pBdr>
    </w:pPr>
    <w:r>
      <w:rPr>
        <w:rFonts w:ascii="宋体" w:hAnsi="宋体" w:eastAsia="宋体" w:cs="宋体"/>
        <w:kern w:val="0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71755</wp:posOffset>
          </wp:positionH>
          <wp:positionV relativeFrom="paragraph">
            <wp:posOffset>123825</wp:posOffset>
          </wp:positionV>
          <wp:extent cx="1941195" cy="323850"/>
          <wp:effectExtent l="0" t="0" r="0" b="0"/>
          <wp:wrapNone/>
          <wp:docPr id="1" name="图片 1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IMG_25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41195" cy="323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</w:rPr>
      <w:t xml:space="preserve">                               JOYTECH HEALTHCARE CO. LTD.</w:t>
    </w:r>
  </w:p>
  <w:p w14:paraId="1FDCA2CB">
    <w:pPr>
      <w:pStyle w:val="6"/>
      <w:pBdr>
        <w:bottom w:val="none" w:color="auto" w:sz="0" w:space="9"/>
      </w:pBdr>
    </w:pPr>
    <w:r>
      <w:t xml:space="preserve">        </w:t>
    </w:r>
    <w:r>
      <w:rPr>
        <w:rFonts w:hint="eastAsia"/>
      </w:rPr>
      <w:t xml:space="preserve">          </w:t>
    </w:r>
    <w:r>
      <w:t xml:space="preserve"> </w:t>
    </w:r>
    <w:r>
      <w:rPr>
        <w:rFonts w:hint="eastAsia"/>
      </w:rPr>
      <w:t xml:space="preserve">             No.365, Wuzhou Road, Yuhang Economic Development Zone, </w:t>
    </w:r>
  </w:p>
  <w:p w14:paraId="3647248D">
    <w:pPr>
      <w:pStyle w:val="6"/>
      <w:pBdr>
        <w:bottom w:val="none" w:color="auto" w:sz="0" w:space="9"/>
      </w:pBdr>
    </w:pPr>
    <w:r>
      <w:rPr>
        <w:rFonts w:hint="eastAsia"/>
      </w:rPr>
      <w:t xml:space="preserve">                          Hangzhou city, 311100 Zhejiang,China</w:t>
    </w:r>
  </w:p>
  <w:p w14:paraId="6EE6AC3E">
    <w:pPr>
      <w:pStyle w:val="6"/>
      <w:pBdr>
        <w:bottom w:val="none" w:color="auto" w:sz="0" w:space="9"/>
      </w:pBdr>
    </w:pPr>
    <w:r>
      <w:rPr>
        <w:rFonts w:hint="eastAsia" w:ascii="Arial" w:hAnsi="Arial" w:cs="Arial"/>
        <w:color w:val="333333"/>
        <w:sz w:val="20"/>
        <w:szCs w:val="20"/>
      </w:rPr>
      <w:t xml:space="preserve">                           </w:t>
    </w:r>
    <w:r>
      <w:rPr>
        <w:rFonts w:hint="eastAsia" w:ascii="Arial" w:hAnsi="Arial" w:cs="Arial"/>
        <w:color w:val="333333"/>
      </w:rPr>
      <w:t xml:space="preserve">  </w:t>
    </w:r>
    <w:r>
      <w:rPr>
        <w:rFonts w:ascii="Arial" w:hAnsi="Arial" w:cs="Arial"/>
        <w:color w:val="333333"/>
      </w:rPr>
      <w:t>Phone: 0086-571-81957767, 81957782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FAA305"/>
    <w:multiLevelType w:val="singleLevel"/>
    <w:tmpl w:val="E5FAA30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3A2315E2"/>
    <w:multiLevelType w:val="multilevel"/>
    <w:tmpl w:val="3A2315E2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3494EFC"/>
    <w:multiLevelType w:val="multilevel"/>
    <w:tmpl w:val="53494EFC"/>
    <w:lvl w:ilvl="0" w:tentative="0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2698F87"/>
    <w:multiLevelType w:val="singleLevel"/>
    <w:tmpl w:val="62698F87"/>
    <w:lvl w:ilvl="0" w:tentative="0">
      <w:start w:val="1"/>
      <w:numFmt w:val="lowerLetter"/>
      <w:suff w:val="nothing"/>
      <w:lvlText w:val="%1、"/>
      <w:lvlJc w:val="left"/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U4NTMzMjZjY2E4MzQyMjQ4ODBhNzc3N2IxMGRmM2UifQ=="/>
  </w:docVars>
  <w:rsids>
    <w:rsidRoot w:val="00E27E85"/>
    <w:rsid w:val="00000A15"/>
    <w:rsid w:val="00001A2E"/>
    <w:rsid w:val="00020C9D"/>
    <w:rsid w:val="00024434"/>
    <w:rsid w:val="000305DC"/>
    <w:rsid w:val="00041ED5"/>
    <w:rsid w:val="000464D9"/>
    <w:rsid w:val="00053047"/>
    <w:rsid w:val="000535A3"/>
    <w:rsid w:val="0006532A"/>
    <w:rsid w:val="00066FFC"/>
    <w:rsid w:val="00070420"/>
    <w:rsid w:val="000810DF"/>
    <w:rsid w:val="00081933"/>
    <w:rsid w:val="00086A96"/>
    <w:rsid w:val="000871C0"/>
    <w:rsid w:val="000878F9"/>
    <w:rsid w:val="00087FB9"/>
    <w:rsid w:val="00094482"/>
    <w:rsid w:val="00094837"/>
    <w:rsid w:val="000958EC"/>
    <w:rsid w:val="000A2031"/>
    <w:rsid w:val="000B0221"/>
    <w:rsid w:val="000B1E1A"/>
    <w:rsid w:val="000B1EA1"/>
    <w:rsid w:val="000B6447"/>
    <w:rsid w:val="000D041B"/>
    <w:rsid w:val="000D1A91"/>
    <w:rsid w:val="000D5FE6"/>
    <w:rsid w:val="000E38B1"/>
    <w:rsid w:val="000E3DBB"/>
    <w:rsid w:val="000E5647"/>
    <w:rsid w:val="000E68E6"/>
    <w:rsid w:val="000F0B45"/>
    <w:rsid w:val="000F790B"/>
    <w:rsid w:val="001126E9"/>
    <w:rsid w:val="00120B3D"/>
    <w:rsid w:val="0012106F"/>
    <w:rsid w:val="001264DC"/>
    <w:rsid w:val="001269BE"/>
    <w:rsid w:val="001468DB"/>
    <w:rsid w:val="00146C30"/>
    <w:rsid w:val="001571C2"/>
    <w:rsid w:val="0017394C"/>
    <w:rsid w:val="00175924"/>
    <w:rsid w:val="00186741"/>
    <w:rsid w:val="00195821"/>
    <w:rsid w:val="001A2251"/>
    <w:rsid w:val="001B1EF0"/>
    <w:rsid w:val="001B794F"/>
    <w:rsid w:val="001D5361"/>
    <w:rsid w:val="001D7AD0"/>
    <w:rsid w:val="001E3B27"/>
    <w:rsid w:val="001F1FCF"/>
    <w:rsid w:val="001F7930"/>
    <w:rsid w:val="0020230A"/>
    <w:rsid w:val="002042A9"/>
    <w:rsid w:val="0020645A"/>
    <w:rsid w:val="00210ED9"/>
    <w:rsid w:val="00214260"/>
    <w:rsid w:val="00220CAE"/>
    <w:rsid w:val="0022354C"/>
    <w:rsid w:val="00227015"/>
    <w:rsid w:val="002351E7"/>
    <w:rsid w:val="00237290"/>
    <w:rsid w:val="00240C04"/>
    <w:rsid w:val="00246F16"/>
    <w:rsid w:val="00250121"/>
    <w:rsid w:val="00257DB3"/>
    <w:rsid w:val="00260C6D"/>
    <w:rsid w:val="00261A8F"/>
    <w:rsid w:val="00264A2A"/>
    <w:rsid w:val="00272324"/>
    <w:rsid w:val="002802D2"/>
    <w:rsid w:val="00284F76"/>
    <w:rsid w:val="002911D6"/>
    <w:rsid w:val="00293CBE"/>
    <w:rsid w:val="002A0BAF"/>
    <w:rsid w:val="002A5C02"/>
    <w:rsid w:val="002B5E24"/>
    <w:rsid w:val="002C1DBE"/>
    <w:rsid w:val="002C242D"/>
    <w:rsid w:val="002D4261"/>
    <w:rsid w:val="002E294D"/>
    <w:rsid w:val="002E60B7"/>
    <w:rsid w:val="002F31E4"/>
    <w:rsid w:val="0030405A"/>
    <w:rsid w:val="00312A13"/>
    <w:rsid w:val="00312FD2"/>
    <w:rsid w:val="00315055"/>
    <w:rsid w:val="00315CBB"/>
    <w:rsid w:val="00323F5D"/>
    <w:rsid w:val="00324852"/>
    <w:rsid w:val="003273A8"/>
    <w:rsid w:val="00330AC8"/>
    <w:rsid w:val="00330B36"/>
    <w:rsid w:val="003316B0"/>
    <w:rsid w:val="003336AB"/>
    <w:rsid w:val="00340B3B"/>
    <w:rsid w:val="003414F0"/>
    <w:rsid w:val="003463D8"/>
    <w:rsid w:val="0036213C"/>
    <w:rsid w:val="00363BF0"/>
    <w:rsid w:val="003727CD"/>
    <w:rsid w:val="00372B34"/>
    <w:rsid w:val="0037570C"/>
    <w:rsid w:val="00387CFC"/>
    <w:rsid w:val="0039046E"/>
    <w:rsid w:val="0039107C"/>
    <w:rsid w:val="00394877"/>
    <w:rsid w:val="003B3E38"/>
    <w:rsid w:val="003B44F9"/>
    <w:rsid w:val="003B6E6F"/>
    <w:rsid w:val="003C1559"/>
    <w:rsid w:val="003D0BC0"/>
    <w:rsid w:val="003D527B"/>
    <w:rsid w:val="003F1AC4"/>
    <w:rsid w:val="00403EB0"/>
    <w:rsid w:val="00404C0A"/>
    <w:rsid w:val="00412FAB"/>
    <w:rsid w:val="00414557"/>
    <w:rsid w:val="00420653"/>
    <w:rsid w:val="00421398"/>
    <w:rsid w:val="00422036"/>
    <w:rsid w:val="0042416A"/>
    <w:rsid w:val="004255E0"/>
    <w:rsid w:val="004258A2"/>
    <w:rsid w:val="00431B4F"/>
    <w:rsid w:val="004410EE"/>
    <w:rsid w:val="00453C8B"/>
    <w:rsid w:val="00457458"/>
    <w:rsid w:val="00457464"/>
    <w:rsid w:val="00457963"/>
    <w:rsid w:val="004672FC"/>
    <w:rsid w:val="004731D1"/>
    <w:rsid w:val="00477E8F"/>
    <w:rsid w:val="00482C2E"/>
    <w:rsid w:val="004843E9"/>
    <w:rsid w:val="00491EDB"/>
    <w:rsid w:val="00492D46"/>
    <w:rsid w:val="004A25AF"/>
    <w:rsid w:val="004B0EB5"/>
    <w:rsid w:val="004C03C7"/>
    <w:rsid w:val="004C21FA"/>
    <w:rsid w:val="004C3153"/>
    <w:rsid w:val="004D0494"/>
    <w:rsid w:val="004D13B2"/>
    <w:rsid w:val="004D3266"/>
    <w:rsid w:val="004D499D"/>
    <w:rsid w:val="004E02DD"/>
    <w:rsid w:val="004E583A"/>
    <w:rsid w:val="004E663C"/>
    <w:rsid w:val="004F007C"/>
    <w:rsid w:val="004F706E"/>
    <w:rsid w:val="004F760F"/>
    <w:rsid w:val="004F7F74"/>
    <w:rsid w:val="0050225B"/>
    <w:rsid w:val="00513AA1"/>
    <w:rsid w:val="00514449"/>
    <w:rsid w:val="00517C92"/>
    <w:rsid w:val="0052166D"/>
    <w:rsid w:val="0052387A"/>
    <w:rsid w:val="00523B20"/>
    <w:rsid w:val="005251B5"/>
    <w:rsid w:val="00527FE6"/>
    <w:rsid w:val="00531692"/>
    <w:rsid w:val="00535767"/>
    <w:rsid w:val="00553318"/>
    <w:rsid w:val="00556343"/>
    <w:rsid w:val="00566003"/>
    <w:rsid w:val="00585FBE"/>
    <w:rsid w:val="005B3C25"/>
    <w:rsid w:val="005B5A17"/>
    <w:rsid w:val="005B6154"/>
    <w:rsid w:val="005B7F71"/>
    <w:rsid w:val="005E1E3D"/>
    <w:rsid w:val="005F5F9D"/>
    <w:rsid w:val="005F60DB"/>
    <w:rsid w:val="005F61EB"/>
    <w:rsid w:val="005F718B"/>
    <w:rsid w:val="006004ED"/>
    <w:rsid w:val="006110F5"/>
    <w:rsid w:val="006153B1"/>
    <w:rsid w:val="00621EB1"/>
    <w:rsid w:val="0062633C"/>
    <w:rsid w:val="00626652"/>
    <w:rsid w:val="00631E89"/>
    <w:rsid w:val="006324F2"/>
    <w:rsid w:val="006351CF"/>
    <w:rsid w:val="006373B6"/>
    <w:rsid w:val="00641FAD"/>
    <w:rsid w:val="00642C76"/>
    <w:rsid w:val="00643E8C"/>
    <w:rsid w:val="00645367"/>
    <w:rsid w:val="00647D57"/>
    <w:rsid w:val="006516EF"/>
    <w:rsid w:val="00653B28"/>
    <w:rsid w:val="0066483B"/>
    <w:rsid w:val="00666D67"/>
    <w:rsid w:val="00672232"/>
    <w:rsid w:val="00677B24"/>
    <w:rsid w:val="0068074C"/>
    <w:rsid w:val="00685C5F"/>
    <w:rsid w:val="00686516"/>
    <w:rsid w:val="00693D2F"/>
    <w:rsid w:val="00696F9D"/>
    <w:rsid w:val="006A0EA4"/>
    <w:rsid w:val="006B17B0"/>
    <w:rsid w:val="006D5CE5"/>
    <w:rsid w:val="006D7AA3"/>
    <w:rsid w:val="006E7CF2"/>
    <w:rsid w:val="006F5F15"/>
    <w:rsid w:val="006F68F5"/>
    <w:rsid w:val="0070567E"/>
    <w:rsid w:val="00715185"/>
    <w:rsid w:val="007209D4"/>
    <w:rsid w:val="00721590"/>
    <w:rsid w:val="007258F4"/>
    <w:rsid w:val="00727625"/>
    <w:rsid w:val="00735157"/>
    <w:rsid w:val="00737B3B"/>
    <w:rsid w:val="00743109"/>
    <w:rsid w:val="007505E6"/>
    <w:rsid w:val="00763904"/>
    <w:rsid w:val="00763B4E"/>
    <w:rsid w:val="00773FFA"/>
    <w:rsid w:val="0077498C"/>
    <w:rsid w:val="00776831"/>
    <w:rsid w:val="00784EAB"/>
    <w:rsid w:val="00790ED2"/>
    <w:rsid w:val="0079241E"/>
    <w:rsid w:val="007A1414"/>
    <w:rsid w:val="007A4ACD"/>
    <w:rsid w:val="007B768C"/>
    <w:rsid w:val="007D6525"/>
    <w:rsid w:val="007E53E6"/>
    <w:rsid w:val="007F5F8A"/>
    <w:rsid w:val="007F6309"/>
    <w:rsid w:val="008060E8"/>
    <w:rsid w:val="00817580"/>
    <w:rsid w:val="008211FF"/>
    <w:rsid w:val="0082330E"/>
    <w:rsid w:val="00825345"/>
    <w:rsid w:val="0083612F"/>
    <w:rsid w:val="0085285B"/>
    <w:rsid w:val="008610F6"/>
    <w:rsid w:val="008613A7"/>
    <w:rsid w:val="00864554"/>
    <w:rsid w:val="00865240"/>
    <w:rsid w:val="00871393"/>
    <w:rsid w:val="008826F5"/>
    <w:rsid w:val="0088631B"/>
    <w:rsid w:val="008901A2"/>
    <w:rsid w:val="00892296"/>
    <w:rsid w:val="008A2D53"/>
    <w:rsid w:val="008A2DDD"/>
    <w:rsid w:val="008A6023"/>
    <w:rsid w:val="008A62C2"/>
    <w:rsid w:val="008A630F"/>
    <w:rsid w:val="008A6FA0"/>
    <w:rsid w:val="008B0ACD"/>
    <w:rsid w:val="008B23BB"/>
    <w:rsid w:val="008B3E4A"/>
    <w:rsid w:val="008B4889"/>
    <w:rsid w:val="008C79A1"/>
    <w:rsid w:val="008D59E1"/>
    <w:rsid w:val="008E4836"/>
    <w:rsid w:val="008E56F5"/>
    <w:rsid w:val="008E5EFF"/>
    <w:rsid w:val="008E6184"/>
    <w:rsid w:val="008F3F8E"/>
    <w:rsid w:val="009064F7"/>
    <w:rsid w:val="00913A36"/>
    <w:rsid w:val="00914D4F"/>
    <w:rsid w:val="0091676B"/>
    <w:rsid w:val="009213DF"/>
    <w:rsid w:val="00921CE3"/>
    <w:rsid w:val="00922C90"/>
    <w:rsid w:val="00922CD6"/>
    <w:rsid w:val="00933678"/>
    <w:rsid w:val="00943FE4"/>
    <w:rsid w:val="00946D8C"/>
    <w:rsid w:val="00950EF0"/>
    <w:rsid w:val="009535C1"/>
    <w:rsid w:val="00982C17"/>
    <w:rsid w:val="009B23C6"/>
    <w:rsid w:val="009B2D11"/>
    <w:rsid w:val="009B663A"/>
    <w:rsid w:val="009C4CE8"/>
    <w:rsid w:val="009C70C1"/>
    <w:rsid w:val="009D7013"/>
    <w:rsid w:val="009E3275"/>
    <w:rsid w:val="009E4B71"/>
    <w:rsid w:val="009F1671"/>
    <w:rsid w:val="009F24AC"/>
    <w:rsid w:val="009F6C34"/>
    <w:rsid w:val="00A013E4"/>
    <w:rsid w:val="00A02ADA"/>
    <w:rsid w:val="00A169DF"/>
    <w:rsid w:val="00A21CC6"/>
    <w:rsid w:val="00A2701E"/>
    <w:rsid w:val="00A31D7C"/>
    <w:rsid w:val="00A33D20"/>
    <w:rsid w:val="00A34D37"/>
    <w:rsid w:val="00A4344B"/>
    <w:rsid w:val="00A4688D"/>
    <w:rsid w:val="00A46BAF"/>
    <w:rsid w:val="00A47E31"/>
    <w:rsid w:val="00A55B48"/>
    <w:rsid w:val="00A56BAE"/>
    <w:rsid w:val="00A6075B"/>
    <w:rsid w:val="00A6223D"/>
    <w:rsid w:val="00A62586"/>
    <w:rsid w:val="00A66D8D"/>
    <w:rsid w:val="00A6792F"/>
    <w:rsid w:val="00A930A0"/>
    <w:rsid w:val="00A96963"/>
    <w:rsid w:val="00AA65FC"/>
    <w:rsid w:val="00AB33E2"/>
    <w:rsid w:val="00AB6595"/>
    <w:rsid w:val="00AB7BE0"/>
    <w:rsid w:val="00AC6305"/>
    <w:rsid w:val="00AD2C62"/>
    <w:rsid w:val="00AE3E14"/>
    <w:rsid w:val="00AE668B"/>
    <w:rsid w:val="00AE6747"/>
    <w:rsid w:val="00AF1F7F"/>
    <w:rsid w:val="00AF43F4"/>
    <w:rsid w:val="00AF52AC"/>
    <w:rsid w:val="00AF78B9"/>
    <w:rsid w:val="00B02677"/>
    <w:rsid w:val="00B13A57"/>
    <w:rsid w:val="00B42A3F"/>
    <w:rsid w:val="00B43444"/>
    <w:rsid w:val="00B5216F"/>
    <w:rsid w:val="00B5780D"/>
    <w:rsid w:val="00B659BD"/>
    <w:rsid w:val="00B67C37"/>
    <w:rsid w:val="00B87618"/>
    <w:rsid w:val="00B918A4"/>
    <w:rsid w:val="00B923C9"/>
    <w:rsid w:val="00B930C6"/>
    <w:rsid w:val="00B94DCF"/>
    <w:rsid w:val="00B957DD"/>
    <w:rsid w:val="00B97243"/>
    <w:rsid w:val="00BA289C"/>
    <w:rsid w:val="00BB3F23"/>
    <w:rsid w:val="00BE01F5"/>
    <w:rsid w:val="00BE0D3E"/>
    <w:rsid w:val="00BE32E8"/>
    <w:rsid w:val="00BE3A27"/>
    <w:rsid w:val="00BE7868"/>
    <w:rsid w:val="00BF65F4"/>
    <w:rsid w:val="00C03A62"/>
    <w:rsid w:val="00C226FD"/>
    <w:rsid w:val="00C25155"/>
    <w:rsid w:val="00C33C64"/>
    <w:rsid w:val="00C35607"/>
    <w:rsid w:val="00C42750"/>
    <w:rsid w:val="00C42EB6"/>
    <w:rsid w:val="00C51761"/>
    <w:rsid w:val="00C5452A"/>
    <w:rsid w:val="00C636D3"/>
    <w:rsid w:val="00C675D5"/>
    <w:rsid w:val="00C72DF9"/>
    <w:rsid w:val="00C77236"/>
    <w:rsid w:val="00C86456"/>
    <w:rsid w:val="00CB00D2"/>
    <w:rsid w:val="00CB1949"/>
    <w:rsid w:val="00CB3B23"/>
    <w:rsid w:val="00CB7ED5"/>
    <w:rsid w:val="00CC3F11"/>
    <w:rsid w:val="00CC41DA"/>
    <w:rsid w:val="00CC4EB8"/>
    <w:rsid w:val="00CE244C"/>
    <w:rsid w:val="00CE2EAB"/>
    <w:rsid w:val="00CE4131"/>
    <w:rsid w:val="00CE62F3"/>
    <w:rsid w:val="00D01B0E"/>
    <w:rsid w:val="00D12927"/>
    <w:rsid w:val="00D132B3"/>
    <w:rsid w:val="00D1500D"/>
    <w:rsid w:val="00D1530F"/>
    <w:rsid w:val="00D23E4C"/>
    <w:rsid w:val="00D241FE"/>
    <w:rsid w:val="00D308D8"/>
    <w:rsid w:val="00D30C77"/>
    <w:rsid w:val="00D34D34"/>
    <w:rsid w:val="00D44801"/>
    <w:rsid w:val="00D5144A"/>
    <w:rsid w:val="00D5493F"/>
    <w:rsid w:val="00D55FED"/>
    <w:rsid w:val="00D612BD"/>
    <w:rsid w:val="00D6160F"/>
    <w:rsid w:val="00D63263"/>
    <w:rsid w:val="00D72B47"/>
    <w:rsid w:val="00D80728"/>
    <w:rsid w:val="00D82DEC"/>
    <w:rsid w:val="00D86412"/>
    <w:rsid w:val="00D9395D"/>
    <w:rsid w:val="00DA0C63"/>
    <w:rsid w:val="00DA1784"/>
    <w:rsid w:val="00DA1C6D"/>
    <w:rsid w:val="00DC5917"/>
    <w:rsid w:val="00DD27BC"/>
    <w:rsid w:val="00DE4FAD"/>
    <w:rsid w:val="00DE6B60"/>
    <w:rsid w:val="00DE77B9"/>
    <w:rsid w:val="00DE7A50"/>
    <w:rsid w:val="00DF21B8"/>
    <w:rsid w:val="00DF3392"/>
    <w:rsid w:val="00E0052B"/>
    <w:rsid w:val="00E01F1A"/>
    <w:rsid w:val="00E15630"/>
    <w:rsid w:val="00E27E85"/>
    <w:rsid w:val="00E342A7"/>
    <w:rsid w:val="00E34D1B"/>
    <w:rsid w:val="00E422D3"/>
    <w:rsid w:val="00E4789A"/>
    <w:rsid w:val="00E53B04"/>
    <w:rsid w:val="00E73635"/>
    <w:rsid w:val="00E85FB7"/>
    <w:rsid w:val="00E924B5"/>
    <w:rsid w:val="00E929CF"/>
    <w:rsid w:val="00E96E62"/>
    <w:rsid w:val="00E97398"/>
    <w:rsid w:val="00EA2D09"/>
    <w:rsid w:val="00EB5F82"/>
    <w:rsid w:val="00EB758F"/>
    <w:rsid w:val="00EC2142"/>
    <w:rsid w:val="00EC3454"/>
    <w:rsid w:val="00ED0BDE"/>
    <w:rsid w:val="00ED5942"/>
    <w:rsid w:val="00ED6E16"/>
    <w:rsid w:val="00ED7E1E"/>
    <w:rsid w:val="00EE31C8"/>
    <w:rsid w:val="00EE5B64"/>
    <w:rsid w:val="00EF12C3"/>
    <w:rsid w:val="00EF3A20"/>
    <w:rsid w:val="00EF3DB1"/>
    <w:rsid w:val="00EF5A86"/>
    <w:rsid w:val="00EF662B"/>
    <w:rsid w:val="00F07A82"/>
    <w:rsid w:val="00F135CF"/>
    <w:rsid w:val="00F13AF6"/>
    <w:rsid w:val="00F17CE0"/>
    <w:rsid w:val="00F235ED"/>
    <w:rsid w:val="00F26CC7"/>
    <w:rsid w:val="00F35215"/>
    <w:rsid w:val="00F472C2"/>
    <w:rsid w:val="00F721F0"/>
    <w:rsid w:val="00F85295"/>
    <w:rsid w:val="00F8605F"/>
    <w:rsid w:val="00F93E2B"/>
    <w:rsid w:val="00F9683B"/>
    <w:rsid w:val="00F97EF4"/>
    <w:rsid w:val="00FA4CBA"/>
    <w:rsid w:val="00FA4F44"/>
    <w:rsid w:val="00FA76EF"/>
    <w:rsid w:val="00FB2EF3"/>
    <w:rsid w:val="00FB4809"/>
    <w:rsid w:val="00FC0A80"/>
    <w:rsid w:val="00FC5586"/>
    <w:rsid w:val="00FE0F59"/>
    <w:rsid w:val="00FE3380"/>
    <w:rsid w:val="00FE7005"/>
    <w:rsid w:val="01DD5FB9"/>
    <w:rsid w:val="025E7738"/>
    <w:rsid w:val="02626824"/>
    <w:rsid w:val="0282417D"/>
    <w:rsid w:val="028757A4"/>
    <w:rsid w:val="03442D11"/>
    <w:rsid w:val="037F49E9"/>
    <w:rsid w:val="04DE7259"/>
    <w:rsid w:val="055900B6"/>
    <w:rsid w:val="05662C98"/>
    <w:rsid w:val="05AD1B88"/>
    <w:rsid w:val="05D832FA"/>
    <w:rsid w:val="05F03CF9"/>
    <w:rsid w:val="0793477B"/>
    <w:rsid w:val="08044A2B"/>
    <w:rsid w:val="084164C6"/>
    <w:rsid w:val="09077533"/>
    <w:rsid w:val="0A4671C6"/>
    <w:rsid w:val="0AB15A98"/>
    <w:rsid w:val="0B436A06"/>
    <w:rsid w:val="0CBA5EB6"/>
    <w:rsid w:val="0E625C06"/>
    <w:rsid w:val="0FB30734"/>
    <w:rsid w:val="11180857"/>
    <w:rsid w:val="13D46704"/>
    <w:rsid w:val="142D1270"/>
    <w:rsid w:val="14B2222E"/>
    <w:rsid w:val="155C6E58"/>
    <w:rsid w:val="160E0421"/>
    <w:rsid w:val="16EA78F0"/>
    <w:rsid w:val="17354ED1"/>
    <w:rsid w:val="18D3325C"/>
    <w:rsid w:val="1A8B0292"/>
    <w:rsid w:val="1B9211AC"/>
    <w:rsid w:val="1BCD6777"/>
    <w:rsid w:val="1C2D490C"/>
    <w:rsid w:val="1CDD40B1"/>
    <w:rsid w:val="1E5015B1"/>
    <w:rsid w:val="1E5170FD"/>
    <w:rsid w:val="1E5C1EB8"/>
    <w:rsid w:val="2217060F"/>
    <w:rsid w:val="22517BF7"/>
    <w:rsid w:val="235B27CC"/>
    <w:rsid w:val="249F2905"/>
    <w:rsid w:val="257637B2"/>
    <w:rsid w:val="257B556A"/>
    <w:rsid w:val="261F391D"/>
    <w:rsid w:val="269D1678"/>
    <w:rsid w:val="26BE6773"/>
    <w:rsid w:val="26C6078D"/>
    <w:rsid w:val="26CA78D4"/>
    <w:rsid w:val="27E35E27"/>
    <w:rsid w:val="286F359B"/>
    <w:rsid w:val="290B3BF8"/>
    <w:rsid w:val="2978709E"/>
    <w:rsid w:val="29E145F4"/>
    <w:rsid w:val="2B045967"/>
    <w:rsid w:val="2B954300"/>
    <w:rsid w:val="2C306336"/>
    <w:rsid w:val="2DBD030B"/>
    <w:rsid w:val="2DD32D0C"/>
    <w:rsid w:val="2DE41CB2"/>
    <w:rsid w:val="2E9A4AF0"/>
    <w:rsid w:val="2EB71476"/>
    <w:rsid w:val="2EDE3965"/>
    <w:rsid w:val="2EF51E14"/>
    <w:rsid w:val="2F0F0C7F"/>
    <w:rsid w:val="30760170"/>
    <w:rsid w:val="316A241E"/>
    <w:rsid w:val="33385822"/>
    <w:rsid w:val="33BB55B9"/>
    <w:rsid w:val="36AD12D6"/>
    <w:rsid w:val="37307546"/>
    <w:rsid w:val="37763B91"/>
    <w:rsid w:val="38251072"/>
    <w:rsid w:val="39A22792"/>
    <w:rsid w:val="3BB84807"/>
    <w:rsid w:val="3CE76498"/>
    <w:rsid w:val="3D20719B"/>
    <w:rsid w:val="3D2E165F"/>
    <w:rsid w:val="3DA60D7D"/>
    <w:rsid w:val="3DA64FAA"/>
    <w:rsid w:val="3E5C2ABF"/>
    <w:rsid w:val="3EA167E8"/>
    <w:rsid w:val="3F832832"/>
    <w:rsid w:val="3F966BAA"/>
    <w:rsid w:val="3FA342C5"/>
    <w:rsid w:val="3FA8588C"/>
    <w:rsid w:val="40155071"/>
    <w:rsid w:val="406321D3"/>
    <w:rsid w:val="40D653A2"/>
    <w:rsid w:val="41203D79"/>
    <w:rsid w:val="41BB2BB0"/>
    <w:rsid w:val="42217E75"/>
    <w:rsid w:val="423B0E8B"/>
    <w:rsid w:val="43AA712C"/>
    <w:rsid w:val="442D0E54"/>
    <w:rsid w:val="46296016"/>
    <w:rsid w:val="466F4C28"/>
    <w:rsid w:val="473E6B0F"/>
    <w:rsid w:val="48886DA2"/>
    <w:rsid w:val="48936944"/>
    <w:rsid w:val="49D331CA"/>
    <w:rsid w:val="4A233F53"/>
    <w:rsid w:val="4B253AA2"/>
    <w:rsid w:val="4B2B63D2"/>
    <w:rsid w:val="4BBC17AA"/>
    <w:rsid w:val="4C0657E4"/>
    <w:rsid w:val="4C5D7C5D"/>
    <w:rsid w:val="4C8A73C3"/>
    <w:rsid w:val="4CCE7476"/>
    <w:rsid w:val="4D256418"/>
    <w:rsid w:val="4DB017E2"/>
    <w:rsid w:val="4EB72851"/>
    <w:rsid w:val="4EE516FA"/>
    <w:rsid w:val="511423F2"/>
    <w:rsid w:val="513D5EB8"/>
    <w:rsid w:val="527156FA"/>
    <w:rsid w:val="52C76AF2"/>
    <w:rsid w:val="52FA3BFE"/>
    <w:rsid w:val="53A127DA"/>
    <w:rsid w:val="54E26B57"/>
    <w:rsid w:val="54E35FFA"/>
    <w:rsid w:val="551B1C37"/>
    <w:rsid w:val="557810A5"/>
    <w:rsid w:val="55BC34DE"/>
    <w:rsid w:val="562E2E36"/>
    <w:rsid w:val="566001CD"/>
    <w:rsid w:val="567979B1"/>
    <w:rsid w:val="56D147B3"/>
    <w:rsid w:val="580722BD"/>
    <w:rsid w:val="580F3D7F"/>
    <w:rsid w:val="58AD709A"/>
    <w:rsid w:val="59673FCC"/>
    <w:rsid w:val="5AA846AB"/>
    <w:rsid w:val="5AB00772"/>
    <w:rsid w:val="5AE00E8D"/>
    <w:rsid w:val="5B7834C3"/>
    <w:rsid w:val="5BFB5292"/>
    <w:rsid w:val="5F227016"/>
    <w:rsid w:val="5F952994"/>
    <w:rsid w:val="603172DD"/>
    <w:rsid w:val="607316BE"/>
    <w:rsid w:val="60B12DE6"/>
    <w:rsid w:val="60DF7FBD"/>
    <w:rsid w:val="61DC7CEF"/>
    <w:rsid w:val="61E67582"/>
    <w:rsid w:val="63836CE7"/>
    <w:rsid w:val="64C80D68"/>
    <w:rsid w:val="652368CA"/>
    <w:rsid w:val="66846110"/>
    <w:rsid w:val="66C34F23"/>
    <w:rsid w:val="67D53EC8"/>
    <w:rsid w:val="698A28F4"/>
    <w:rsid w:val="6A2A3E28"/>
    <w:rsid w:val="6AB93C83"/>
    <w:rsid w:val="6B1677E0"/>
    <w:rsid w:val="6B4806C9"/>
    <w:rsid w:val="6B557757"/>
    <w:rsid w:val="6D233789"/>
    <w:rsid w:val="6D492671"/>
    <w:rsid w:val="6E494CC8"/>
    <w:rsid w:val="707D01C0"/>
    <w:rsid w:val="71836BDD"/>
    <w:rsid w:val="719B1442"/>
    <w:rsid w:val="719B22A3"/>
    <w:rsid w:val="730438B3"/>
    <w:rsid w:val="7359482C"/>
    <w:rsid w:val="73CE5FA7"/>
    <w:rsid w:val="74E63348"/>
    <w:rsid w:val="75120509"/>
    <w:rsid w:val="75A15042"/>
    <w:rsid w:val="77644920"/>
    <w:rsid w:val="779D7E32"/>
    <w:rsid w:val="785142EF"/>
    <w:rsid w:val="78B83C1C"/>
    <w:rsid w:val="78CC39F9"/>
    <w:rsid w:val="7A927E5E"/>
    <w:rsid w:val="7B051112"/>
    <w:rsid w:val="7B846765"/>
    <w:rsid w:val="7BAB223A"/>
    <w:rsid w:val="7CD127D6"/>
    <w:rsid w:val="7D280290"/>
    <w:rsid w:val="7F8359E8"/>
    <w:rsid w:val="7FC97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Lines="0" w:beforeAutospacing="0" w:afterLines="0" w:afterAutospacing="0" w:line="440" w:lineRule="exact"/>
      <w:jc w:val="left"/>
      <w:outlineLvl w:val="1"/>
    </w:pPr>
    <w:rPr>
      <w:rFonts w:ascii="Arial" w:hAnsi="Arial" w:eastAsia="宋体" w:cs="Times New Roman"/>
      <w:sz w:val="24"/>
    </w:rPr>
  </w:style>
  <w:style w:type="character" w:default="1" w:styleId="10">
    <w:name w:val="Default Paragraph Font"/>
    <w:autoRedefine/>
    <w:semiHidden/>
    <w:unhideWhenUsed/>
    <w:qFormat/>
    <w:uiPriority w:val="1"/>
  </w:style>
  <w:style w:type="table" w:default="1" w:styleId="8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20"/>
    <w:autoRedefine/>
    <w:unhideWhenUsed/>
    <w:qFormat/>
    <w:uiPriority w:val="99"/>
    <w:pPr>
      <w:jc w:val="left"/>
    </w:pPr>
  </w:style>
  <w:style w:type="paragraph" w:styleId="4">
    <w:name w:val="Balloon Text"/>
    <w:basedOn w:val="1"/>
    <w:link w:val="16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autoRedefine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3"/>
    <w:next w:val="3"/>
    <w:link w:val="21"/>
    <w:autoRedefine/>
    <w:semiHidden/>
    <w:unhideWhenUsed/>
    <w:qFormat/>
    <w:uiPriority w:val="99"/>
    <w:rPr>
      <w:b/>
      <w:bCs/>
    </w:rPr>
  </w:style>
  <w:style w:type="table" w:styleId="9">
    <w:name w:val="Table Grid"/>
    <w:basedOn w:val="8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basedOn w:val="10"/>
    <w:autoRedefine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2">
    <w:name w:val="annotation reference"/>
    <w:basedOn w:val="10"/>
    <w:autoRedefine/>
    <w:semiHidden/>
    <w:unhideWhenUsed/>
    <w:qFormat/>
    <w:uiPriority w:val="99"/>
    <w:rPr>
      <w:sz w:val="21"/>
      <w:szCs w:val="21"/>
    </w:rPr>
  </w:style>
  <w:style w:type="character" w:customStyle="1" w:styleId="13">
    <w:name w:val="页眉 字符"/>
    <w:basedOn w:val="10"/>
    <w:link w:val="6"/>
    <w:autoRedefine/>
    <w:qFormat/>
    <w:uiPriority w:val="0"/>
    <w:rPr>
      <w:sz w:val="18"/>
      <w:szCs w:val="18"/>
    </w:rPr>
  </w:style>
  <w:style w:type="character" w:customStyle="1" w:styleId="14">
    <w:name w:val="页脚 字符"/>
    <w:basedOn w:val="10"/>
    <w:link w:val="5"/>
    <w:autoRedefine/>
    <w:qFormat/>
    <w:uiPriority w:val="99"/>
    <w:rPr>
      <w:sz w:val="18"/>
      <w:szCs w:val="18"/>
    </w:rPr>
  </w:style>
  <w:style w:type="paragraph" w:customStyle="1" w:styleId="15">
    <w:name w:val="列出段落1"/>
    <w:basedOn w:val="1"/>
    <w:autoRedefine/>
    <w:qFormat/>
    <w:uiPriority w:val="34"/>
    <w:pPr>
      <w:ind w:firstLine="420" w:firstLineChars="200"/>
    </w:pPr>
  </w:style>
  <w:style w:type="character" w:customStyle="1" w:styleId="16">
    <w:name w:val="批注框文本 字符"/>
    <w:basedOn w:val="10"/>
    <w:link w:val="4"/>
    <w:autoRedefine/>
    <w:semiHidden/>
    <w:qFormat/>
    <w:uiPriority w:val="99"/>
    <w:rPr>
      <w:sz w:val="18"/>
      <w:szCs w:val="18"/>
    </w:rPr>
  </w:style>
  <w:style w:type="paragraph" w:customStyle="1" w:styleId="17">
    <w:name w:val="列出段落2"/>
    <w:basedOn w:val="1"/>
    <w:autoRedefine/>
    <w:unhideWhenUsed/>
    <w:qFormat/>
    <w:uiPriority w:val="34"/>
    <w:pPr>
      <w:ind w:firstLine="420" w:firstLineChars="200"/>
    </w:pPr>
  </w:style>
  <w:style w:type="paragraph" w:customStyle="1" w:styleId="18">
    <w:name w:val="列出段落3"/>
    <w:basedOn w:val="1"/>
    <w:autoRedefine/>
    <w:unhideWhenUsed/>
    <w:qFormat/>
    <w:uiPriority w:val="99"/>
    <w:pPr>
      <w:ind w:firstLine="420" w:firstLineChars="200"/>
    </w:pPr>
  </w:style>
  <w:style w:type="paragraph" w:styleId="19">
    <w:name w:val="List Paragraph"/>
    <w:basedOn w:val="1"/>
    <w:autoRedefine/>
    <w:unhideWhenUsed/>
    <w:qFormat/>
    <w:uiPriority w:val="99"/>
    <w:pPr>
      <w:ind w:firstLine="420" w:firstLineChars="200"/>
    </w:pPr>
  </w:style>
  <w:style w:type="character" w:customStyle="1" w:styleId="20">
    <w:name w:val="批注文字 字符"/>
    <w:basedOn w:val="10"/>
    <w:link w:val="3"/>
    <w:autoRedefine/>
    <w:qFormat/>
    <w:uiPriority w:val="99"/>
    <w:rPr>
      <w:rFonts w:asciiTheme="minorHAnsi" w:hAnsiTheme="minorHAnsi" w:eastAsiaTheme="minorEastAsia" w:cstheme="minorBidi"/>
      <w:kern w:val="2"/>
      <w:sz w:val="21"/>
      <w:szCs w:val="22"/>
    </w:rPr>
  </w:style>
  <w:style w:type="character" w:customStyle="1" w:styleId="21">
    <w:name w:val="批注主题 字符"/>
    <w:basedOn w:val="20"/>
    <w:link w:val="7"/>
    <w:autoRedefine/>
    <w:semiHidden/>
    <w:qFormat/>
    <w:uiPriority w:val="99"/>
    <w:rPr>
      <w:rFonts w:asciiTheme="minorHAnsi" w:hAnsiTheme="minorHAnsi" w:eastAsiaTheme="minorEastAsia" w:cstheme="minorBidi"/>
      <w:b/>
      <w:bCs/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sv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7.sv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064BC2-66DB-48CF-9671-A0AA0AEC038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番茄花园</Company>
  <Pages>2</Pages>
  <Words>729</Words>
  <Characters>895</Characters>
  <Lines>24</Lines>
  <Paragraphs>6</Paragraphs>
  <TotalTime>38</TotalTime>
  <ScaleCrop>false</ScaleCrop>
  <LinksUpToDate>false</LinksUpToDate>
  <CharactersWithSpaces>898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2012-12-04T10:00:00Z</dcterms:created>
  <dc:creator>番茄花园</dc:creator>
  <cp:lastModifiedBy>企业用户_423007948</cp:lastModifiedBy>
  <dcterms:modified xsi:type="dcterms:W3CDTF">2025-04-02T03:25:03Z</dcterms:modified>
  <cp:revision>371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2AB0AB22DF9D4D8683CD094CA5D0D63B</vt:lpwstr>
  </property>
  <property fmtid="{D5CDD505-2E9C-101B-9397-08002B2CF9AE}" pid="4" name="KSOTemplateDocerSaveRecord">
    <vt:lpwstr>eyJoZGlkIjoiZjU4NTMzMjZjY2E4MzQyMjQ4ODBhNzc3N2IxMGRmM2UiLCJ1c2VySWQiOiIxNTQ2NjA1ODgzIn0=</vt:lpwstr>
  </property>
</Properties>
</file>