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73" w:rsidRPr="00C028A8" w:rsidRDefault="00BE5773" w:rsidP="00BE5773">
      <w:pPr>
        <w:rPr>
          <w:b/>
        </w:rPr>
      </w:pPr>
      <w:r w:rsidRPr="00C028A8">
        <w:rPr>
          <w:b/>
        </w:rPr>
        <w:t>Program</w:t>
      </w:r>
      <w:r>
        <w:rPr>
          <w:b/>
        </w:rPr>
        <w:t xml:space="preserve"> </w:t>
      </w:r>
      <w:proofErr w:type="gramStart"/>
      <w:r>
        <w:rPr>
          <w:b/>
        </w:rPr>
        <w:t xml:space="preserve">14.1 </w:t>
      </w:r>
      <w:r w:rsidRPr="00C028A8">
        <w:rPr>
          <w:b/>
        </w:rPr>
        <w:t xml:space="preserve"> Display</w:t>
      </w:r>
      <w:proofErr w:type="gramEnd"/>
      <w:r w:rsidRPr="00C028A8">
        <w:rPr>
          <w:b/>
        </w:rPr>
        <w:t xml:space="preserve"> of Data and Summary Statistics</w:t>
      </w:r>
    </w:p>
    <w:p w:rsidR="00BE5773" w:rsidRPr="00C028A8" w:rsidRDefault="00BE5773" w:rsidP="00BE5773"/>
    <w:p w:rsidR="00BE5773" w:rsidRPr="00C028A8" w:rsidRDefault="00BE5773" w:rsidP="00BE5773"/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file="D:\Temp\ICER_SumCostEff.rtf" </w:t>
      </w:r>
    </w:p>
    <w:p w:rsidR="00BE5773" w:rsidRPr="001D6E4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style=</w:t>
      </w:r>
      <w:proofErr w:type="gram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minimal;</w:t>
      </w:r>
    </w:p>
    <w:p w:rsidR="00BE5773" w:rsidRPr="001D6E4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1D6E4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tabulate</w:t>
      </w: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therapy,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='Total Costs'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='Response Days (BPRS)')* 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(N*FORMAT=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3.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P25 MEDIAN P75 MEAN STD);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costs and effectiveness measures by therapy';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rtf close;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proc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sort data = ICER;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 run;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1D6E4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univariate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=ICER </w:t>
      </w:r>
      <w:proofErr w:type="spellStart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noprint</w:t>
      </w:r>
      <w:proofErr w:type="spellEnd"/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D6E4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histogram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 lognormal(fill l=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b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cfill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=yellow midpoints = 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2500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152500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5000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2.5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lspace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"Test histogram: raw costs – lognormal distribution";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icer2; set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group=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floor(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/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10000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data=icer2; by therapy group;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filename</w:t>
      </w:r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MYFILE "D:\Temp\ICER_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.gif";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gsfname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=MYFILE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gsfmode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=replace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htext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031431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ftext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>swiss</w:t>
      </w:r>
      <w:proofErr w:type="spellEnd"/>
      <w:r w:rsidRPr="00C028A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rotate=landscape;</w:t>
      </w:r>
    </w:p>
    <w:p w:rsidR="00BE5773" w:rsidRPr="00C028A8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format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value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charge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='&lt;1';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legend1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label=none across=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value=(height=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1.3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cborder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=black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cblock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=gray;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pattern1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v=solid c=black;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pattern3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v=solid  c=LIBRGR 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pattern2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v=L1  c=black;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footnote1  h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'Total Costs (10 thou. $)';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Total Costs by Initial Therapy’; 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AXIS1 LABEL=none value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C=BLACK);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AXIS2 LABEL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 angle=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"Frequency" J=CENTER) value=(H=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C=BLACK);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AXIS3 label=none value=none;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shd w:val="clear" w:color="auto" w:fill="FFFFFF"/>
        </w:rPr>
      </w:pP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GCHART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data=ICER2;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format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group charge.;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VBAR therapy/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patternid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=subgroup subgroup=therapy group=group space=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ref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120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10</w:t>
      </w:r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gaxis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=axis1 </w:t>
      </w:r>
      <w:proofErr w:type="spell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raxis</w:t>
      </w:r>
      <w:proofErr w:type="spell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=axis2 maxis=axis3 legend=legend1;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BE5773" w:rsidRPr="00B621F6" w:rsidRDefault="00BE5773" w:rsidP="00BE577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  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773"/>
    <w:rsid w:val="00023068"/>
    <w:rsid w:val="000464D9"/>
    <w:rsid w:val="001A2772"/>
    <w:rsid w:val="00682B1D"/>
    <w:rsid w:val="006A79FA"/>
    <w:rsid w:val="007C5EE4"/>
    <w:rsid w:val="007D4E8C"/>
    <w:rsid w:val="00A55BBB"/>
    <w:rsid w:val="00BE5773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E57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E57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577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70ADFDA4-7E1A-474D-8777-21AD32A57EA0}"/>
</file>

<file path=customXml/itemProps2.xml><?xml version="1.0" encoding="utf-8"?>
<ds:datastoreItem xmlns:ds="http://schemas.openxmlformats.org/officeDocument/2006/customXml" ds:itemID="{9401F63F-36EF-4872-9120-3EFCA5B12E3D}"/>
</file>

<file path=customXml/itemProps3.xml><?xml version="1.0" encoding="utf-8"?>
<ds:datastoreItem xmlns:ds="http://schemas.openxmlformats.org/officeDocument/2006/customXml" ds:itemID="{2023D306-D4A5-4DD3-9874-365F2A1BBD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>Eli Lilly and Company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2010-05-06T02:23:00Z</dcterms:created>
  <dcterms:modified xsi:type="dcterms:W3CDTF">2010-05-06T02:24:00Z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