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050505"/>
            <w:tcMar>
              <w:top w:w="360" w:type="dxa"/>
              <w:start w:w="320" w:type="dxa"/>
              <w:bottom w:w="360" w:type="dxa"/>
              <w:end w:w="3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49240" cy="26772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r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2677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FFFFFF"/>
                <w:sz w:val="54"/>
              </w:rPr>
              <w:t>SAR simulation environment</w:t>
            </w:r>
          </w:p>
          <w:p>
            <w:pPr>
              <w:jc w:val="center"/>
            </w:pPr>
            <w:r>
              <w:rPr>
                <w:color w:val="D6DDE8"/>
                <w:sz w:val="36"/>
              </w:rPr>
              <w:t>Manuale utente</w:t>
            </w:r>
          </w:p>
          <w:p>
            <w:pPr>
              <w:jc w:val="center"/>
            </w:pPr>
            <w:r>
              <w:rPr>
                <w:color w:val="A5B1C3"/>
                <w:sz w:val="20"/>
              </w:rPr>
              <w:t>Versione 40 - Edizione bilingue</w:t>
            </w:r>
          </w:p>
          <w:p>
            <w:pPr>
              <w:jc w:val="center"/>
            </w:pPr>
            <w:r>
              <w:rPr>
                <w:i/>
                <w:color w:val="D6DDE8"/>
                <w:sz w:val="22"/>
              </w:rPr>
              <w:t>Autori: Zoe Betta e Antonio Sgorbissa</w:t>
            </w:r>
          </w:p>
        </w:tc>
      </w:tr>
    </w:tbl>
    <w:p>
      <w:r>
        <w:br w:type="page"/>
      </w:r>
    </w:p>
    <w:p>
      <w:pPr>
        <w:pStyle w:val="Heading1"/>
      </w:pPr>
      <w:r>
        <w:t>Contenuti</w:t>
      </w:r>
    </w:p>
    <w:p>
      <w:pPr>
        <w:spacing w:after="40"/>
      </w:pPr>
      <w:r>
        <w:rPr>
          <w:color w:val="1F2937"/>
        </w:rPr>
        <w:t>1. Scopo e campo di applicazione</w:t>
      </w:r>
    </w:p>
    <w:p>
      <w:pPr>
        <w:spacing w:after="40"/>
      </w:pPr>
      <w:r>
        <w:rPr>
          <w:color w:val="1F2937"/>
        </w:rPr>
        <w:t>2. Installazione e primo avvio</w:t>
      </w:r>
    </w:p>
    <w:p>
      <w:pPr>
        <w:spacing w:after="40"/>
      </w:pPr>
      <w:r>
        <w:rPr>
          <w:color w:val="1F2937"/>
        </w:rPr>
        <w:t>3. Avvio rapido</w:t>
      </w:r>
    </w:p>
    <w:p>
      <w:pPr>
        <w:spacing w:after="40"/>
      </w:pPr>
      <w:r>
        <w:rPr>
          <w:color w:val="1F2937"/>
        </w:rPr>
        <w:t>4. Configurazione dell’esperimento</w:t>
      </w:r>
    </w:p>
    <w:p>
      <w:pPr>
        <w:spacing w:after="40"/>
      </w:pPr>
      <w:r>
        <w:rPr>
          <w:color w:val="1F2937"/>
        </w:rPr>
        <w:t>5. Progettazione degli esperimenti</w:t>
      </w:r>
    </w:p>
    <w:p>
      <w:pPr>
        <w:spacing w:after="40"/>
      </w:pPr>
      <w:r>
        <w:rPr>
          <w:color w:val="1F2937"/>
        </w:rPr>
        <w:t>6. Esecuzione e osservazione</w:t>
      </w:r>
    </w:p>
    <w:p>
      <w:pPr>
        <w:spacing w:after="40"/>
      </w:pPr>
      <w:r>
        <w:rPr>
          <w:color w:val="1F2937"/>
        </w:rPr>
        <w:t>7. File di output</w:t>
      </w:r>
    </w:p>
    <w:p>
      <w:pPr>
        <w:spacing w:after="40"/>
      </w:pPr>
      <w:r>
        <w:rPr>
          <w:color w:val="1F2937"/>
        </w:rPr>
        <w:t>8. Metriche e interpretazione</w:t>
      </w:r>
    </w:p>
    <w:p>
      <w:pPr>
        <w:spacing w:after="40"/>
      </w:pPr>
      <w:r>
        <w:rPr>
          <w:color w:val="1F2937"/>
        </w:rPr>
        <w:t>9. Cartella di lavoro delle analisi statistiche</w:t>
      </w:r>
    </w:p>
    <w:p>
      <w:pPr>
        <w:spacing w:after="40"/>
      </w:pPr>
      <w:r>
        <w:rPr>
          <w:color w:val="1F2937"/>
        </w:rPr>
        <w:t>10. Checklist di riproducibilità</w:t>
      </w:r>
    </w:p>
    <w:p>
      <w:pPr>
        <w:spacing w:after="40"/>
      </w:pPr>
      <w:r>
        <w:rPr>
          <w:color w:val="1F2937"/>
        </w:rPr>
        <w:t>11. Risoluzione dei problemi</w:t>
      </w:r>
    </w:p>
    <w:p>
      <w:pPr>
        <w:spacing w:after="40"/>
      </w:pPr>
      <w:r>
        <w:rPr>
          <w:color w:val="1F2937"/>
        </w:rPr>
        <w:t>12. Struttura dei file</w:t>
      </w:r>
    </w:p>
    <w:p>
      <w:r>
        <w:br w:type="page"/>
      </w:r>
    </w:p>
    <w:p>
      <w:pPr>
        <w:pStyle w:val="Heading1"/>
      </w:pPr>
      <w:r>
        <w:t>1. Scopo e campo di applicazione</w:t>
      </w:r>
    </w:p>
    <w:p>
      <w:r>
        <w:t>SAR simulation environment è un’applicazione Python per valutare strategie di esplorazione Search and Rescue multipiano con un robot quadrupede simulato. Il software genera edifici riproducibili, esegue tutte le condizioni Fw e Opt richieste sullo stesso ambiente e sulla stessa posa iniziale, visualizza l’esplorazione ed esporta statistiche descrittive e inferenziali.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AF0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2F5597"/>
              </w:rPr>
              <w:t xml:space="preserve">Principio fondamentale  </w:t>
            </w:r>
            <w:r>
              <w:t>Nello stesso edificio, ogni condizione Fw x Opt usa la medesima geometria e la stessa posa iniziale validata. I confronti tra condizioni risultano quindi equi e riproducibili.</w:t>
            </w:r>
          </w:p>
        </w:tc>
      </w:tr>
    </w:tbl>
    <w:p>
      <w:pPr>
        <w:spacing w:after="0"/>
      </w:pPr>
    </w:p>
    <w:p>
      <w:pPr>
        <w:pStyle w:val="Heading1"/>
      </w:pPr>
      <w:r>
        <w:t>2. Installazione e primo avvio</w:t>
      </w:r>
    </w:p>
    <w:p>
      <w:pPr>
        <w:pStyle w:val="Heading2"/>
      </w:pPr>
      <w:r>
        <w:t>2.1 Requisiti</w:t>
      </w:r>
    </w:p>
    <w:p>
      <w:pPr>
        <w:pStyle w:val="ListBullet"/>
      </w:pPr>
      <w:r>
        <w:t>Python 3.10 o successivo.</w:t>
      </w:r>
    </w:p>
    <w:p>
      <w:pPr>
        <w:pStyle w:val="ListBullet"/>
      </w:pPr>
      <w:r>
        <w:t>Un ambiente desktop per Tkinter, Pygame, Matplotlib e la finestra Panda3D opzionale.</w:t>
      </w:r>
    </w:p>
    <w:p>
      <w:pPr>
        <w:pStyle w:val="ListBullet"/>
      </w:pPr>
      <w:r>
        <w:t>Una GPU è consigliata, ma non obbligatoria, per la vista 3D.</w:t>
      </w:r>
    </w:p>
    <w:p>
      <w:pPr>
        <w:pStyle w:val="Heading2"/>
      </w:pPr>
      <w:r>
        <w:t>2.2 Installazione delle dipendenze</w:t>
      </w:r>
    </w:p>
    <w:p>
      <w:r>
        <w:t>Aprire un terminale nella cartella della distribuzione. È consigliato un ambiente virtuale:</w:t>
      </w:r>
    </w:p>
    <w:p>
      <w:pPr>
        <w:pStyle w:val="CodeBlock"/>
      </w:pPr>
      <w:r>
        <w:t>python -m venv .venv</w:t>
      </w:r>
    </w:p>
    <w:p>
      <w:pPr>
        <w:pStyle w:val="CodeBlock"/>
      </w:pPr>
      <w:r>
        <w:t>.venv\Scripts\activate   # Windows</w:t>
      </w:r>
    </w:p>
    <w:p>
      <w:pPr>
        <w:pStyle w:val="CodeBlock"/>
      </w:pPr>
      <w:r>
        <w:t>source .venv/bin/activate   # Linux/macOS</w:t>
      </w:r>
    </w:p>
    <w:p>
      <w:pPr>
        <w:pStyle w:val="CodeBlock"/>
      </w:pPr>
      <w:r>
        <w:t>python -m pip install -r requirements.txt</w:t>
      </w:r>
    </w:p>
    <w:p>
      <w:pPr>
        <w:pStyle w:val="Heading2"/>
      </w:pPr>
      <w:r>
        <w:t>2.3 Avvio del programma</w:t>
      </w:r>
    </w:p>
    <w:p>
      <w:pPr>
        <w:pStyle w:val="CodeBlock"/>
      </w:pPr>
      <w:r>
        <w:t>python main.py</w:t>
      </w:r>
    </w:p>
    <w:p>
      <w:r>
        <w:t>La schermata iniziale mostra il logo SAR, il titolo, gli autori e la selezione della lingua. Scegliere English o Italiano e premere Continua. La scelta si applica alla configurazione, al viewer, alle finestre dei risultati e ai messaggi della console. Apri manuale apre il PDF corrispondente alla lingua selezionata.</w:t>
      </w:r>
    </w:p>
    <w:p>
      <w:pPr>
        <w:pStyle w:val="Heading1"/>
      </w:pPr>
      <w:r>
        <w:t>3. Avvio rapido</w:t>
      </w:r>
    </w:p>
    <w:p>
      <w:pPr>
        <w:pStyle w:val="ListNumber"/>
      </w:pPr>
      <w:r>
        <w:t>Eseguire python main.py.</w:t>
      </w:r>
    </w:p>
    <w:p>
      <w:pPr>
        <w:pStyle w:val="ListNumber"/>
      </w:pPr>
      <w:r>
        <w:t>Selezionare Italiano e premere Continua.</w:t>
      </w:r>
    </w:p>
    <w:p>
      <w:pPr>
        <w:pStyle w:val="ListNumber"/>
      </w:pPr>
      <w:r>
        <w:t>Per una prova rapida, impostare Numero di edifici casuali a 1 e Tr a 60 s.</w:t>
      </w:r>
    </w:p>
    <w:p>
      <w:pPr>
        <w:pStyle w:val="ListNumber"/>
      </w:pPr>
      <w:r>
        <w:t>Premere Avvia simulazione.</w:t>
      </w:r>
    </w:p>
    <w:p>
      <w:pPr>
        <w:pStyle w:val="ListNumber"/>
      </w:pPr>
      <w:r>
        <w:t>Usare SPAZIO per la pausa, i tasti 1-4 per la velocità e Max Turbo per l’esecuzione più rapida.</w:t>
      </w:r>
    </w:p>
    <w:p>
      <w:pPr>
        <w:pStyle w:val="ListNumber"/>
      </w:pPr>
      <w:r>
        <w:t>Esaminare le tabelle finali e i file CSV e XLSX generati.</w:t>
      </w:r>
    </w:p>
    <w:p>
      <w:pPr>
        <w:pStyle w:val="Heading1"/>
      </w:pPr>
      <w:r>
        <w:t>4. Configurazione dell’esperimento</w:t>
      </w:r>
    </w:p>
    <w:p>
      <w:r>
        <w:t>La finestra è divisa in parametri del batch, pesi fissi del planner e impostazioni dell’ambiente. Solo Fw e Opt producono il prodotto cartesiano delle condizioni; tutti gli altri valori restano invariati nel batch.</w:t>
      </w:r>
    </w:p>
    <w:p>
      <w:pPr>
        <w:pStyle w:val="Heading2"/>
      </w:pPr>
      <w:r>
        <w:t>4.1 Parametri del batch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520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Opzione</w:t>
            </w:r>
          </w:p>
        </w:tc>
        <w:tc>
          <w:tcPr>
            <w:tcW w:type="dxa" w:w="1152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6480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Significato e indicazioni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Numero di piani N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Numero di piani in ogni edificio. Minimo: 2.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Durata della run Tr [s]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600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Budget temporale totale assegnato a un episodio.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Costo cambio piano Ts [s]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Tempo sottratto al budget a ogni cambio piano. Non incrementa t_expl.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Numero di edifici casuali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Seed indipendenti. Aumentare il valore per confronti statistici stabili.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Seed iniziale globale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Seed del primo edificio. L’edificio i usa base_seed + i.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Fw combinatorio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0; 0.3; 1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Uno o più valori non negativi separati da punto e virgola o virgola.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Opt combinatorio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ON; OFF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Una o entrambe le modalità. Sono eseguite tutte le combinazioni Fw x Opt.</w:t>
            </w:r>
          </w:p>
        </w:tc>
      </w:tr>
    </w:tbl>
    <w:p>
      <w:pPr>
        <w:spacing w:after="0"/>
      </w:pPr>
    </w:p>
    <w:p>
      <w:pPr>
        <w:pStyle w:val="Heading2"/>
      </w:pPr>
      <w:r>
        <w:t>4.2 Pesi fissi del planner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152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1152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7848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Ruolo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Iw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Premia il guadagno di informazione atteso della frontiera.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Dw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Penalizza la distanza di viaggio.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Vw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0.3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Penalizza il termine di vicinanza del planner.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Cw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Penalità di curvatura con Opt=ON; limita percorsi inutilmente curvi.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Ow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Penalità di orientamento con Opt=ON; limita deviazioni dalla direzione preferita.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Wp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Premio di persistenza della frontiera; riduce cambi rapidi del target.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Ms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Vantaggio minimo richiesto per cambiare target.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663"/>
            <w:shd w:fill="EAF0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2F5597"/>
              </w:rPr>
              <w:t xml:space="preserve">Indicazione sperimentale  </w:t>
            </w:r>
            <w:r>
              <w:t>Quando possibile, modificare una sola famiglia di parametri alla volta. Registrare tutti i valori, il seed e la versione del software nel diario di laboratorio.</w:t>
            </w:r>
          </w:p>
        </w:tc>
      </w:tr>
    </w:tbl>
    <w:p>
      <w:pPr>
        <w:spacing w:after="0"/>
      </w:pPr>
    </w:p>
    <w:p>
      <w:pPr>
        <w:pStyle w:val="Heading2"/>
      </w:pPr>
      <w:r>
        <w:t>4.3 Impostazioni dell’ambiente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664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Opzione</w:t>
            </w:r>
          </w:p>
        </w:tc>
        <w:tc>
          <w:tcPr>
            <w:tcW w:type="dxa" w:w="2376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Scelte</w:t>
            </w:r>
          </w:p>
        </w:tc>
        <w:tc>
          <w:tcPr>
            <w:tcW w:type="dxa" w:w="5616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Significato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Topologia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Piani tipo ufficio / Topologia libera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 piani tipo ufficio contengono stanze e corridoi; la topologia libera è meno strutturata.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Aggiungi sedie, tavoli e macerie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Abilitato / Disabilitato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Aggiunge ostacoli fisici e i corrispondenti elementi visivi 2D/3D.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Densità oggetti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1-4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Scala la quantità di ostacoli. Valori elevati rendono navigazione e generazione più impegnative.</w:t>
            </w:r>
          </w:p>
        </w:tc>
      </w:tr>
    </w:tbl>
    <w:p>
      <w:pPr>
        <w:spacing w:after="0"/>
      </w:pPr>
    </w:p>
    <w:p>
      <w:pPr>
        <w:pStyle w:val="Heading1"/>
      </w:pPr>
      <w:r>
        <w:t>5. Progettazione degli esperimenti</w:t>
      </w:r>
    </w:p>
    <w:p>
      <w:pPr>
        <w:pStyle w:val="Heading2"/>
      </w:pPr>
      <w:r>
        <w:t>5.1 Numero di episodi</w:t>
      </w:r>
    </w:p>
    <w:p>
      <w:r>
        <w:t>Episodi totali = numero di edifici x numero di valori Fw x numero di valori Opt. Per esempio, 170 edifici, tre valori Fw e due valori Opt producono 1.020 episodi.</w:t>
      </w:r>
    </w:p>
    <w:p>
      <w:pPr>
        <w:pStyle w:val="Heading2"/>
      </w:pPr>
      <w:r>
        <w:t>5.2 Confronti equi</w:t>
      </w:r>
    </w:p>
    <w:p>
      <w:r>
        <w:t>Per ogni edificio il programma valida una posa iniziale utilizzabile in tutte le condizioni. Edificio e posa vengono riutilizzati per l’intero batch Fw x Opt. Se il robot non riesce a pianificare un percorso o a traslare nell’intervallo diagnostico, viene selezionata una nuova posa prima di accettare qualsiasi episodio di quell’edificio.</w:t>
      </w:r>
    </w:p>
    <w:p>
      <w:pPr>
        <w:pStyle w:val="Heading2"/>
      </w:pPr>
      <w:r>
        <w:t>5.3 Dimensioni suggerite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880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Scopo</w:t>
            </w:r>
          </w:p>
        </w:tc>
        <w:tc>
          <w:tcPr>
            <w:tcW w:type="dxa" w:w="7488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Configurazione suggerita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Controllo interfaccia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 edificio, Tr=30-60 s, un valore Fw e un valore Opt.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Studio pilota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10-30 edifici con tutte le condizioni previste.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Esperimento per pubblicazione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Usare un numero sufficiente di edifici; mantenere gli stessi edifici tra condizioni e riportare il disegno completo.</w:t>
            </w:r>
          </w:p>
        </w:tc>
      </w:tr>
    </w:tbl>
    <w:p>
      <w:pPr>
        <w:spacing w:after="0"/>
      </w:pPr>
    </w:p>
    <w:p>
      <w:pPr>
        <w:pStyle w:val="Heading1"/>
      </w:pPr>
      <w:r>
        <w:t>6. Esecuzione e osservazione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592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Controllo</w:t>
            </w:r>
          </w:p>
        </w:tc>
        <w:tc>
          <w:tcPr>
            <w:tcW w:type="dxa" w:w="7776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Azione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SPAZIO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Mette in pausa o riprende l’episodio.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1 / 2 / 3 / 4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Imposta la velocità 1x, 2x, 4x o 8x.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Max Turbo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Congela il rendering ed esegue i passi simulati alla massima velocità possibile.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Abilita vista 3D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Apre la telecamera Panda3D in prima persona per l’edificio corrente.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ESC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Termina l’episodio corrente.</w:t>
            </w:r>
          </w:p>
        </w:tc>
      </w:tr>
    </w:tbl>
    <w:p>
      <w:pPr>
        <w:spacing w:after="0"/>
      </w:pPr>
    </w:p>
    <w:p>
      <w:r>
        <w:t>Il pannello sinistro mostra la geometria ground truth continua. Il pannello destro mostra la mappa probabilistica e semantica costruita dal robot. La legenda separa ambiente reale, robot e sensori, pianificazione e stati della mappa interna.</w:t>
      </w:r>
    </w:p>
    <w:p>
      <w:pPr>
        <w:pStyle w:val="Heading2"/>
      </w:pPr>
      <w:r>
        <w:t>6.1 Diagnostica dello start</w:t>
      </w:r>
    </w:p>
    <w:p>
      <w:r>
        <w:t>Prima del batch di un edificio, una breve esecuzione invisibile verifica che il robot riesca a pianificare e a traslare. L’avanzamento è mostrato nel viewer persistente. Un watchdog impedisce che mappe patologiche facciano apparire il programma bloccato.</w:t>
      </w:r>
    </w:p>
    <w:p>
      <w:pPr>
        <w:pStyle w:val="Heading2"/>
      </w:pPr>
      <w:r>
        <w:t>6.2 Max Turbo e vista 3D</w:t>
      </w:r>
    </w:p>
    <w:p>
      <w:r>
        <w:t>Max Turbo sospende il rendering costoso ma non modifica il passo fisico deterministico. La preferenza della vista 3D viene conservata e la finestra Panda3D viene ripristinata quando Max Turbo viene disattivato, se era stata abilitata.</w:t>
      </w:r>
    </w:p>
    <w:p>
      <w:pPr>
        <w:pStyle w:val="Heading1"/>
      </w:pPr>
      <w:r>
        <w:t>7. File di output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3528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6840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Contenuto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sar_simulation_results.csv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Una riga per episodio: configurazione, coverage, attività tra piani, tempo e metriche SAR.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sar_simulation_condition_statistics.csv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Medie e SD campionarie di Af, Af* e Atot per ogni condizione Fw/Opt.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sar_simulation_time_area_relationship.csv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Correlazioni, regressione, selezione del modello e conclusioni per t_expl e Atot.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sar_simulation_analysis.xlsx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Risultati grezzi, riepiloghi, ANOVA, Tukey-Kramer, Welch, analisi per Fw, modelli tempo-area e note.</w:t>
            </w:r>
          </w:p>
        </w:tc>
      </w:tr>
    </w:tbl>
    <w:p>
      <w:pPr>
        <w:spacing w:after="0"/>
      </w:pPr>
    </w:p>
    <w:p>
      <w:pPr>
        <w:pStyle w:val="Heading1"/>
      </w:pPr>
      <w:r>
        <w:t>8. Metriche e interpretazione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224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Metrica</w:t>
            </w:r>
          </w:p>
        </w:tc>
        <w:tc>
          <w:tcPr>
            <w:tcW w:type="dxa" w:w="4464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Definizione</w:t>
            </w:r>
          </w:p>
        </w:tc>
        <w:tc>
          <w:tcPr>
            <w:tcW w:type="dxa" w:w="4680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Interpretazione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Af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Media della percentuale esplorata sui piani visitati.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Quanto accuratamente sono stati coperti i piani raggiunti.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Af*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Percentuale esplorata sul piano iniziale.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Copertura del piano di partenza.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Atot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Area esplorata divisa per l’area esplorabile totale di tutti i piani.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Misura globale principale.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Vf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Numero di piani distinti visitati.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Estensione verticale dell’esplorazione.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Cf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Numero di cambi piano.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Frequenza degli spostamenti verticali.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t_expl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Tempo simulato effettivamente dedicato all’esplorazione.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Ts riduce il budget ma non viene aggiunto a t_expl.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TP / FP / FN / TN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Valori della matrice di confusione per il rilevamento delle vittime.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Usati per sensibilità, specificità, balanced accuracy e MCC.</w:t>
            </w:r>
          </w:p>
        </w:tc>
      </w:tr>
    </w:tbl>
    <w:p>
      <w:pPr>
        <w:spacing w:after="0"/>
      </w:pPr>
    </w:p>
    <w:p>
      <w:pPr>
        <w:pStyle w:val="Heading2"/>
      </w:pPr>
      <w:r>
        <w:t>8.1 Interpretazione congiunta</w:t>
      </w:r>
    </w:p>
    <w:p>
      <w:r>
        <w:t>Un Af elevato con Atot basso può indicare che il robot ha esplorato molto bene pochi piani. Vf o Cf elevati non implicano automaticamente Atot elevato, perché le transizioni consumano Ts. La strategia desiderata bilancia copertura locale e passaggio tempestivo agli altri piani.</w:t>
      </w:r>
    </w:p>
    <w:p>
      <w:pPr>
        <w:pStyle w:val="Heading1"/>
      </w:pPr>
      <w:r>
        <w:t>9. Cartella di lavoro delle analisi statistiche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448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Foglio</w:t>
            </w:r>
          </w:p>
        </w:tc>
        <w:tc>
          <w:tcPr>
            <w:tcW w:type="dxa" w:w="7920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Interpretazione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Run results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Osservazioni per episodio, utilizzabili per analisi e grafici personalizzati.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Condition stats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Statistiche descrittive per ogni condizione Fw/Opt.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ANOVA conditions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ANOVA omnibus tra tutte le condizioni. Un p significativo indica almeno una differenza.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Tukey conditions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Confronti pairwise; usare p_bonferroni o reject_0.05_bonferroni.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Welch Opt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Opt=ON contro Opt=OFF aggregando Fw; Hedges g è l’effect size.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ANOVA Fw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Confronto tra livelli Fw aggregando Opt; eta squared è l’effect size omnibus.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Tukey Fw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Confronti pairwise tra Fw con Bonferroni e Hedges g.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Time-area relation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Pearson, Spearman, pendenza lineare, modello selezionato e conclusione per t_expl e Atot.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Time-area models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Diagnostica per modelli lineare, quadratico, logaritmico, radice quadrata ed esponenziale saturante.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Notes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Definizioni e indicazioni interpretative.</w:t>
            </w:r>
          </w:p>
        </w:tc>
      </w:tr>
    </w:tbl>
    <w:p>
      <w:pPr>
        <w:spacing w:after="0"/>
      </w:pPr>
    </w:p>
    <w:p>
      <w:pPr>
        <w:pStyle w:val="Heading2"/>
      </w:pPr>
      <w:r>
        <w:t>9.1 Effect size</w:t>
      </w:r>
    </w:p>
    <w:p>
      <w:pPr>
        <w:pStyle w:val="ListBullet"/>
      </w:pPr>
      <w:r>
        <w:t>L’ANOVA usa eta squared: quota di varianza totale associata all’appartenenza ai gruppi.</w:t>
      </w:r>
    </w:p>
    <w:p>
      <w:pPr>
        <w:pStyle w:val="ListBullet"/>
      </w:pPr>
      <w:r>
        <w:t>Welch e Tukey-Kramer usano Hedges g: differenza standardizzata corretta per il bias tra due medie.</w:t>
      </w:r>
    </w:p>
    <w:p>
      <w:pPr>
        <w:pStyle w:val="ListBullet"/>
      </w:pPr>
      <w:r>
        <w:t>Significatività statistica e rilevanza pratica sono complementari; riportare p-value ed effect size.</w:t>
      </w:r>
    </w:p>
    <w:p>
      <w:pPr>
        <w:pStyle w:val="Heading2"/>
      </w:pPr>
      <w:r>
        <w:t>9.2 Relazione tempo-area</w:t>
      </w:r>
    </w:p>
    <w:p>
      <w:r>
        <w:t>Il software confronta modelli lineare, quadratico, logaritmico, radice quadrata ed esponenziale saturante tramite AICc. Un modello non lineare viene selezionato solo se il vantaggio è sufficiente; altrimenti viene mantenuta la descrizione lineare più parsimoniosa.</w:t>
      </w:r>
    </w:p>
    <w:p>
      <w:pPr>
        <w:pStyle w:val="Heading1"/>
      </w:pPr>
      <w:r>
        <w:t>10. Checklist di riproducibilità</w:t>
      </w:r>
    </w:p>
    <w:p>
      <w:pPr>
        <w:pStyle w:val="ListBullet"/>
      </w:pPr>
      <w:r>
        <w:t>Archiviare la distribuzione completa e requirements.txt.</w:t>
      </w:r>
    </w:p>
    <w:p>
      <w:pPr>
        <w:pStyle w:val="ListBullet"/>
      </w:pPr>
      <w:r>
        <w:t>Registrare tutti i valori di configurazione e la versione del software.</w:t>
      </w:r>
    </w:p>
    <w:p>
      <w:pPr>
        <w:pStyle w:val="ListBullet"/>
      </w:pPr>
      <w:r>
        <w:t>Conservare il seed iniziale e il numero di edifici.</w:t>
      </w:r>
    </w:p>
    <w:p>
      <w:pPr>
        <w:pStyle w:val="ListBullet"/>
      </w:pPr>
      <w:r>
        <w:t>Usare gli stessi edifici in tutte le condizioni confrontate.</w:t>
      </w:r>
    </w:p>
    <w:p>
      <w:pPr>
        <w:pStyle w:val="ListBullet"/>
      </w:pPr>
      <w:r>
        <w:t>Copiare o rinominare i file di output prima di un nuovo esperimento nella stessa cartella.</w:t>
      </w:r>
    </w:p>
    <w:p>
      <w:pPr>
        <w:pStyle w:val="ListBullet"/>
      </w:pPr>
      <w:r>
        <w:t>Riportare metriche, test statistici, correzione per confronti multipli ed effect size.</w:t>
      </w:r>
    </w:p>
    <w:p>
      <w:pPr>
        <w:pStyle w:val="Heading1"/>
      </w:pPr>
      <w:r>
        <w:t>11. Risoluzione dei problemi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3240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7128"/>
            <w:vAlign w:val="center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Soluzione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Pygame non installato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Eseguire python -m pip install pygame-ce o reinstallare requirements.txt.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La vista 3D non si apre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Installare Panda3D, aggiornare i driver grafici e provare fuori da desktop remoto.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Edificio non inizializzabile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Ridurre la densità oggetti o cambiare seed; gli errori strutturali sono riportati esplicitamente.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Lentezza tra due edifici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La diagnostica sta validando l’edificio successivo. Osservare la barra o abilitare Max Turbo.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Test inferenziali poco informativi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Aumentare il numero di edifici per avere osservazioni ripetute in ogni condizione.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File sovrascritti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/>
            </w:pPr>
            <w:r>
              <w:rPr>
                <w:sz w:val="17"/>
              </w:rPr>
              <w:t>Spostare o rinominare CSV/XLSX prima dell’esperimento successivo.</w:t>
            </w:r>
          </w:p>
        </w:tc>
      </w:tr>
    </w:tbl>
    <w:p>
      <w:pPr>
        <w:spacing w:after="0"/>
      </w:pPr>
    </w:p>
    <w:p>
      <w:pPr>
        <w:pStyle w:val="Heading1"/>
      </w:pPr>
      <w:r>
        <w:t>12. Struttura dei file</w:t>
      </w:r>
    </w:p>
    <w:p>
      <w:r>
        <w:t>main.py orchestra l’esperimento; gui.py implementa le interfacce Tk, Pygame e Matplotlib; simulation.py contiene lo stato della run e le metriche; building.py genera gli ambienti; planner.py seleziona le frontiere; robot.py implementa sensori e movimento; camera3d.py renderizza la vista in prima persona; statistical_analysis.py crea analisi ed export Excel; i18n.py contiene le traduzioni; welcome.py implementa la schermata iniziale bilingue.</w:t>
      </w:r>
    </w:p>
    <w:sectPr w:rsidR="00FC693F" w:rsidRPr="0006063C" w:rsidSect="00034616">
      <w:footerReference w:type="default" r:id="rId9"/>
      <w:pgSz w:w="11909" w:h="16834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978"/>
        <w:sz w:val="16"/>
      </w:rPr>
      <w:t xml:space="preserve">SAR simulation environment - Manuale utente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360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