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63"/>
      </w:tblGrid>
      <w:tr>
        <w:tc>
          <w:tcPr>
            <w:tcW w:type="dxa" w:w="9663"/>
            <w:shd w:fill="050505"/>
            <w:tcMar>
              <w:top w:w="360" w:type="dxa"/>
              <w:start w:w="320" w:type="dxa"/>
              <w:bottom w:w="360" w:type="dxa"/>
              <w:end w:w="320" w:type="dxa"/>
            </w:tcMar>
          </w:tcPr>
          <w:p>
            <w:pPr>
              <w:jc w:val="center"/>
            </w:pPr>
            <w:r>
              <w:drawing>
                <wp:inline xmlns:a="http://schemas.openxmlformats.org/drawingml/2006/main" xmlns:pic="http://schemas.openxmlformats.org/drawingml/2006/picture">
                  <wp:extent cx="5349240" cy="2677295"/>
                  <wp:docPr id="1" name="Picture 1"/>
                  <wp:cNvGraphicFramePr>
                    <a:graphicFrameLocks noChangeAspect="1"/>
                  </wp:cNvGraphicFramePr>
                  <a:graphic>
                    <a:graphicData uri="http://schemas.openxmlformats.org/drawingml/2006/picture">
                      <pic:pic>
                        <pic:nvPicPr>
                          <pic:cNvPr id="0" name="sar_logo.png"/>
                          <pic:cNvPicPr/>
                        </pic:nvPicPr>
                        <pic:blipFill>
                          <a:blip r:embed="rId10"/>
                          <a:stretch>
                            <a:fillRect/>
                          </a:stretch>
                        </pic:blipFill>
                        <pic:spPr>
                          <a:xfrm>
                            <a:off x="0" y="0"/>
                            <a:ext cx="5349240" cy="2677295"/>
                          </a:xfrm>
                          <a:prstGeom prst="rect"/>
                        </pic:spPr>
                      </pic:pic>
                    </a:graphicData>
                  </a:graphic>
                </wp:inline>
              </w:drawing>
            </w:r>
          </w:p>
          <w:p>
            <w:pPr>
              <w:jc w:val="center"/>
            </w:pPr>
            <w:r>
              <w:rPr>
                <w:b/>
                <w:color w:val="FFFFFF"/>
                <w:sz w:val="54"/>
              </w:rPr>
              <w:t>SAR simulation environment</w:t>
            </w:r>
          </w:p>
          <w:p>
            <w:pPr>
              <w:jc w:val="center"/>
            </w:pPr>
            <w:r>
              <w:rPr>
                <w:color w:val="D6DDE8"/>
                <w:sz w:val="36"/>
              </w:rPr>
              <w:t>User Manual</w:t>
            </w:r>
          </w:p>
          <w:p>
            <w:pPr>
              <w:jc w:val="center"/>
            </w:pPr>
            <w:r>
              <w:rPr>
                <w:color w:val="A5B1C3"/>
                <w:sz w:val="20"/>
              </w:rPr>
              <w:t>Version 40 - Bilingual edition</w:t>
            </w:r>
          </w:p>
          <w:p>
            <w:pPr>
              <w:jc w:val="center"/>
            </w:pPr>
            <w:r>
              <w:rPr>
                <w:i/>
                <w:color w:val="D6DDE8"/>
                <w:sz w:val="22"/>
              </w:rPr>
              <w:t>Authors: Zoe Betta and Antonio Sgorbissa</w:t>
            </w:r>
          </w:p>
        </w:tc>
      </w:tr>
    </w:tbl>
    <w:p>
      <w:r>
        <w:br w:type="page"/>
      </w:r>
    </w:p>
    <w:p>
      <w:pPr>
        <w:pStyle w:val="Heading1"/>
      </w:pPr>
      <w:r>
        <w:t>Contents</w:t>
      </w:r>
    </w:p>
    <w:p>
      <w:pPr>
        <w:spacing w:after="40"/>
      </w:pPr>
      <w:r>
        <w:rPr>
          <w:color w:val="1F2937"/>
        </w:rPr>
        <w:t>1. Purpose and scope</w:t>
      </w:r>
    </w:p>
    <w:p>
      <w:pPr>
        <w:spacing w:after="40"/>
      </w:pPr>
      <w:r>
        <w:rPr>
          <w:color w:val="1F2937"/>
        </w:rPr>
        <w:t>2. Installation and first launch</w:t>
      </w:r>
    </w:p>
    <w:p>
      <w:pPr>
        <w:spacing w:after="40"/>
      </w:pPr>
      <w:r>
        <w:rPr>
          <w:color w:val="1F2937"/>
        </w:rPr>
        <w:t>3. Quick start</w:t>
      </w:r>
    </w:p>
    <w:p>
      <w:pPr>
        <w:spacing w:after="40"/>
      </w:pPr>
      <w:r>
        <w:rPr>
          <w:color w:val="1F2937"/>
        </w:rPr>
        <w:t>4. Experiment configuration</w:t>
      </w:r>
    </w:p>
    <w:p>
      <w:pPr>
        <w:spacing w:after="40"/>
      </w:pPr>
      <w:r>
        <w:rPr>
          <w:color w:val="1F2937"/>
        </w:rPr>
        <w:t>5. Designing experiments</w:t>
      </w:r>
    </w:p>
    <w:p>
      <w:pPr>
        <w:spacing w:after="40"/>
      </w:pPr>
      <w:r>
        <w:rPr>
          <w:color w:val="1F2937"/>
        </w:rPr>
        <w:t>6. Running and observing the simulation</w:t>
      </w:r>
    </w:p>
    <w:p>
      <w:pPr>
        <w:spacing w:after="40"/>
      </w:pPr>
      <w:r>
        <w:rPr>
          <w:color w:val="1F2937"/>
        </w:rPr>
        <w:t>7. Output files</w:t>
      </w:r>
    </w:p>
    <w:p>
      <w:pPr>
        <w:spacing w:after="40"/>
      </w:pPr>
      <w:r>
        <w:rPr>
          <w:color w:val="1F2937"/>
        </w:rPr>
        <w:t>8. Metrics and interpretation</w:t>
      </w:r>
    </w:p>
    <w:p>
      <w:pPr>
        <w:spacing w:after="40"/>
      </w:pPr>
      <w:r>
        <w:rPr>
          <w:color w:val="1F2937"/>
        </w:rPr>
        <w:t>9. Statistical analysis workbook</w:t>
      </w:r>
    </w:p>
    <w:p>
      <w:pPr>
        <w:spacing w:after="40"/>
      </w:pPr>
      <w:r>
        <w:rPr>
          <w:color w:val="1F2937"/>
        </w:rPr>
        <w:t>10. Reproducibility checklist</w:t>
      </w:r>
    </w:p>
    <w:p>
      <w:pPr>
        <w:spacing w:after="40"/>
      </w:pPr>
      <w:r>
        <w:rPr>
          <w:color w:val="1F2937"/>
        </w:rPr>
        <w:t>11. Troubleshooting</w:t>
      </w:r>
    </w:p>
    <w:p>
      <w:pPr>
        <w:spacing w:after="40"/>
      </w:pPr>
      <w:r>
        <w:rPr>
          <w:color w:val="1F2937"/>
        </w:rPr>
        <w:t>12. File structure</w:t>
      </w:r>
    </w:p>
    <w:p>
      <w:r>
        <w:br w:type="page"/>
      </w:r>
    </w:p>
    <w:p>
      <w:pPr>
        <w:pStyle w:val="Heading1"/>
      </w:pPr>
      <w:r>
        <w:t>1. Purpose and scope</w:t>
      </w:r>
    </w:p>
    <w:p>
      <w:r>
        <w:t>SAR simulation environment is a Python application for evaluating multi-floor Search and Rescue exploration strategies with a simulated quadruped robot. It generates repeatable buildings, runs all requested Fw and Opt conditions on the same environment and initial pose, displays the exploration process, and exports descriptive and inferential statistics.</w:t>
      </w:r>
    </w:p>
    <w:tbl>
      <w:tblPr>
        <w:tblW w:type="auto" w:w="0"/>
        <w:jc w:val="center"/>
        <w:tblLook w:firstColumn="1" w:firstRow="1" w:lastColumn="0" w:lastRow="0" w:noHBand="0" w:noVBand="1" w:val="04A0"/>
      </w:tblPr>
      <w:tblGrid>
        <w:gridCol w:w="9663"/>
      </w:tblGrid>
      <w:tr>
        <w:tc>
          <w:tcPr>
            <w:tcW w:type="dxa" w:w="9663"/>
            <w:shd w:fill="EAF0F8"/>
            <w:tcMar>
              <w:top w:w="140" w:type="dxa"/>
              <w:start w:w="180" w:type="dxa"/>
              <w:bottom w:w="140" w:type="dxa"/>
              <w:end w:w="180" w:type="dxa"/>
            </w:tcMar>
          </w:tcPr>
          <w:p>
            <w:r>
              <w:rPr>
                <w:b/>
                <w:color w:val="2F5597"/>
              </w:rPr>
              <w:t xml:space="preserve">Core principle  </w:t>
            </w:r>
            <w:r>
              <w:t>Within one building, every Fw x Opt condition uses the same geometry and validated starting pose. This supports fair and reproducible comparisons.</w:t>
            </w:r>
          </w:p>
        </w:tc>
      </w:tr>
    </w:tbl>
    <w:p>
      <w:pPr>
        <w:spacing w:after="0"/>
      </w:pPr>
    </w:p>
    <w:p>
      <w:pPr>
        <w:pStyle w:val="Heading1"/>
      </w:pPr>
      <w:r>
        <w:t>2. Installation and first launch</w:t>
      </w:r>
    </w:p>
    <w:p>
      <w:pPr>
        <w:pStyle w:val="Heading2"/>
      </w:pPr>
      <w:r>
        <w:t>2.1 Requirements</w:t>
      </w:r>
    </w:p>
    <w:p>
      <w:pPr>
        <w:pStyle w:val="ListBullet"/>
      </w:pPr>
      <w:r>
        <w:t>Python 3.10 or later.</w:t>
      </w:r>
    </w:p>
    <w:p>
      <w:pPr>
        <w:pStyle w:val="ListBullet"/>
      </w:pPr>
      <w:r>
        <w:t>A desktop environment for Tkinter, Pygame, Matplotlib, and the optional Panda3D window.</w:t>
      </w:r>
    </w:p>
    <w:p>
      <w:pPr>
        <w:pStyle w:val="ListBullet"/>
      </w:pPr>
      <w:r>
        <w:t>A GPU is recommended, but not required, for the optional 3D view.</w:t>
      </w:r>
    </w:p>
    <w:p>
      <w:pPr>
        <w:pStyle w:val="Heading2"/>
      </w:pPr>
      <w:r>
        <w:t>2.2 Install the dependencies</w:t>
      </w:r>
    </w:p>
    <w:p>
      <w:r>
        <w:t>Open a terminal in the distribution folder. A virtual environment is recommended:</w:t>
      </w:r>
    </w:p>
    <w:p>
      <w:pPr>
        <w:pStyle w:val="CodeBlock"/>
      </w:pPr>
      <w:r>
        <w:t>python -m venv .venv</w:t>
      </w:r>
    </w:p>
    <w:p>
      <w:pPr>
        <w:pStyle w:val="CodeBlock"/>
      </w:pPr>
      <w:r>
        <w:t>.venv\Scripts\activate   # Windows</w:t>
      </w:r>
    </w:p>
    <w:p>
      <w:pPr>
        <w:pStyle w:val="CodeBlock"/>
      </w:pPr>
      <w:r>
        <w:t>source .venv/bin/activate   # Linux/macOS</w:t>
      </w:r>
    </w:p>
    <w:p>
      <w:pPr>
        <w:pStyle w:val="CodeBlock"/>
      </w:pPr>
      <w:r>
        <w:t>python -m pip install -r requirements.txt</w:t>
      </w:r>
    </w:p>
    <w:p>
      <w:pPr>
        <w:pStyle w:val="Heading2"/>
      </w:pPr>
      <w:r>
        <w:t>2.3 Start the program</w:t>
      </w:r>
    </w:p>
    <w:p>
      <w:pPr>
        <w:pStyle w:val="CodeBlock"/>
      </w:pPr>
      <w:r>
        <w:t>python main.py</w:t>
      </w:r>
    </w:p>
    <w:p>
      <w:r>
        <w:t>The welcome screen shows the SAR logo, the application title, the authors, and a language selector. Choose English or Italiano and select Continue. The choice applies to the configuration window, live viewer, result windows, and console messages. Open manual opens the PDF matching the selected language.</w:t>
      </w:r>
    </w:p>
    <w:p>
      <w:pPr>
        <w:pStyle w:val="Heading1"/>
      </w:pPr>
      <w:r>
        <w:t>3. Quick start</w:t>
      </w:r>
    </w:p>
    <w:p>
      <w:pPr>
        <w:pStyle w:val="ListNumber"/>
      </w:pPr>
      <w:r>
        <w:t>Run python main.py.</w:t>
      </w:r>
    </w:p>
    <w:p>
      <w:pPr>
        <w:pStyle w:val="ListNumber"/>
      </w:pPr>
      <w:r>
        <w:t>Select English and press Continue.</w:t>
      </w:r>
    </w:p>
    <w:p>
      <w:pPr>
        <w:pStyle w:val="ListNumber"/>
      </w:pPr>
      <w:r>
        <w:t>For a quick test, set Number of random buildings to 1 and Run duration Tr to 60 s.</w:t>
      </w:r>
    </w:p>
    <w:p>
      <w:pPr>
        <w:pStyle w:val="ListNumber"/>
      </w:pPr>
      <w:r>
        <w:t>Press Start simulation.</w:t>
      </w:r>
    </w:p>
    <w:p>
      <w:pPr>
        <w:pStyle w:val="ListNumber"/>
      </w:pPr>
      <w:r>
        <w:t>Use SPACE to pause, keys 1-4 to change speed, and Max Turbo for the fastest execution.</w:t>
      </w:r>
    </w:p>
    <w:p>
      <w:pPr>
        <w:pStyle w:val="ListNumber"/>
      </w:pPr>
      <w:r>
        <w:t>Review the final tables and the generated CSV and XLSX files.</w:t>
      </w:r>
    </w:p>
    <w:p>
      <w:pPr>
        <w:pStyle w:val="Heading1"/>
      </w:pPr>
      <w:r>
        <w:t>4. Experiment configuration</w:t>
      </w:r>
    </w:p>
    <w:p>
      <w:r>
        <w:t>The configuration window is divided into batch parameters, fixed planner weights, and environment settings. Only Fw and Opt generate a Cartesian product of conditions; all other values remain fixed throughout the batch.</w:t>
      </w:r>
    </w:p>
    <w:p>
      <w:pPr>
        <w:pStyle w:val="Heading2"/>
      </w:pPr>
      <w:r>
        <w:t>4.1 Batch parameters</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2376"/>
            <w:vAlign w:val="center"/>
            <w:shd w:fill="2F5597"/>
            <w:tcMar>
              <w:top w:w="100" w:type="dxa"/>
              <w:start w:w="120" w:type="dxa"/>
              <w:bottom w:w="100" w:type="dxa"/>
              <w:end w:w="120" w:type="dxa"/>
            </w:tcMar>
          </w:tcPr>
          <w:p>
            <w:r>
              <w:rPr>
                <w:b/>
                <w:color w:val="FFFFFF"/>
                <w:sz w:val="17"/>
              </w:rPr>
              <w:t>Option</w:t>
            </w:r>
          </w:p>
        </w:tc>
        <w:tc>
          <w:tcPr>
            <w:tcW w:type="dxa" w:w="1152"/>
            <w:vAlign w:val="center"/>
            <w:shd w:fill="2F5597"/>
            <w:tcMar>
              <w:top w:w="100" w:type="dxa"/>
              <w:start w:w="120" w:type="dxa"/>
              <w:bottom w:w="100" w:type="dxa"/>
              <w:end w:w="120" w:type="dxa"/>
            </w:tcMar>
          </w:tcPr>
          <w:p>
            <w:r>
              <w:rPr>
                <w:b/>
                <w:color w:val="FFFFFF"/>
                <w:sz w:val="17"/>
              </w:rPr>
              <w:t>Default</w:t>
            </w:r>
          </w:p>
        </w:tc>
        <w:tc>
          <w:tcPr>
            <w:tcW w:type="dxa" w:w="6624"/>
            <w:vAlign w:val="center"/>
            <w:shd w:fill="2F5597"/>
            <w:tcMar>
              <w:top w:w="100" w:type="dxa"/>
              <w:start w:w="120" w:type="dxa"/>
              <w:bottom w:w="100" w:type="dxa"/>
              <w:end w:w="120" w:type="dxa"/>
            </w:tcMar>
          </w:tcPr>
          <w:p>
            <w:r>
              <w:rPr>
                <w:b/>
                <w:color w:val="FFFFFF"/>
                <w:sz w:val="17"/>
              </w:rPr>
              <w:t>Meaning and guidance</w:t>
            </w:r>
          </w:p>
        </w:tc>
      </w:tr>
      <w:tr>
        <w:trPr>
          <w:cantSplit/>
        </w:trPr>
        <w:tc>
          <w:tcPr>
            <w:tcW w:type="dxa" w:w="2376"/>
            <w:vAlign w:val="center"/>
            <w:tcMar>
              <w:top w:w="100" w:type="dxa"/>
              <w:start w:w="120" w:type="dxa"/>
              <w:bottom w:w="100" w:type="dxa"/>
              <w:end w:w="120" w:type="dxa"/>
            </w:tcMar>
          </w:tcPr>
          <w:p>
            <w:pPr>
              <w:spacing w:after="0"/>
            </w:pPr>
            <w:r>
              <w:rPr>
                <w:sz w:val="17"/>
              </w:rPr>
              <w:t>Number of floors N</w:t>
            </w:r>
          </w:p>
        </w:tc>
        <w:tc>
          <w:tcPr>
            <w:tcW w:type="dxa" w:w="1152"/>
            <w:vAlign w:val="center"/>
            <w:tcMar>
              <w:top w:w="100" w:type="dxa"/>
              <w:start w:w="120" w:type="dxa"/>
              <w:bottom w:w="100" w:type="dxa"/>
              <w:end w:w="120" w:type="dxa"/>
            </w:tcMar>
          </w:tcPr>
          <w:p>
            <w:pPr>
              <w:spacing w:after="0"/>
            </w:pPr>
            <w:r>
              <w:rPr>
                <w:sz w:val="17"/>
              </w:rPr>
              <w:t>4</w:t>
            </w:r>
          </w:p>
        </w:tc>
        <w:tc>
          <w:tcPr>
            <w:tcW w:type="dxa" w:w="6624"/>
            <w:vAlign w:val="center"/>
            <w:tcMar>
              <w:top w:w="100" w:type="dxa"/>
              <w:start w:w="120" w:type="dxa"/>
              <w:bottom w:w="100" w:type="dxa"/>
              <w:end w:w="120" w:type="dxa"/>
            </w:tcMar>
          </w:tcPr>
          <w:p>
            <w:pPr>
              <w:spacing w:after="0"/>
            </w:pPr>
            <w:r>
              <w:rPr>
                <w:sz w:val="17"/>
              </w:rPr>
              <w:t>Number of floors in each generated building. Minimum: 2.</w:t>
            </w:r>
          </w:p>
        </w:tc>
      </w:tr>
      <w:tr>
        <w:trPr>
          <w:cantSplit/>
        </w:trPr>
        <w:tc>
          <w:tcPr>
            <w:tcW w:type="dxa" w:w="2376"/>
            <w:vAlign w:val="center"/>
            <w:tcMar>
              <w:top w:w="100" w:type="dxa"/>
              <w:start w:w="120" w:type="dxa"/>
              <w:bottom w:w="100" w:type="dxa"/>
              <w:end w:w="120" w:type="dxa"/>
            </w:tcMar>
            <w:shd w:fill="F7F9FC"/>
          </w:tcPr>
          <w:p>
            <w:pPr>
              <w:spacing w:after="0"/>
            </w:pPr>
            <w:r>
              <w:rPr>
                <w:sz w:val="17"/>
              </w:rPr>
              <w:t>Run duration Tr [s]</w:t>
            </w:r>
          </w:p>
        </w:tc>
        <w:tc>
          <w:tcPr>
            <w:tcW w:type="dxa" w:w="1152"/>
            <w:vAlign w:val="center"/>
            <w:tcMar>
              <w:top w:w="100" w:type="dxa"/>
              <w:start w:w="120" w:type="dxa"/>
              <w:bottom w:w="100" w:type="dxa"/>
              <w:end w:w="120" w:type="dxa"/>
            </w:tcMar>
            <w:shd w:fill="F7F9FC"/>
          </w:tcPr>
          <w:p>
            <w:pPr>
              <w:spacing w:after="0"/>
            </w:pPr>
            <w:r>
              <w:rPr>
                <w:sz w:val="17"/>
              </w:rPr>
              <w:t>600</w:t>
            </w:r>
          </w:p>
        </w:tc>
        <w:tc>
          <w:tcPr>
            <w:tcW w:type="dxa" w:w="6624"/>
            <w:vAlign w:val="center"/>
            <w:tcMar>
              <w:top w:w="100" w:type="dxa"/>
              <w:start w:w="120" w:type="dxa"/>
              <w:bottom w:w="100" w:type="dxa"/>
              <w:end w:w="120" w:type="dxa"/>
            </w:tcMar>
            <w:shd w:fill="F7F9FC"/>
          </w:tcPr>
          <w:p>
            <w:pPr>
              <w:spacing w:after="0"/>
            </w:pPr>
            <w:r>
              <w:rPr>
                <w:sz w:val="17"/>
              </w:rPr>
              <w:t>Total time budget assigned to one episode.</w:t>
            </w:r>
          </w:p>
        </w:tc>
      </w:tr>
      <w:tr>
        <w:trPr>
          <w:cantSplit/>
        </w:trPr>
        <w:tc>
          <w:tcPr>
            <w:tcW w:type="dxa" w:w="2376"/>
            <w:vAlign w:val="center"/>
            <w:tcMar>
              <w:top w:w="100" w:type="dxa"/>
              <w:start w:w="120" w:type="dxa"/>
              <w:bottom w:w="100" w:type="dxa"/>
              <w:end w:w="120" w:type="dxa"/>
            </w:tcMar>
          </w:tcPr>
          <w:p>
            <w:pPr>
              <w:spacing w:after="0"/>
            </w:pPr>
            <w:r>
              <w:rPr>
                <w:sz w:val="17"/>
              </w:rPr>
              <w:t>Floor-transition cost Ts [s]</w:t>
            </w:r>
          </w:p>
        </w:tc>
        <w:tc>
          <w:tcPr>
            <w:tcW w:type="dxa" w:w="1152"/>
            <w:vAlign w:val="center"/>
            <w:tcMar>
              <w:top w:w="100" w:type="dxa"/>
              <w:start w:w="120" w:type="dxa"/>
              <w:bottom w:w="100" w:type="dxa"/>
              <w:end w:w="120" w:type="dxa"/>
            </w:tcMar>
          </w:tcPr>
          <w:p>
            <w:pPr>
              <w:spacing w:after="0"/>
            </w:pPr>
            <w:r>
              <w:rPr>
                <w:sz w:val="17"/>
              </w:rPr>
              <w:t>60</w:t>
            </w:r>
          </w:p>
        </w:tc>
        <w:tc>
          <w:tcPr>
            <w:tcW w:type="dxa" w:w="6624"/>
            <w:vAlign w:val="center"/>
            <w:tcMar>
              <w:top w:w="100" w:type="dxa"/>
              <w:start w:w="120" w:type="dxa"/>
              <w:bottom w:w="100" w:type="dxa"/>
              <w:end w:w="120" w:type="dxa"/>
            </w:tcMar>
          </w:tcPr>
          <w:p>
            <w:pPr>
              <w:spacing w:after="0"/>
            </w:pPr>
            <w:r>
              <w:rPr>
                <w:sz w:val="17"/>
              </w:rPr>
              <w:t>Time removed from the budget whenever the robot changes floor. It does not increase t_expl.</w:t>
            </w:r>
          </w:p>
        </w:tc>
      </w:tr>
      <w:tr>
        <w:trPr>
          <w:cantSplit/>
        </w:trPr>
        <w:tc>
          <w:tcPr>
            <w:tcW w:type="dxa" w:w="2376"/>
            <w:vAlign w:val="center"/>
            <w:tcMar>
              <w:top w:w="100" w:type="dxa"/>
              <w:start w:w="120" w:type="dxa"/>
              <w:bottom w:w="100" w:type="dxa"/>
              <w:end w:w="120" w:type="dxa"/>
            </w:tcMar>
            <w:shd w:fill="F7F9FC"/>
          </w:tcPr>
          <w:p>
            <w:pPr>
              <w:spacing w:after="0"/>
            </w:pPr>
            <w:r>
              <w:rPr>
                <w:sz w:val="17"/>
              </w:rPr>
              <w:t>Number of random buildings</w:t>
            </w:r>
          </w:p>
        </w:tc>
        <w:tc>
          <w:tcPr>
            <w:tcW w:type="dxa" w:w="1152"/>
            <w:vAlign w:val="center"/>
            <w:tcMar>
              <w:top w:w="100" w:type="dxa"/>
              <w:start w:w="120" w:type="dxa"/>
              <w:bottom w:w="100" w:type="dxa"/>
              <w:end w:w="120" w:type="dxa"/>
            </w:tcMar>
            <w:shd w:fill="F7F9FC"/>
          </w:tcPr>
          <w:p>
            <w:pPr>
              <w:spacing w:after="0"/>
            </w:pPr>
            <w:r>
              <w:rPr>
                <w:sz w:val="17"/>
              </w:rPr>
              <w:t>5</w:t>
            </w:r>
          </w:p>
        </w:tc>
        <w:tc>
          <w:tcPr>
            <w:tcW w:type="dxa" w:w="6624"/>
            <w:vAlign w:val="center"/>
            <w:tcMar>
              <w:top w:w="100" w:type="dxa"/>
              <w:start w:w="120" w:type="dxa"/>
              <w:bottom w:w="100" w:type="dxa"/>
              <w:end w:w="120" w:type="dxa"/>
            </w:tcMar>
            <w:shd w:fill="F7F9FC"/>
          </w:tcPr>
          <w:p>
            <w:pPr>
              <w:spacing w:after="0"/>
            </w:pPr>
            <w:r>
              <w:rPr>
                <w:sz w:val="17"/>
              </w:rPr>
              <w:t>Independent building seeds. Increase this value for stable statistical comparisons.</w:t>
            </w:r>
          </w:p>
        </w:tc>
      </w:tr>
      <w:tr>
        <w:trPr>
          <w:cantSplit/>
        </w:trPr>
        <w:tc>
          <w:tcPr>
            <w:tcW w:type="dxa" w:w="2376"/>
            <w:vAlign w:val="center"/>
            <w:tcMar>
              <w:top w:w="100" w:type="dxa"/>
              <w:start w:w="120" w:type="dxa"/>
              <w:bottom w:w="100" w:type="dxa"/>
              <w:end w:w="120" w:type="dxa"/>
            </w:tcMar>
          </w:tcPr>
          <w:p>
            <w:pPr>
              <w:spacing w:after="0"/>
            </w:pPr>
            <w:r>
              <w:rPr>
                <w:sz w:val="17"/>
              </w:rPr>
              <w:t>Initial global seed</w:t>
            </w:r>
          </w:p>
        </w:tc>
        <w:tc>
          <w:tcPr>
            <w:tcW w:type="dxa" w:w="1152"/>
            <w:vAlign w:val="center"/>
            <w:tcMar>
              <w:top w:w="100" w:type="dxa"/>
              <w:start w:w="120" w:type="dxa"/>
              <w:bottom w:w="100" w:type="dxa"/>
              <w:end w:w="120" w:type="dxa"/>
            </w:tcMar>
          </w:tcPr>
          <w:p>
            <w:pPr>
              <w:spacing w:after="0"/>
            </w:pPr>
            <w:r>
              <w:rPr>
                <w:sz w:val="17"/>
              </w:rPr>
              <w:t>0</w:t>
            </w:r>
          </w:p>
        </w:tc>
        <w:tc>
          <w:tcPr>
            <w:tcW w:type="dxa" w:w="6624"/>
            <w:vAlign w:val="center"/>
            <w:tcMar>
              <w:top w:w="100" w:type="dxa"/>
              <w:start w:w="120" w:type="dxa"/>
              <w:bottom w:w="100" w:type="dxa"/>
              <w:end w:w="120" w:type="dxa"/>
            </w:tcMar>
          </w:tcPr>
          <w:p>
            <w:pPr>
              <w:spacing w:after="0"/>
            </w:pPr>
            <w:r>
              <w:rPr>
                <w:sz w:val="17"/>
              </w:rPr>
              <w:t>The first building seed. Building i uses base_seed + i.</w:t>
            </w:r>
          </w:p>
        </w:tc>
      </w:tr>
      <w:tr>
        <w:trPr>
          <w:cantSplit/>
        </w:trPr>
        <w:tc>
          <w:tcPr>
            <w:tcW w:type="dxa" w:w="2376"/>
            <w:vAlign w:val="center"/>
            <w:tcMar>
              <w:top w:w="100" w:type="dxa"/>
              <w:start w:w="120" w:type="dxa"/>
              <w:bottom w:w="100" w:type="dxa"/>
              <w:end w:w="120" w:type="dxa"/>
            </w:tcMar>
            <w:shd w:fill="F7F9FC"/>
          </w:tcPr>
          <w:p>
            <w:pPr>
              <w:spacing w:after="0"/>
            </w:pPr>
            <w:r>
              <w:rPr>
                <w:sz w:val="17"/>
              </w:rPr>
              <w:t>Combinatorial Fw</w:t>
            </w:r>
          </w:p>
        </w:tc>
        <w:tc>
          <w:tcPr>
            <w:tcW w:type="dxa" w:w="1152"/>
            <w:vAlign w:val="center"/>
            <w:tcMar>
              <w:top w:w="100" w:type="dxa"/>
              <w:start w:w="120" w:type="dxa"/>
              <w:bottom w:w="100" w:type="dxa"/>
              <w:end w:w="120" w:type="dxa"/>
            </w:tcMar>
            <w:shd w:fill="F7F9FC"/>
          </w:tcPr>
          <w:p>
            <w:pPr>
              <w:spacing w:after="0"/>
            </w:pPr>
            <w:r>
              <w:rPr>
                <w:sz w:val="17"/>
              </w:rPr>
              <w:t>0; 0.3; 1</w:t>
            </w:r>
          </w:p>
        </w:tc>
        <w:tc>
          <w:tcPr>
            <w:tcW w:type="dxa" w:w="6624"/>
            <w:vAlign w:val="center"/>
            <w:tcMar>
              <w:top w:w="100" w:type="dxa"/>
              <w:start w:w="120" w:type="dxa"/>
              <w:bottom w:w="100" w:type="dxa"/>
              <w:end w:w="120" w:type="dxa"/>
            </w:tcMar>
            <w:shd w:fill="F7F9FC"/>
          </w:tcPr>
          <w:p>
            <w:pPr>
              <w:spacing w:after="0"/>
            </w:pPr>
            <w:r>
              <w:rPr>
                <w:sz w:val="17"/>
              </w:rPr>
              <w:t>One or more non-negative values separated by semicolons or commas.</w:t>
            </w:r>
          </w:p>
        </w:tc>
      </w:tr>
      <w:tr>
        <w:trPr>
          <w:cantSplit/>
        </w:trPr>
        <w:tc>
          <w:tcPr>
            <w:tcW w:type="dxa" w:w="2376"/>
            <w:vAlign w:val="center"/>
            <w:tcMar>
              <w:top w:w="100" w:type="dxa"/>
              <w:start w:w="120" w:type="dxa"/>
              <w:bottom w:w="100" w:type="dxa"/>
              <w:end w:w="120" w:type="dxa"/>
            </w:tcMar>
          </w:tcPr>
          <w:p>
            <w:pPr>
              <w:spacing w:after="0"/>
            </w:pPr>
            <w:r>
              <w:rPr>
                <w:sz w:val="17"/>
              </w:rPr>
              <w:t>Combinatorial Opt</w:t>
            </w:r>
          </w:p>
        </w:tc>
        <w:tc>
          <w:tcPr>
            <w:tcW w:type="dxa" w:w="1152"/>
            <w:vAlign w:val="center"/>
            <w:tcMar>
              <w:top w:w="100" w:type="dxa"/>
              <w:start w:w="120" w:type="dxa"/>
              <w:bottom w:w="100" w:type="dxa"/>
              <w:end w:w="120" w:type="dxa"/>
            </w:tcMar>
          </w:tcPr>
          <w:p>
            <w:pPr>
              <w:spacing w:after="0"/>
            </w:pPr>
            <w:r>
              <w:rPr>
                <w:sz w:val="17"/>
              </w:rPr>
              <w:t>ON; OFF</w:t>
            </w:r>
          </w:p>
        </w:tc>
        <w:tc>
          <w:tcPr>
            <w:tcW w:type="dxa" w:w="6624"/>
            <w:vAlign w:val="center"/>
            <w:tcMar>
              <w:top w:w="100" w:type="dxa"/>
              <w:start w:w="120" w:type="dxa"/>
              <w:bottom w:w="100" w:type="dxa"/>
              <w:end w:w="120" w:type="dxa"/>
            </w:tcMar>
          </w:tcPr>
          <w:p>
            <w:pPr>
              <w:spacing w:after="0"/>
            </w:pPr>
            <w:r>
              <w:rPr>
                <w:sz w:val="17"/>
              </w:rPr>
              <w:t>One or both optimization modes. Every Fw x Opt combination is executed.</w:t>
            </w:r>
          </w:p>
        </w:tc>
      </w:tr>
    </w:tbl>
    <w:p>
      <w:pPr>
        <w:spacing w:after="0"/>
      </w:pPr>
    </w:p>
    <w:p>
      <w:pPr>
        <w:pStyle w:val="Heading2"/>
      </w:pPr>
      <w:r>
        <w:t>4.2 Fixed planner weights</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1152"/>
            <w:vAlign w:val="center"/>
            <w:shd w:fill="2F5597"/>
            <w:tcMar>
              <w:top w:w="100" w:type="dxa"/>
              <w:start w:w="120" w:type="dxa"/>
              <w:bottom w:w="100" w:type="dxa"/>
              <w:end w:w="120" w:type="dxa"/>
            </w:tcMar>
          </w:tcPr>
          <w:p>
            <w:r>
              <w:rPr>
                <w:b/>
                <w:color w:val="FFFFFF"/>
                <w:sz w:val="17"/>
              </w:rPr>
              <w:t>Parameter</w:t>
            </w:r>
          </w:p>
        </w:tc>
        <w:tc>
          <w:tcPr>
            <w:tcW w:type="dxa" w:w="1152"/>
            <w:vAlign w:val="center"/>
            <w:shd w:fill="2F5597"/>
            <w:tcMar>
              <w:top w:w="100" w:type="dxa"/>
              <w:start w:w="120" w:type="dxa"/>
              <w:bottom w:w="100" w:type="dxa"/>
              <w:end w:w="120" w:type="dxa"/>
            </w:tcMar>
          </w:tcPr>
          <w:p>
            <w:r>
              <w:rPr>
                <w:b/>
                <w:color w:val="FFFFFF"/>
                <w:sz w:val="17"/>
              </w:rPr>
              <w:t>Default</w:t>
            </w:r>
          </w:p>
        </w:tc>
        <w:tc>
          <w:tcPr>
            <w:tcW w:type="dxa" w:w="7848"/>
            <w:vAlign w:val="center"/>
            <w:shd w:fill="2F5597"/>
            <w:tcMar>
              <w:top w:w="100" w:type="dxa"/>
              <w:start w:w="120" w:type="dxa"/>
              <w:bottom w:w="100" w:type="dxa"/>
              <w:end w:w="120" w:type="dxa"/>
            </w:tcMar>
          </w:tcPr>
          <w:p>
            <w:r>
              <w:rPr>
                <w:b/>
                <w:color w:val="FFFFFF"/>
                <w:sz w:val="17"/>
              </w:rPr>
              <w:t>Role</w:t>
            </w:r>
          </w:p>
        </w:tc>
      </w:tr>
      <w:tr>
        <w:trPr>
          <w:cantSplit/>
        </w:trPr>
        <w:tc>
          <w:tcPr>
            <w:tcW w:type="dxa" w:w="1152"/>
            <w:vAlign w:val="center"/>
            <w:tcMar>
              <w:top w:w="100" w:type="dxa"/>
              <w:start w:w="120" w:type="dxa"/>
              <w:bottom w:w="100" w:type="dxa"/>
              <w:end w:w="120" w:type="dxa"/>
            </w:tcMar>
          </w:tcPr>
          <w:p>
            <w:pPr>
              <w:spacing w:after="0"/>
            </w:pPr>
            <w:r>
              <w:rPr>
                <w:sz w:val="17"/>
              </w:rPr>
              <w:t>Iw</w:t>
            </w:r>
          </w:p>
        </w:tc>
        <w:tc>
          <w:tcPr>
            <w:tcW w:type="dxa" w:w="1152"/>
            <w:vAlign w:val="center"/>
            <w:tcMar>
              <w:top w:w="100" w:type="dxa"/>
              <w:start w:w="120" w:type="dxa"/>
              <w:bottom w:w="100" w:type="dxa"/>
              <w:end w:w="120" w:type="dxa"/>
            </w:tcMar>
          </w:tcPr>
          <w:p>
            <w:pPr>
              <w:spacing w:after="0"/>
            </w:pPr>
            <w:r>
              <w:rPr>
                <w:sz w:val="17"/>
              </w:rPr>
              <w:t>1</w:t>
            </w:r>
          </w:p>
        </w:tc>
        <w:tc>
          <w:tcPr>
            <w:tcW w:type="dxa" w:w="7848"/>
            <w:vAlign w:val="center"/>
            <w:tcMar>
              <w:top w:w="100" w:type="dxa"/>
              <w:start w:w="120" w:type="dxa"/>
              <w:bottom w:w="100" w:type="dxa"/>
              <w:end w:w="120" w:type="dxa"/>
            </w:tcMar>
          </w:tcPr>
          <w:p>
            <w:pPr>
              <w:spacing w:after="0"/>
            </w:pPr>
            <w:r>
              <w:rPr>
                <w:sz w:val="17"/>
              </w:rPr>
              <w:t>Rewards expected information gain at a frontier.</w:t>
            </w:r>
          </w:p>
        </w:tc>
      </w:tr>
      <w:tr>
        <w:trPr>
          <w:cantSplit/>
        </w:trPr>
        <w:tc>
          <w:tcPr>
            <w:tcW w:type="dxa" w:w="1152"/>
            <w:vAlign w:val="center"/>
            <w:tcMar>
              <w:top w:w="100" w:type="dxa"/>
              <w:start w:w="120" w:type="dxa"/>
              <w:bottom w:w="100" w:type="dxa"/>
              <w:end w:w="120" w:type="dxa"/>
            </w:tcMar>
            <w:shd w:fill="F7F9FC"/>
          </w:tcPr>
          <w:p>
            <w:pPr>
              <w:spacing w:after="0"/>
            </w:pPr>
            <w:r>
              <w:rPr>
                <w:sz w:val="17"/>
              </w:rPr>
              <w:t>Dw</w:t>
            </w:r>
          </w:p>
        </w:tc>
        <w:tc>
          <w:tcPr>
            <w:tcW w:type="dxa" w:w="1152"/>
            <w:vAlign w:val="center"/>
            <w:tcMar>
              <w:top w:w="100" w:type="dxa"/>
              <w:start w:w="120" w:type="dxa"/>
              <w:bottom w:w="100" w:type="dxa"/>
              <w:end w:w="120" w:type="dxa"/>
            </w:tcMar>
            <w:shd w:fill="F7F9FC"/>
          </w:tcPr>
          <w:p>
            <w:pPr>
              <w:spacing w:after="0"/>
            </w:pPr>
            <w:r>
              <w:rPr>
                <w:sz w:val="17"/>
              </w:rPr>
              <w:t>1</w:t>
            </w:r>
          </w:p>
        </w:tc>
        <w:tc>
          <w:tcPr>
            <w:tcW w:type="dxa" w:w="7848"/>
            <w:vAlign w:val="center"/>
            <w:tcMar>
              <w:top w:w="100" w:type="dxa"/>
              <w:start w:w="120" w:type="dxa"/>
              <w:bottom w:w="100" w:type="dxa"/>
              <w:end w:w="120" w:type="dxa"/>
            </w:tcMar>
            <w:shd w:fill="F7F9FC"/>
          </w:tcPr>
          <w:p>
            <w:pPr>
              <w:spacing w:after="0"/>
            </w:pPr>
            <w:r>
              <w:rPr>
                <w:sz w:val="17"/>
              </w:rPr>
              <w:t>Penalizes travel distance.</w:t>
            </w:r>
          </w:p>
        </w:tc>
      </w:tr>
      <w:tr>
        <w:trPr>
          <w:cantSplit/>
        </w:trPr>
        <w:tc>
          <w:tcPr>
            <w:tcW w:type="dxa" w:w="1152"/>
            <w:vAlign w:val="center"/>
            <w:tcMar>
              <w:top w:w="100" w:type="dxa"/>
              <w:start w:w="120" w:type="dxa"/>
              <w:bottom w:w="100" w:type="dxa"/>
              <w:end w:w="120" w:type="dxa"/>
            </w:tcMar>
          </w:tcPr>
          <w:p>
            <w:pPr>
              <w:spacing w:after="0"/>
            </w:pPr>
            <w:r>
              <w:rPr>
                <w:sz w:val="17"/>
              </w:rPr>
              <w:t>Vw</w:t>
            </w:r>
          </w:p>
        </w:tc>
        <w:tc>
          <w:tcPr>
            <w:tcW w:type="dxa" w:w="1152"/>
            <w:vAlign w:val="center"/>
            <w:tcMar>
              <w:top w:w="100" w:type="dxa"/>
              <w:start w:w="120" w:type="dxa"/>
              <w:bottom w:w="100" w:type="dxa"/>
              <w:end w:w="120" w:type="dxa"/>
            </w:tcMar>
          </w:tcPr>
          <w:p>
            <w:pPr>
              <w:spacing w:after="0"/>
            </w:pPr>
            <w:r>
              <w:rPr>
                <w:sz w:val="17"/>
              </w:rPr>
              <w:t>0.3</w:t>
            </w:r>
          </w:p>
        </w:tc>
        <w:tc>
          <w:tcPr>
            <w:tcW w:type="dxa" w:w="7848"/>
            <w:vAlign w:val="center"/>
            <w:tcMar>
              <w:top w:w="100" w:type="dxa"/>
              <w:start w:w="120" w:type="dxa"/>
              <w:bottom w:w="100" w:type="dxa"/>
              <w:end w:w="120" w:type="dxa"/>
            </w:tcMar>
          </w:tcPr>
          <w:p>
            <w:pPr>
              <w:spacing w:after="0"/>
            </w:pPr>
            <w:r>
              <w:rPr>
                <w:sz w:val="17"/>
              </w:rPr>
              <w:t>Penalizes the planner proximity term.</w:t>
            </w:r>
          </w:p>
        </w:tc>
      </w:tr>
      <w:tr>
        <w:trPr>
          <w:cantSplit/>
        </w:trPr>
        <w:tc>
          <w:tcPr>
            <w:tcW w:type="dxa" w:w="1152"/>
            <w:vAlign w:val="center"/>
            <w:tcMar>
              <w:top w:w="100" w:type="dxa"/>
              <w:start w:w="120" w:type="dxa"/>
              <w:bottom w:w="100" w:type="dxa"/>
              <w:end w:w="120" w:type="dxa"/>
            </w:tcMar>
            <w:shd w:fill="F7F9FC"/>
          </w:tcPr>
          <w:p>
            <w:pPr>
              <w:spacing w:after="0"/>
            </w:pPr>
            <w:r>
              <w:rPr>
                <w:sz w:val="17"/>
              </w:rPr>
              <w:t>Cw</w:t>
            </w:r>
          </w:p>
        </w:tc>
        <w:tc>
          <w:tcPr>
            <w:tcW w:type="dxa" w:w="1152"/>
            <w:vAlign w:val="center"/>
            <w:tcMar>
              <w:top w:w="100" w:type="dxa"/>
              <w:start w:w="120" w:type="dxa"/>
              <w:bottom w:w="100" w:type="dxa"/>
              <w:end w:w="120" w:type="dxa"/>
            </w:tcMar>
            <w:shd w:fill="F7F9FC"/>
          </w:tcPr>
          <w:p>
            <w:pPr>
              <w:spacing w:after="0"/>
            </w:pPr>
            <w:r>
              <w:rPr>
                <w:sz w:val="17"/>
              </w:rPr>
              <w:t>3</w:t>
            </w:r>
          </w:p>
        </w:tc>
        <w:tc>
          <w:tcPr>
            <w:tcW w:type="dxa" w:w="7848"/>
            <w:vAlign w:val="center"/>
            <w:tcMar>
              <w:top w:w="100" w:type="dxa"/>
              <w:start w:w="120" w:type="dxa"/>
              <w:bottom w:w="100" w:type="dxa"/>
              <w:end w:w="120" w:type="dxa"/>
            </w:tcMar>
            <w:shd w:fill="F7F9FC"/>
          </w:tcPr>
          <w:p>
            <w:pPr>
              <w:spacing w:after="0"/>
            </w:pPr>
            <w:r>
              <w:rPr>
                <w:sz w:val="17"/>
              </w:rPr>
              <w:t>Curvature penalty used when Opt=ON; discourages unnecessarily curved paths.</w:t>
            </w:r>
          </w:p>
        </w:tc>
      </w:tr>
      <w:tr>
        <w:trPr>
          <w:cantSplit/>
        </w:trPr>
        <w:tc>
          <w:tcPr>
            <w:tcW w:type="dxa" w:w="1152"/>
            <w:vAlign w:val="center"/>
            <w:tcMar>
              <w:top w:w="100" w:type="dxa"/>
              <w:start w:w="120" w:type="dxa"/>
              <w:bottom w:w="100" w:type="dxa"/>
              <w:end w:w="120" w:type="dxa"/>
            </w:tcMar>
          </w:tcPr>
          <w:p>
            <w:pPr>
              <w:spacing w:after="0"/>
            </w:pPr>
            <w:r>
              <w:rPr>
                <w:sz w:val="17"/>
              </w:rPr>
              <w:t>Ow</w:t>
            </w:r>
          </w:p>
        </w:tc>
        <w:tc>
          <w:tcPr>
            <w:tcW w:type="dxa" w:w="1152"/>
            <w:vAlign w:val="center"/>
            <w:tcMar>
              <w:top w:w="100" w:type="dxa"/>
              <w:start w:w="120" w:type="dxa"/>
              <w:bottom w:w="100" w:type="dxa"/>
              <w:end w:w="120" w:type="dxa"/>
            </w:tcMar>
          </w:tcPr>
          <w:p>
            <w:pPr>
              <w:spacing w:after="0"/>
            </w:pPr>
            <w:r>
              <w:rPr>
                <w:sz w:val="17"/>
              </w:rPr>
              <w:t>8</w:t>
            </w:r>
          </w:p>
        </w:tc>
        <w:tc>
          <w:tcPr>
            <w:tcW w:type="dxa" w:w="7848"/>
            <w:vAlign w:val="center"/>
            <w:tcMar>
              <w:top w:w="100" w:type="dxa"/>
              <w:start w:w="120" w:type="dxa"/>
              <w:bottom w:w="100" w:type="dxa"/>
              <w:end w:w="120" w:type="dxa"/>
            </w:tcMar>
          </w:tcPr>
          <w:p>
            <w:pPr>
              <w:spacing w:after="0"/>
            </w:pPr>
            <w:r>
              <w:rPr>
                <w:sz w:val="17"/>
              </w:rPr>
              <w:t>Orientation penalty used when Opt=ON; discourages deviations from the preferred heading.</w:t>
            </w:r>
          </w:p>
        </w:tc>
      </w:tr>
      <w:tr>
        <w:trPr>
          <w:cantSplit/>
        </w:trPr>
        <w:tc>
          <w:tcPr>
            <w:tcW w:type="dxa" w:w="1152"/>
            <w:vAlign w:val="center"/>
            <w:tcMar>
              <w:top w:w="100" w:type="dxa"/>
              <w:start w:w="120" w:type="dxa"/>
              <w:bottom w:w="100" w:type="dxa"/>
              <w:end w:w="120" w:type="dxa"/>
            </w:tcMar>
            <w:shd w:fill="F7F9FC"/>
          </w:tcPr>
          <w:p>
            <w:pPr>
              <w:spacing w:after="0"/>
            </w:pPr>
            <w:r>
              <w:rPr>
                <w:sz w:val="17"/>
              </w:rPr>
              <w:t>Wp</w:t>
            </w:r>
          </w:p>
        </w:tc>
        <w:tc>
          <w:tcPr>
            <w:tcW w:type="dxa" w:w="1152"/>
            <w:vAlign w:val="center"/>
            <w:tcMar>
              <w:top w:w="100" w:type="dxa"/>
              <w:start w:w="120" w:type="dxa"/>
              <w:bottom w:w="100" w:type="dxa"/>
              <w:end w:w="120" w:type="dxa"/>
            </w:tcMar>
            <w:shd w:fill="F7F9FC"/>
          </w:tcPr>
          <w:p>
            <w:pPr>
              <w:spacing w:after="0"/>
            </w:pPr>
            <w:r>
              <w:rPr>
                <w:sz w:val="17"/>
              </w:rPr>
              <w:t>24</w:t>
            </w:r>
          </w:p>
        </w:tc>
        <w:tc>
          <w:tcPr>
            <w:tcW w:type="dxa" w:w="7848"/>
            <w:vAlign w:val="center"/>
            <w:tcMar>
              <w:top w:w="100" w:type="dxa"/>
              <w:start w:w="120" w:type="dxa"/>
              <w:bottom w:w="100" w:type="dxa"/>
              <w:end w:w="120" w:type="dxa"/>
            </w:tcMar>
            <w:shd w:fill="F7F9FC"/>
          </w:tcPr>
          <w:p>
            <w:pPr>
              <w:spacing w:after="0"/>
            </w:pPr>
            <w:r>
              <w:rPr>
                <w:sz w:val="17"/>
              </w:rPr>
              <w:t>Frontier-persistence reward; reduces rapid target switching.</w:t>
            </w:r>
          </w:p>
        </w:tc>
      </w:tr>
      <w:tr>
        <w:trPr>
          <w:cantSplit/>
        </w:trPr>
        <w:tc>
          <w:tcPr>
            <w:tcW w:type="dxa" w:w="1152"/>
            <w:vAlign w:val="center"/>
            <w:tcMar>
              <w:top w:w="100" w:type="dxa"/>
              <w:start w:w="120" w:type="dxa"/>
              <w:bottom w:w="100" w:type="dxa"/>
              <w:end w:w="120" w:type="dxa"/>
            </w:tcMar>
          </w:tcPr>
          <w:p>
            <w:pPr>
              <w:spacing w:after="0"/>
            </w:pPr>
            <w:r>
              <w:rPr>
                <w:sz w:val="17"/>
              </w:rPr>
              <w:t>Ms</w:t>
            </w:r>
          </w:p>
        </w:tc>
        <w:tc>
          <w:tcPr>
            <w:tcW w:type="dxa" w:w="1152"/>
            <w:vAlign w:val="center"/>
            <w:tcMar>
              <w:top w:w="100" w:type="dxa"/>
              <w:start w:w="120" w:type="dxa"/>
              <w:bottom w:w="100" w:type="dxa"/>
              <w:end w:w="120" w:type="dxa"/>
            </w:tcMar>
          </w:tcPr>
          <w:p>
            <w:pPr>
              <w:spacing w:after="0"/>
            </w:pPr>
            <w:r>
              <w:rPr>
                <w:sz w:val="17"/>
              </w:rPr>
              <w:t>1</w:t>
            </w:r>
          </w:p>
        </w:tc>
        <w:tc>
          <w:tcPr>
            <w:tcW w:type="dxa" w:w="7848"/>
            <w:vAlign w:val="center"/>
            <w:tcMar>
              <w:top w:w="100" w:type="dxa"/>
              <w:start w:w="120" w:type="dxa"/>
              <w:bottom w:w="100" w:type="dxa"/>
              <w:end w:w="120" w:type="dxa"/>
            </w:tcMar>
          </w:tcPr>
          <w:p>
            <w:pPr>
              <w:spacing w:after="0"/>
            </w:pPr>
            <w:r>
              <w:rPr>
                <w:sz w:val="17"/>
              </w:rPr>
              <w:t>Minimum advantage required before switching to another target.</w:t>
            </w:r>
          </w:p>
        </w:tc>
      </w:tr>
    </w:tbl>
    <w:p>
      <w:pPr>
        <w:spacing w:after="0"/>
      </w:pPr>
    </w:p>
    <w:tbl>
      <w:tblPr>
        <w:tblW w:type="auto" w:w="0"/>
        <w:jc w:val="center"/>
        <w:tblLook w:firstColumn="1" w:firstRow="1" w:lastColumn="0" w:lastRow="0" w:noHBand="0" w:noVBand="1" w:val="04A0"/>
      </w:tblPr>
      <w:tblGrid>
        <w:gridCol w:w="9663"/>
      </w:tblGrid>
      <w:tr>
        <w:tc>
          <w:tcPr>
            <w:tcW w:type="dxa" w:w="9663"/>
            <w:shd w:fill="EAF0F8"/>
            <w:tcMar>
              <w:top w:w="140" w:type="dxa"/>
              <w:start w:w="180" w:type="dxa"/>
              <w:bottom w:w="140" w:type="dxa"/>
              <w:end w:w="180" w:type="dxa"/>
            </w:tcMar>
          </w:tcPr>
          <w:p>
            <w:r>
              <w:rPr>
                <w:b/>
                <w:color w:val="2F5597"/>
              </w:rPr>
              <w:t xml:space="preserve">Experimental advice  </w:t>
            </w:r>
            <w:r>
              <w:t>Change one parameter family at a time whenever possible. Record every configuration value, the seed, and the software version in the laboratory log.</w:t>
            </w:r>
          </w:p>
        </w:tc>
      </w:tr>
    </w:tbl>
    <w:p>
      <w:pPr>
        <w:spacing w:after="0"/>
      </w:pPr>
    </w:p>
    <w:p>
      <w:pPr>
        <w:pStyle w:val="Heading2"/>
      </w:pPr>
      <w:r>
        <w:t>4.3 Environment settings</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2520"/>
            <w:vAlign w:val="center"/>
            <w:shd w:fill="2F5597"/>
            <w:tcMar>
              <w:top w:w="100" w:type="dxa"/>
              <w:start w:w="120" w:type="dxa"/>
              <w:bottom w:w="100" w:type="dxa"/>
              <w:end w:w="120" w:type="dxa"/>
            </w:tcMar>
          </w:tcPr>
          <w:p>
            <w:r>
              <w:rPr>
                <w:b/>
                <w:color w:val="FFFFFF"/>
                <w:sz w:val="17"/>
              </w:rPr>
              <w:t>Option</w:t>
            </w:r>
          </w:p>
        </w:tc>
        <w:tc>
          <w:tcPr>
            <w:tcW w:type="dxa" w:w="2376"/>
            <w:vAlign w:val="center"/>
            <w:shd w:fill="2F5597"/>
            <w:tcMar>
              <w:top w:w="100" w:type="dxa"/>
              <w:start w:w="120" w:type="dxa"/>
              <w:bottom w:w="100" w:type="dxa"/>
              <w:end w:w="120" w:type="dxa"/>
            </w:tcMar>
          </w:tcPr>
          <w:p>
            <w:r>
              <w:rPr>
                <w:b/>
                <w:color w:val="FFFFFF"/>
                <w:sz w:val="17"/>
              </w:rPr>
              <w:t>Choices</w:t>
            </w:r>
          </w:p>
        </w:tc>
        <w:tc>
          <w:tcPr>
            <w:tcW w:type="dxa" w:w="5760"/>
            <w:vAlign w:val="center"/>
            <w:shd w:fill="2F5597"/>
            <w:tcMar>
              <w:top w:w="100" w:type="dxa"/>
              <w:start w:w="120" w:type="dxa"/>
              <w:bottom w:w="100" w:type="dxa"/>
              <w:end w:w="120" w:type="dxa"/>
            </w:tcMar>
          </w:tcPr>
          <w:p>
            <w:r>
              <w:rPr>
                <w:b/>
                <w:color w:val="FFFFFF"/>
                <w:sz w:val="17"/>
              </w:rPr>
              <w:t>Meaning</w:t>
            </w:r>
          </w:p>
        </w:tc>
      </w:tr>
      <w:tr>
        <w:trPr>
          <w:cantSplit/>
        </w:trPr>
        <w:tc>
          <w:tcPr>
            <w:tcW w:type="dxa" w:w="2520"/>
            <w:vAlign w:val="center"/>
            <w:tcMar>
              <w:top w:w="100" w:type="dxa"/>
              <w:start w:w="120" w:type="dxa"/>
              <w:bottom w:w="100" w:type="dxa"/>
              <w:end w:w="120" w:type="dxa"/>
            </w:tcMar>
          </w:tcPr>
          <w:p>
            <w:pPr>
              <w:spacing w:after="0"/>
            </w:pPr>
            <w:r>
              <w:rPr>
                <w:sz w:val="17"/>
              </w:rPr>
              <w:t>Topology</w:t>
            </w:r>
          </w:p>
        </w:tc>
        <w:tc>
          <w:tcPr>
            <w:tcW w:type="dxa" w:w="2376"/>
            <w:vAlign w:val="center"/>
            <w:tcMar>
              <w:top w:w="100" w:type="dxa"/>
              <w:start w:w="120" w:type="dxa"/>
              <w:bottom w:w="100" w:type="dxa"/>
              <w:end w:w="120" w:type="dxa"/>
            </w:tcMar>
          </w:tcPr>
          <w:p>
            <w:pPr>
              <w:spacing w:after="0"/>
            </w:pPr>
            <w:r>
              <w:rPr>
                <w:sz w:val="17"/>
              </w:rPr>
              <w:t>Office-like floors / Free topology</w:t>
            </w:r>
          </w:p>
        </w:tc>
        <w:tc>
          <w:tcPr>
            <w:tcW w:type="dxa" w:w="5760"/>
            <w:vAlign w:val="center"/>
            <w:tcMar>
              <w:top w:w="100" w:type="dxa"/>
              <w:start w:w="120" w:type="dxa"/>
              <w:bottom w:w="100" w:type="dxa"/>
              <w:end w:w="120" w:type="dxa"/>
            </w:tcMar>
          </w:tcPr>
          <w:p>
            <w:pPr>
              <w:spacing w:after="0"/>
            </w:pPr>
            <w:r>
              <w:rPr>
                <w:sz w:val="17"/>
              </w:rPr>
              <w:t>Office layouts contain rooms and corridors; free topology produces less structured spaces.</w:t>
            </w:r>
          </w:p>
        </w:tc>
      </w:tr>
      <w:tr>
        <w:trPr>
          <w:cantSplit/>
        </w:trPr>
        <w:tc>
          <w:tcPr>
            <w:tcW w:type="dxa" w:w="2520"/>
            <w:vAlign w:val="center"/>
            <w:tcMar>
              <w:top w:w="100" w:type="dxa"/>
              <w:start w:w="120" w:type="dxa"/>
              <w:bottom w:w="100" w:type="dxa"/>
              <w:end w:w="120" w:type="dxa"/>
            </w:tcMar>
            <w:shd w:fill="F7F9FC"/>
          </w:tcPr>
          <w:p>
            <w:pPr>
              <w:spacing w:after="0"/>
            </w:pPr>
            <w:r>
              <w:rPr>
                <w:sz w:val="17"/>
              </w:rPr>
              <w:t>Add chairs, tables, and debris</w:t>
            </w:r>
          </w:p>
        </w:tc>
        <w:tc>
          <w:tcPr>
            <w:tcW w:type="dxa" w:w="2376"/>
            <w:vAlign w:val="center"/>
            <w:tcMar>
              <w:top w:w="100" w:type="dxa"/>
              <w:start w:w="120" w:type="dxa"/>
              <w:bottom w:w="100" w:type="dxa"/>
              <w:end w:w="120" w:type="dxa"/>
            </w:tcMar>
            <w:shd w:fill="F7F9FC"/>
          </w:tcPr>
          <w:p>
            <w:pPr>
              <w:spacing w:after="0"/>
            </w:pPr>
            <w:r>
              <w:rPr>
                <w:sz w:val="17"/>
              </w:rPr>
              <w:t>Enabled / Disabled</w:t>
            </w:r>
          </w:p>
        </w:tc>
        <w:tc>
          <w:tcPr>
            <w:tcW w:type="dxa" w:w="5760"/>
            <w:vAlign w:val="center"/>
            <w:tcMar>
              <w:top w:w="100" w:type="dxa"/>
              <w:start w:w="120" w:type="dxa"/>
              <w:bottom w:w="100" w:type="dxa"/>
              <w:end w:w="120" w:type="dxa"/>
            </w:tcMar>
            <w:shd w:fill="F7F9FC"/>
          </w:tcPr>
          <w:p>
            <w:pPr>
              <w:spacing w:after="0"/>
            </w:pPr>
            <w:r>
              <w:rPr>
                <w:sz w:val="17"/>
              </w:rPr>
              <w:t>Adds physical obstacles and corresponding 2D/3D visual objects.</w:t>
            </w:r>
          </w:p>
        </w:tc>
      </w:tr>
      <w:tr>
        <w:trPr>
          <w:cantSplit/>
        </w:trPr>
        <w:tc>
          <w:tcPr>
            <w:tcW w:type="dxa" w:w="2520"/>
            <w:vAlign w:val="center"/>
            <w:tcMar>
              <w:top w:w="100" w:type="dxa"/>
              <w:start w:w="120" w:type="dxa"/>
              <w:bottom w:w="100" w:type="dxa"/>
              <w:end w:w="120" w:type="dxa"/>
            </w:tcMar>
          </w:tcPr>
          <w:p>
            <w:pPr>
              <w:spacing w:after="0"/>
            </w:pPr>
            <w:r>
              <w:rPr>
                <w:sz w:val="17"/>
              </w:rPr>
              <w:t>Object density</w:t>
            </w:r>
          </w:p>
        </w:tc>
        <w:tc>
          <w:tcPr>
            <w:tcW w:type="dxa" w:w="2376"/>
            <w:vAlign w:val="center"/>
            <w:tcMar>
              <w:top w:w="100" w:type="dxa"/>
              <w:start w:w="120" w:type="dxa"/>
              <w:bottom w:w="100" w:type="dxa"/>
              <w:end w:w="120" w:type="dxa"/>
            </w:tcMar>
          </w:tcPr>
          <w:p>
            <w:pPr>
              <w:spacing w:after="0"/>
            </w:pPr>
            <w:r>
              <w:rPr>
                <w:sz w:val="17"/>
              </w:rPr>
              <w:t>1-4</w:t>
            </w:r>
          </w:p>
        </w:tc>
        <w:tc>
          <w:tcPr>
            <w:tcW w:type="dxa" w:w="5760"/>
            <w:vAlign w:val="center"/>
            <w:tcMar>
              <w:top w:w="100" w:type="dxa"/>
              <w:start w:w="120" w:type="dxa"/>
              <w:bottom w:w="100" w:type="dxa"/>
              <w:end w:w="120" w:type="dxa"/>
            </w:tcMar>
          </w:tcPr>
          <w:p>
            <w:pPr>
              <w:spacing w:after="0"/>
            </w:pPr>
            <w:r>
              <w:rPr>
                <w:sz w:val="17"/>
              </w:rPr>
              <w:t>Scales obstacle quantity. Higher values make navigation and generation more demanding.</w:t>
            </w:r>
          </w:p>
        </w:tc>
      </w:tr>
    </w:tbl>
    <w:p>
      <w:pPr>
        <w:spacing w:after="0"/>
      </w:pPr>
    </w:p>
    <w:p>
      <w:pPr>
        <w:pStyle w:val="Heading1"/>
      </w:pPr>
      <w:r>
        <w:t>5. Designing experiments</w:t>
      </w:r>
    </w:p>
    <w:p>
      <w:pPr>
        <w:pStyle w:val="Heading2"/>
      </w:pPr>
      <w:r>
        <w:t>5.1 Episode count</w:t>
      </w:r>
    </w:p>
    <w:p>
      <w:r>
        <w:t>Total episodes = number of buildings x number of Fw values x number of Opt values. For example, 170 buildings, three Fw values, and two Opt values produce 1,020 episodes.</w:t>
      </w:r>
    </w:p>
    <w:p>
      <w:pPr>
        <w:pStyle w:val="Heading2"/>
      </w:pPr>
      <w:r>
        <w:t>5.2 Fair comparisons</w:t>
      </w:r>
    </w:p>
    <w:p>
      <w:r>
        <w:t>For each building, the program validates a starting pose that works for every condition. The building and starting pose are reused for the complete Fw x Opt batch. If the robot cannot plan a path or translate during the diagnostic interval, a new pose is selected before any episode for that building is accepted.</w:t>
      </w:r>
    </w:p>
    <w:p>
      <w:pPr>
        <w:pStyle w:val="Heading2"/>
      </w:pPr>
      <w:r>
        <w:t>5.3 Suggested scales</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2880"/>
            <w:vAlign w:val="center"/>
            <w:shd w:fill="2F5597"/>
            <w:tcMar>
              <w:top w:w="100" w:type="dxa"/>
              <w:start w:w="120" w:type="dxa"/>
              <w:bottom w:w="100" w:type="dxa"/>
              <w:end w:w="120" w:type="dxa"/>
            </w:tcMar>
          </w:tcPr>
          <w:p>
            <w:r>
              <w:rPr>
                <w:b/>
                <w:color w:val="FFFFFF"/>
                <w:sz w:val="17"/>
              </w:rPr>
              <w:t>Purpose</w:t>
            </w:r>
          </w:p>
        </w:tc>
        <w:tc>
          <w:tcPr>
            <w:tcW w:type="dxa" w:w="7488"/>
            <w:vAlign w:val="center"/>
            <w:shd w:fill="2F5597"/>
            <w:tcMar>
              <w:top w:w="100" w:type="dxa"/>
              <w:start w:w="120" w:type="dxa"/>
              <w:bottom w:w="100" w:type="dxa"/>
              <w:end w:w="120" w:type="dxa"/>
            </w:tcMar>
          </w:tcPr>
          <w:p>
            <w:r>
              <w:rPr>
                <w:b/>
                <w:color w:val="FFFFFF"/>
                <w:sz w:val="17"/>
              </w:rPr>
              <w:t>Suggested setup</w:t>
            </w:r>
          </w:p>
        </w:tc>
      </w:tr>
      <w:tr>
        <w:trPr>
          <w:cantSplit/>
        </w:trPr>
        <w:tc>
          <w:tcPr>
            <w:tcW w:type="dxa" w:w="2880"/>
            <w:vAlign w:val="center"/>
            <w:tcMar>
              <w:top w:w="100" w:type="dxa"/>
              <w:start w:w="120" w:type="dxa"/>
              <w:bottom w:w="100" w:type="dxa"/>
              <w:end w:w="120" w:type="dxa"/>
            </w:tcMar>
          </w:tcPr>
          <w:p>
            <w:pPr>
              <w:spacing w:after="0"/>
            </w:pPr>
            <w:r>
              <w:rPr>
                <w:sz w:val="17"/>
              </w:rPr>
              <w:t>Interface check</w:t>
            </w:r>
          </w:p>
        </w:tc>
        <w:tc>
          <w:tcPr>
            <w:tcW w:type="dxa" w:w="7488"/>
            <w:vAlign w:val="center"/>
            <w:tcMar>
              <w:top w:w="100" w:type="dxa"/>
              <w:start w:w="120" w:type="dxa"/>
              <w:bottom w:w="100" w:type="dxa"/>
              <w:end w:w="120" w:type="dxa"/>
            </w:tcMar>
          </w:tcPr>
          <w:p>
            <w:pPr>
              <w:spacing w:after="0"/>
            </w:pPr>
            <w:r>
              <w:rPr>
                <w:sz w:val="17"/>
              </w:rPr>
              <w:t>1 building, Tr=30-60 s, one Fw value, one Opt value.</w:t>
            </w:r>
          </w:p>
        </w:tc>
      </w:tr>
      <w:tr>
        <w:trPr>
          <w:cantSplit/>
        </w:trPr>
        <w:tc>
          <w:tcPr>
            <w:tcW w:type="dxa" w:w="2880"/>
            <w:vAlign w:val="center"/>
            <w:tcMar>
              <w:top w:w="100" w:type="dxa"/>
              <w:start w:w="120" w:type="dxa"/>
              <w:bottom w:w="100" w:type="dxa"/>
              <w:end w:w="120" w:type="dxa"/>
            </w:tcMar>
            <w:shd w:fill="F7F9FC"/>
          </w:tcPr>
          <w:p>
            <w:pPr>
              <w:spacing w:after="0"/>
            </w:pPr>
            <w:r>
              <w:rPr>
                <w:sz w:val="17"/>
              </w:rPr>
              <w:t>Pilot comparison</w:t>
            </w:r>
          </w:p>
        </w:tc>
        <w:tc>
          <w:tcPr>
            <w:tcW w:type="dxa" w:w="7488"/>
            <w:vAlign w:val="center"/>
            <w:tcMar>
              <w:top w:w="100" w:type="dxa"/>
              <w:start w:w="120" w:type="dxa"/>
              <w:bottom w:w="100" w:type="dxa"/>
              <w:end w:w="120" w:type="dxa"/>
            </w:tcMar>
            <w:shd w:fill="F7F9FC"/>
          </w:tcPr>
          <w:p>
            <w:pPr>
              <w:spacing w:after="0"/>
            </w:pPr>
            <w:r>
              <w:rPr>
                <w:sz w:val="17"/>
              </w:rPr>
              <w:t>10-30 buildings with all intended conditions.</w:t>
            </w:r>
          </w:p>
        </w:tc>
      </w:tr>
      <w:tr>
        <w:trPr>
          <w:cantSplit/>
        </w:trPr>
        <w:tc>
          <w:tcPr>
            <w:tcW w:type="dxa" w:w="2880"/>
            <w:vAlign w:val="center"/>
            <w:tcMar>
              <w:top w:w="100" w:type="dxa"/>
              <w:start w:w="120" w:type="dxa"/>
              <w:bottom w:w="100" w:type="dxa"/>
              <w:end w:w="120" w:type="dxa"/>
            </w:tcMar>
          </w:tcPr>
          <w:p>
            <w:pPr>
              <w:spacing w:after="0"/>
            </w:pPr>
            <w:r>
              <w:rPr>
                <w:sz w:val="17"/>
              </w:rPr>
              <w:t>Publication-scale experiment</w:t>
            </w:r>
          </w:p>
        </w:tc>
        <w:tc>
          <w:tcPr>
            <w:tcW w:type="dxa" w:w="7488"/>
            <w:vAlign w:val="center"/>
            <w:tcMar>
              <w:top w:w="100" w:type="dxa"/>
              <w:start w:w="120" w:type="dxa"/>
              <w:bottom w:w="100" w:type="dxa"/>
              <w:end w:w="120" w:type="dxa"/>
            </w:tcMar>
          </w:tcPr>
          <w:p>
            <w:pPr>
              <w:spacing w:after="0"/>
            </w:pPr>
            <w:r>
              <w:rPr>
                <w:sz w:val="17"/>
              </w:rPr>
              <w:t>Use enough buildings for stable distributions; keep identical buildings across conditions and report the full design.</w:t>
            </w:r>
          </w:p>
        </w:tc>
      </w:tr>
    </w:tbl>
    <w:p>
      <w:pPr>
        <w:spacing w:after="0"/>
      </w:pPr>
    </w:p>
    <w:p>
      <w:pPr>
        <w:pStyle w:val="Heading1"/>
      </w:pPr>
      <w:r>
        <w:t>6. Running and observing the simulation</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2592"/>
            <w:vAlign w:val="center"/>
            <w:shd w:fill="2F5597"/>
            <w:tcMar>
              <w:top w:w="100" w:type="dxa"/>
              <w:start w:w="120" w:type="dxa"/>
              <w:bottom w:w="100" w:type="dxa"/>
              <w:end w:w="120" w:type="dxa"/>
            </w:tcMar>
          </w:tcPr>
          <w:p>
            <w:r>
              <w:rPr>
                <w:b/>
                <w:color w:val="FFFFFF"/>
                <w:sz w:val="17"/>
              </w:rPr>
              <w:t>Control</w:t>
            </w:r>
          </w:p>
        </w:tc>
        <w:tc>
          <w:tcPr>
            <w:tcW w:type="dxa" w:w="7776"/>
            <w:vAlign w:val="center"/>
            <w:shd w:fill="2F5597"/>
            <w:tcMar>
              <w:top w:w="100" w:type="dxa"/>
              <w:start w:w="120" w:type="dxa"/>
              <w:bottom w:w="100" w:type="dxa"/>
              <w:end w:w="120" w:type="dxa"/>
            </w:tcMar>
          </w:tcPr>
          <w:p>
            <w:r>
              <w:rPr>
                <w:b/>
                <w:color w:val="FFFFFF"/>
                <w:sz w:val="17"/>
              </w:rPr>
              <w:t>Action</w:t>
            </w:r>
          </w:p>
        </w:tc>
      </w:tr>
      <w:tr>
        <w:trPr>
          <w:cantSplit/>
        </w:trPr>
        <w:tc>
          <w:tcPr>
            <w:tcW w:type="dxa" w:w="2592"/>
            <w:vAlign w:val="center"/>
            <w:tcMar>
              <w:top w:w="100" w:type="dxa"/>
              <w:start w:w="120" w:type="dxa"/>
              <w:bottom w:w="100" w:type="dxa"/>
              <w:end w:w="120" w:type="dxa"/>
            </w:tcMar>
          </w:tcPr>
          <w:p>
            <w:pPr>
              <w:spacing w:after="0"/>
            </w:pPr>
            <w:r>
              <w:rPr>
                <w:sz w:val="17"/>
              </w:rPr>
              <w:t>SPACE</w:t>
            </w:r>
          </w:p>
        </w:tc>
        <w:tc>
          <w:tcPr>
            <w:tcW w:type="dxa" w:w="7776"/>
            <w:vAlign w:val="center"/>
            <w:tcMar>
              <w:top w:w="100" w:type="dxa"/>
              <w:start w:w="120" w:type="dxa"/>
              <w:bottom w:w="100" w:type="dxa"/>
              <w:end w:w="120" w:type="dxa"/>
            </w:tcMar>
          </w:tcPr>
          <w:p>
            <w:pPr>
              <w:spacing w:after="0"/>
            </w:pPr>
            <w:r>
              <w:rPr>
                <w:sz w:val="17"/>
              </w:rPr>
              <w:t>Pause or resume the current episode.</w:t>
            </w:r>
          </w:p>
        </w:tc>
      </w:tr>
      <w:tr>
        <w:trPr>
          <w:cantSplit/>
        </w:trPr>
        <w:tc>
          <w:tcPr>
            <w:tcW w:type="dxa" w:w="2592"/>
            <w:vAlign w:val="center"/>
            <w:tcMar>
              <w:top w:w="100" w:type="dxa"/>
              <w:start w:w="120" w:type="dxa"/>
              <w:bottom w:w="100" w:type="dxa"/>
              <w:end w:w="120" w:type="dxa"/>
            </w:tcMar>
            <w:shd w:fill="F7F9FC"/>
          </w:tcPr>
          <w:p>
            <w:pPr>
              <w:spacing w:after="0"/>
            </w:pPr>
            <w:r>
              <w:rPr>
                <w:sz w:val="17"/>
              </w:rPr>
              <w:t>1 / 2 / 3 / 4</w:t>
            </w:r>
          </w:p>
        </w:tc>
        <w:tc>
          <w:tcPr>
            <w:tcW w:type="dxa" w:w="7776"/>
            <w:vAlign w:val="center"/>
            <w:tcMar>
              <w:top w:w="100" w:type="dxa"/>
              <w:start w:w="120" w:type="dxa"/>
              <w:bottom w:w="100" w:type="dxa"/>
              <w:end w:w="120" w:type="dxa"/>
            </w:tcMar>
            <w:shd w:fill="F7F9FC"/>
          </w:tcPr>
          <w:p>
            <w:pPr>
              <w:spacing w:after="0"/>
            </w:pPr>
            <w:r>
              <w:rPr>
                <w:sz w:val="17"/>
              </w:rPr>
              <w:t>Set playback speed to 1x, 2x, 4x, or 8x.</w:t>
            </w:r>
          </w:p>
        </w:tc>
      </w:tr>
      <w:tr>
        <w:trPr>
          <w:cantSplit/>
        </w:trPr>
        <w:tc>
          <w:tcPr>
            <w:tcW w:type="dxa" w:w="2592"/>
            <w:vAlign w:val="center"/>
            <w:tcMar>
              <w:top w:w="100" w:type="dxa"/>
              <w:start w:w="120" w:type="dxa"/>
              <w:bottom w:w="100" w:type="dxa"/>
              <w:end w:w="120" w:type="dxa"/>
            </w:tcMar>
          </w:tcPr>
          <w:p>
            <w:pPr>
              <w:spacing w:after="0"/>
            </w:pPr>
            <w:r>
              <w:rPr>
                <w:sz w:val="17"/>
              </w:rPr>
              <w:t>Max Turbo</w:t>
            </w:r>
          </w:p>
        </w:tc>
        <w:tc>
          <w:tcPr>
            <w:tcW w:type="dxa" w:w="7776"/>
            <w:vAlign w:val="center"/>
            <w:tcMar>
              <w:top w:w="100" w:type="dxa"/>
              <w:start w:w="120" w:type="dxa"/>
              <w:bottom w:w="100" w:type="dxa"/>
              <w:end w:w="120" w:type="dxa"/>
            </w:tcMar>
          </w:tcPr>
          <w:p>
            <w:pPr>
              <w:spacing w:after="0"/>
            </w:pPr>
            <w:r>
              <w:rPr>
                <w:sz w:val="17"/>
              </w:rPr>
              <w:t>Freeze rendering and execute fixed simulation steps as quickly as possible.</w:t>
            </w:r>
          </w:p>
        </w:tc>
      </w:tr>
      <w:tr>
        <w:trPr>
          <w:cantSplit/>
        </w:trPr>
        <w:tc>
          <w:tcPr>
            <w:tcW w:type="dxa" w:w="2592"/>
            <w:vAlign w:val="center"/>
            <w:tcMar>
              <w:top w:w="100" w:type="dxa"/>
              <w:start w:w="120" w:type="dxa"/>
              <w:bottom w:w="100" w:type="dxa"/>
              <w:end w:w="120" w:type="dxa"/>
            </w:tcMar>
            <w:shd w:fill="F7F9FC"/>
          </w:tcPr>
          <w:p>
            <w:pPr>
              <w:spacing w:after="0"/>
            </w:pPr>
            <w:r>
              <w:rPr>
                <w:sz w:val="17"/>
              </w:rPr>
              <w:t>Enable 3D view</w:t>
            </w:r>
          </w:p>
        </w:tc>
        <w:tc>
          <w:tcPr>
            <w:tcW w:type="dxa" w:w="7776"/>
            <w:vAlign w:val="center"/>
            <w:tcMar>
              <w:top w:w="100" w:type="dxa"/>
              <w:start w:w="120" w:type="dxa"/>
              <w:bottom w:w="100" w:type="dxa"/>
              <w:end w:w="120" w:type="dxa"/>
            </w:tcMar>
            <w:shd w:fill="F7F9FC"/>
          </w:tcPr>
          <w:p>
            <w:pPr>
              <w:spacing w:after="0"/>
            </w:pPr>
            <w:r>
              <w:rPr>
                <w:sz w:val="17"/>
              </w:rPr>
              <w:t>Open the Panda3D first-person camera for the current building.</w:t>
            </w:r>
          </w:p>
        </w:tc>
      </w:tr>
      <w:tr>
        <w:trPr>
          <w:cantSplit/>
        </w:trPr>
        <w:tc>
          <w:tcPr>
            <w:tcW w:type="dxa" w:w="2592"/>
            <w:vAlign w:val="center"/>
            <w:tcMar>
              <w:top w:w="100" w:type="dxa"/>
              <w:start w:w="120" w:type="dxa"/>
              <w:bottom w:w="100" w:type="dxa"/>
              <w:end w:w="120" w:type="dxa"/>
            </w:tcMar>
          </w:tcPr>
          <w:p>
            <w:pPr>
              <w:spacing w:after="0"/>
            </w:pPr>
            <w:r>
              <w:rPr>
                <w:sz w:val="17"/>
              </w:rPr>
              <w:t>ESC</w:t>
            </w:r>
          </w:p>
        </w:tc>
        <w:tc>
          <w:tcPr>
            <w:tcW w:type="dxa" w:w="7776"/>
            <w:vAlign w:val="center"/>
            <w:tcMar>
              <w:top w:w="100" w:type="dxa"/>
              <w:start w:w="120" w:type="dxa"/>
              <w:bottom w:w="100" w:type="dxa"/>
              <w:end w:w="120" w:type="dxa"/>
            </w:tcMar>
          </w:tcPr>
          <w:p>
            <w:pPr>
              <w:spacing w:after="0"/>
            </w:pPr>
            <w:r>
              <w:rPr>
                <w:sz w:val="17"/>
              </w:rPr>
              <w:t>End the current episode.</w:t>
            </w:r>
          </w:p>
        </w:tc>
      </w:tr>
    </w:tbl>
    <w:p>
      <w:pPr>
        <w:spacing w:after="0"/>
      </w:pPr>
    </w:p>
    <w:p>
      <w:r>
        <w:t>The left panel shows continuous ground-truth geometry. The right panel shows the robot-built probabilistic and semantic map. The legend separates the real environment, robot and sensors, planning overlays, and internal map states.</w:t>
      </w:r>
    </w:p>
    <w:p>
      <w:pPr>
        <w:pStyle w:val="Heading2"/>
      </w:pPr>
      <w:r>
        <w:t>6.1 Start diagnostics</w:t>
      </w:r>
    </w:p>
    <w:p>
      <w:r>
        <w:t>Before a building batch starts, a short invisible run verifies that the robot can plan and translate. Progress is shown in the persistent viewer. A watchdog prevents pathological maps from leaving the program apparently frozen.</w:t>
      </w:r>
    </w:p>
    <w:p>
      <w:pPr>
        <w:pStyle w:val="Heading2"/>
      </w:pPr>
      <w:r>
        <w:t>6.2 Max Turbo and 3D</w:t>
      </w:r>
    </w:p>
    <w:p>
      <w:r>
        <w:t>Max Turbo suspends expensive rendering but does not change the deterministic physical time step. The 3D preference is preserved and the Panda3D window is restored when Turbo is stopped, if it was previously enabled.</w:t>
      </w:r>
    </w:p>
    <w:p>
      <w:pPr>
        <w:pStyle w:val="Heading1"/>
      </w:pPr>
      <w:r>
        <w:t>7. Output files</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3528"/>
            <w:vAlign w:val="center"/>
            <w:shd w:fill="2F5597"/>
            <w:tcMar>
              <w:top w:w="100" w:type="dxa"/>
              <w:start w:w="120" w:type="dxa"/>
              <w:bottom w:w="100" w:type="dxa"/>
              <w:end w:w="120" w:type="dxa"/>
            </w:tcMar>
          </w:tcPr>
          <w:p>
            <w:r>
              <w:rPr>
                <w:b/>
                <w:color w:val="FFFFFF"/>
                <w:sz w:val="17"/>
              </w:rPr>
              <w:t>File</w:t>
            </w:r>
          </w:p>
        </w:tc>
        <w:tc>
          <w:tcPr>
            <w:tcW w:type="dxa" w:w="6840"/>
            <w:vAlign w:val="center"/>
            <w:shd w:fill="2F5597"/>
            <w:tcMar>
              <w:top w:w="100" w:type="dxa"/>
              <w:start w:w="120" w:type="dxa"/>
              <w:bottom w:w="100" w:type="dxa"/>
              <w:end w:w="120" w:type="dxa"/>
            </w:tcMar>
          </w:tcPr>
          <w:p>
            <w:r>
              <w:rPr>
                <w:b/>
                <w:color w:val="FFFFFF"/>
                <w:sz w:val="17"/>
              </w:rPr>
              <w:t>Contents</w:t>
            </w:r>
          </w:p>
        </w:tc>
      </w:tr>
      <w:tr>
        <w:trPr>
          <w:cantSplit/>
        </w:trPr>
        <w:tc>
          <w:tcPr>
            <w:tcW w:type="dxa" w:w="3528"/>
            <w:vAlign w:val="center"/>
            <w:tcMar>
              <w:top w:w="100" w:type="dxa"/>
              <w:start w:w="120" w:type="dxa"/>
              <w:bottom w:w="100" w:type="dxa"/>
              <w:end w:w="120" w:type="dxa"/>
            </w:tcMar>
          </w:tcPr>
          <w:p>
            <w:pPr>
              <w:spacing w:after="0"/>
            </w:pPr>
            <w:r>
              <w:rPr>
                <w:sz w:val="17"/>
              </w:rPr>
              <w:t>sar_simulation_results.csv</w:t>
            </w:r>
          </w:p>
        </w:tc>
        <w:tc>
          <w:tcPr>
            <w:tcW w:type="dxa" w:w="6840"/>
            <w:vAlign w:val="center"/>
            <w:tcMar>
              <w:top w:w="100" w:type="dxa"/>
              <w:start w:w="120" w:type="dxa"/>
              <w:bottom w:w="100" w:type="dxa"/>
              <w:end w:w="120" w:type="dxa"/>
            </w:tcMar>
          </w:tcPr>
          <w:p>
            <w:pPr>
              <w:spacing w:after="0"/>
            </w:pPr>
            <w:r>
              <w:rPr>
                <w:sz w:val="17"/>
              </w:rPr>
              <w:t>One row per episode: configuration, coverage, floor activity, time, and SAR detection metrics.</w:t>
            </w:r>
          </w:p>
        </w:tc>
      </w:tr>
      <w:tr>
        <w:trPr>
          <w:cantSplit/>
        </w:trPr>
        <w:tc>
          <w:tcPr>
            <w:tcW w:type="dxa" w:w="3528"/>
            <w:vAlign w:val="center"/>
            <w:tcMar>
              <w:top w:w="100" w:type="dxa"/>
              <w:start w:w="120" w:type="dxa"/>
              <w:bottom w:w="100" w:type="dxa"/>
              <w:end w:w="120" w:type="dxa"/>
            </w:tcMar>
            <w:shd w:fill="F7F9FC"/>
          </w:tcPr>
          <w:p>
            <w:pPr>
              <w:spacing w:after="0"/>
            </w:pPr>
            <w:r>
              <w:rPr>
                <w:sz w:val="17"/>
              </w:rPr>
              <w:t>sar_simulation_condition_statistics.csv</w:t>
            </w:r>
          </w:p>
        </w:tc>
        <w:tc>
          <w:tcPr>
            <w:tcW w:type="dxa" w:w="6840"/>
            <w:vAlign w:val="center"/>
            <w:tcMar>
              <w:top w:w="100" w:type="dxa"/>
              <w:start w:w="120" w:type="dxa"/>
              <w:bottom w:w="100" w:type="dxa"/>
              <w:end w:w="120" w:type="dxa"/>
            </w:tcMar>
            <w:shd w:fill="F7F9FC"/>
          </w:tcPr>
          <w:p>
            <w:pPr>
              <w:spacing w:after="0"/>
            </w:pPr>
            <w:r>
              <w:rPr>
                <w:sz w:val="17"/>
              </w:rPr>
              <w:t>Means and sample SDs for Af, Af*, and Atot for each Fw/Opt condition.</w:t>
            </w:r>
          </w:p>
        </w:tc>
      </w:tr>
      <w:tr>
        <w:trPr>
          <w:cantSplit/>
        </w:trPr>
        <w:tc>
          <w:tcPr>
            <w:tcW w:type="dxa" w:w="3528"/>
            <w:vAlign w:val="center"/>
            <w:tcMar>
              <w:top w:w="100" w:type="dxa"/>
              <w:start w:w="120" w:type="dxa"/>
              <w:bottom w:w="100" w:type="dxa"/>
              <w:end w:w="120" w:type="dxa"/>
            </w:tcMar>
          </w:tcPr>
          <w:p>
            <w:pPr>
              <w:spacing w:after="0"/>
            </w:pPr>
            <w:r>
              <w:rPr>
                <w:sz w:val="17"/>
              </w:rPr>
              <w:t>sar_simulation_time_area_relationship.csv</w:t>
            </w:r>
          </w:p>
        </w:tc>
        <w:tc>
          <w:tcPr>
            <w:tcW w:type="dxa" w:w="6840"/>
            <w:vAlign w:val="center"/>
            <w:tcMar>
              <w:top w:w="100" w:type="dxa"/>
              <w:start w:w="120" w:type="dxa"/>
              <w:bottom w:w="100" w:type="dxa"/>
              <w:end w:w="120" w:type="dxa"/>
            </w:tcMar>
          </w:tcPr>
          <w:p>
            <w:pPr>
              <w:spacing w:after="0"/>
            </w:pPr>
            <w:r>
              <w:rPr>
                <w:sz w:val="17"/>
              </w:rPr>
              <w:t>Correlation, regression, model selection, and conclusions for t_expl versus Atot.</w:t>
            </w:r>
          </w:p>
        </w:tc>
      </w:tr>
      <w:tr>
        <w:trPr>
          <w:cantSplit/>
        </w:trPr>
        <w:tc>
          <w:tcPr>
            <w:tcW w:type="dxa" w:w="3528"/>
            <w:vAlign w:val="center"/>
            <w:tcMar>
              <w:top w:w="100" w:type="dxa"/>
              <w:start w:w="120" w:type="dxa"/>
              <w:bottom w:w="100" w:type="dxa"/>
              <w:end w:w="120" w:type="dxa"/>
            </w:tcMar>
            <w:shd w:fill="F7F9FC"/>
          </w:tcPr>
          <w:p>
            <w:pPr>
              <w:spacing w:after="0"/>
            </w:pPr>
            <w:r>
              <w:rPr>
                <w:sz w:val="17"/>
              </w:rPr>
              <w:t>sar_simulation_analysis.xlsx</w:t>
            </w:r>
          </w:p>
        </w:tc>
        <w:tc>
          <w:tcPr>
            <w:tcW w:type="dxa" w:w="6840"/>
            <w:vAlign w:val="center"/>
            <w:tcMar>
              <w:top w:w="100" w:type="dxa"/>
              <w:start w:w="120" w:type="dxa"/>
              <w:bottom w:w="100" w:type="dxa"/>
              <w:end w:w="120" w:type="dxa"/>
            </w:tcMar>
            <w:shd w:fill="F7F9FC"/>
          </w:tcPr>
          <w:p>
            <w:pPr>
              <w:spacing w:after="0"/>
            </w:pPr>
            <w:r>
              <w:rPr>
                <w:sz w:val="17"/>
              </w:rPr>
              <w:t>Raw results, summaries, ANOVA, Tukey-Kramer, Welch, Fw analyses, time-area models, and notes.</w:t>
            </w:r>
          </w:p>
        </w:tc>
      </w:tr>
    </w:tbl>
    <w:p>
      <w:pPr>
        <w:spacing w:after="0"/>
      </w:pPr>
    </w:p>
    <w:p>
      <w:pPr>
        <w:pStyle w:val="Heading1"/>
      </w:pPr>
      <w:r>
        <w:t>8. Metrics and interpretation</w:t>
      </w:r>
    </w:p>
    <w:tbl>
      <w:tblPr>
        <w:tblStyle w:val="LightShading-Accent1"/>
        <w:tblW w:type="auto" w:w="0"/>
        <w:jc w:val="center"/>
        <w:tblLook w:firstColumn="1" w:firstRow="1" w:lastColumn="0" w:lastRow="0" w:noHBand="0" w:noVBand="1" w:val="04A0"/>
      </w:tblPr>
      <w:tblGrid>
        <w:gridCol w:w="3221"/>
        <w:gridCol w:w="3221"/>
        <w:gridCol w:w="3221"/>
      </w:tblGrid>
      <w:tr>
        <w:trPr>
          <w:tblHeader w:val="true"/>
        </w:trPr>
        <w:tc>
          <w:tcPr>
            <w:tcW w:type="dxa" w:w="1224"/>
            <w:vAlign w:val="center"/>
            <w:shd w:fill="2F5597"/>
            <w:tcMar>
              <w:top w:w="100" w:type="dxa"/>
              <w:start w:w="120" w:type="dxa"/>
              <w:bottom w:w="100" w:type="dxa"/>
              <w:end w:w="120" w:type="dxa"/>
            </w:tcMar>
          </w:tcPr>
          <w:p>
            <w:r>
              <w:rPr>
                <w:b/>
                <w:color w:val="FFFFFF"/>
                <w:sz w:val="17"/>
              </w:rPr>
              <w:t>Metric</w:t>
            </w:r>
          </w:p>
        </w:tc>
        <w:tc>
          <w:tcPr>
            <w:tcW w:type="dxa" w:w="4320"/>
            <w:vAlign w:val="center"/>
            <w:shd w:fill="2F5597"/>
            <w:tcMar>
              <w:top w:w="100" w:type="dxa"/>
              <w:start w:w="120" w:type="dxa"/>
              <w:bottom w:w="100" w:type="dxa"/>
              <w:end w:w="120" w:type="dxa"/>
            </w:tcMar>
          </w:tcPr>
          <w:p>
            <w:r>
              <w:rPr>
                <w:b/>
                <w:color w:val="FFFFFF"/>
                <w:sz w:val="17"/>
              </w:rPr>
              <w:t>Definition</w:t>
            </w:r>
          </w:p>
        </w:tc>
        <w:tc>
          <w:tcPr>
            <w:tcW w:type="dxa" w:w="4824"/>
            <w:vAlign w:val="center"/>
            <w:shd w:fill="2F5597"/>
            <w:tcMar>
              <w:top w:w="100" w:type="dxa"/>
              <w:start w:w="120" w:type="dxa"/>
              <w:bottom w:w="100" w:type="dxa"/>
              <w:end w:w="120" w:type="dxa"/>
            </w:tcMar>
          </w:tcPr>
          <w:p>
            <w:r>
              <w:rPr>
                <w:b/>
                <w:color w:val="FFFFFF"/>
                <w:sz w:val="17"/>
              </w:rPr>
              <w:t>Interpretation</w:t>
            </w:r>
          </w:p>
        </w:tc>
      </w:tr>
      <w:tr>
        <w:trPr>
          <w:cantSplit/>
        </w:trPr>
        <w:tc>
          <w:tcPr>
            <w:tcW w:type="dxa" w:w="1224"/>
            <w:vAlign w:val="center"/>
            <w:tcMar>
              <w:top w:w="100" w:type="dxa"/>
              <w:start w:w="120" w:type="dxa"/>
              <w:bottom w:w="100" w:type="dxa"/>
              <w:end w:w="120" w:type="dxa"/>
            </w:tcMar>
          </w:tcPr>
          <w:p>
            <w:pPr>
              <w:spacing w:after="0"/>
            </w:pPr>
            <w:r>
              <w:rPr>
                <w:sz w:val="17"/>
              </w:rPr>
              <w:t>Af</w:t>
            </w:r>
          </w:p>
        </w:tc>
        <w:tc>
          <w:tcPr>
            <w:tcW w:type="dxa" w:w="4320"/>
            <w:vAlign w:val="center"/>
            <w:tcMar>
              <w:top w:w="100" w:type="dxa"/>
              <w:start w:w="120" w:type="dxa"/>
              <w:bottom w:w="100" w:type="dxa"/>
              <w:end w:w="120" w:type="dxa"/>
            </w:tcMar>
          </w:tcPr>
          <w:p>
            <w:pPr>
              <w:spacing w:after="0"/>
            </w:pPr>
            <w:r>
              <w:rPr>
                <w:sz w:val="17"/>
              </w:rPr>
              <w:t>Mean percentage explored over the floors that were visited.</w:t>
            </w:r>
          </w:p>
        </w:tc>
        <w:tc>
          <w:tcPr>
            <w:tcW w:type="dxa" w:w="4824"/>
            <w:vAlign w:val="center"/>
            <w:tcMar>
              <w:top w:w="100" w:type="dxa"/>
              <w:start w:w="120" w:type="dxa"/>
              <w:bottom w:w="100" w:type="dxa"/>
              <w:end w:w="120" w:type="dxa"/>
            </w:tcMar>
          </w:tcPr>
          <w:p>
            <w:pPr>
              <w:spacing w:after="0"/>
            </w:pPr>
            <w:r>
              <w:rPr>
                <w:sz w:val="17"/>
              </w:rPr>
              <w:t>How thoroughly the robot covered the floors it reached.</w:t>
            </w:r>
          </w:p>
        </w:tc>
      </w:tr>
      <w:tr>
        <w:trPr>
          <w:cantSplit/>
        </w:trPr>
        <w:tc>
          <w:tcPr>
            <w:tcW w:type="dxa" w:w="1224"/>
            <w:vAlign w:val="center"/>
            <w:tcMar>
              <w:top w:w="100" w:type="dxa"/>
              <w:start w:w="120" w:type="dxa"/>
              <w:bottom w:w="100" w:type="dxa"/>
              <w:end w:w="120" w:type="dxa"/>
            </w:tcMar>
            <w:shd w:fill="F7F9FC"/>
          </w:tcPr>
          <w:p>
            <w:pPr>
              <w:spacing w:after="0"/>
            </w:pPr>
            <w:r>
              <w:rPr>
                <w:sz w:val="17"/>
              </w:rPr>
              <w:t>Af*</w:t>
            </w:r>
          </w:p>
        </w:tc>
        <w:tc>
          <w:tcPr>
            <w:tcW w:type="dxa" w:w="4320"/>
            <w:vAlign w:val="center"/>
            <w:tcMar>
              <w:top w:w="100" w:type="dxa"/>
              <w:start w:w="120" w:type="dxa"/>
              <w:bottom w:w="100" w:type="dxa"/>
              <w:end w:w="120" w:type="dxa"/>
            </w:tcMar>
            <w:shd w:fill="F7F9FC"/>
          </w:tcPr>
          <w:p>
            <w:pPr>
              <w:spacing w:after="0"/>
            </w:pPr>
            <w:r>
              <w:rPr>
                <w:sz w:val="17"/>
              </w:rPr>
              <w:t>Percentage explored on the starting floor.</w:t>
            </w:r>
          </w:p>
        </w:tc>
        <w:tc>
          <w:tcPr>
            <w:tcW w:type="dxa" w:w="4824"/>
            <w:vAlign w:val="center"/>
            <w:tcMar>
              <w:top w:w="100" w:type="dxa"/>
              <w:start w:w="120" w:type="dxa"/>
              <w:bottom w:w="100" w:type="dxa"/>
              <w:end w:w="120" w:type="dxa"/>
            </w:tcMar>
            <w:shd w:fill="F7F9FC"/>
          </w:tcPr>
          <w:p>
            <w:pPr>
              <w:spacing w:after="0"/>
            </w:pPr>
            <w:r>
              <w:rPr>
                <w:sz w:val="17"/>
              </w:rPr>
              <w:t>Coverage of the initial floor.</w:t>
            </w:r>
          </w:p>
        </w:tc>
      </w:tr>
      <w:tr>
        <w:trPr>
          <w:cantSplit/>
        </w:trPr>
        <w:tc>
          <w:tcPr>
            <w:tcW w:type="dxa" w:w="1224"/>
            <w:vAlign w:val="center"/>
            <w:tcMar>
              <w:top w:w="100" w:type="dxa"/>
              <w:start w:w="120" w:type="dxa"/>
              <w:bottom w:w="100" w:type="dxa"/>
              <w:end w:w="120" w:type="dxa"/>
            </w:tcMar>
          </w:tcPr>
          <w:p>
            <w:pPr>
              <w:spacing w:after="0"/>
            </w:pPr>
            <w:r>
              <w:rPr>
                <w:sz w:val="17"/>
              </w:rPr>
              <w:t>Atot</w:t>
            </w:r>
          </w:p>
        </w:tc>
        <w:tc>
          <w:tcPr>
            <w:tcW w:type="dxa" w:w="4320"/>
            <w:vAlign w:val="center"/>
            <w:tcMar>
              <w:top w:w="100" w:type="dxa"/>
              <w:start w:w="120" w:type="dxa"/>
              <w:bottom w:w="100" w:type="dxa"/>
              <w:end w:w="120" w:type="dxa"/>
            </w:tcMar>
          </w:tcPr>
          <w:p>
            <w:pPr>
              <w:spacing w:after="0"/>
            </w:pPr>
            <w:r>
              <w:rPr>
                <w:sz w:val="17"/>
              </w:rPr>
              <w:t>Explored area divided by total explorable area over all floors.</w:t>
            </w:r>
          </w:p>
        </w:tc>
        <w:tc>
          <w:tcPr>
            <w:tcW w:type="dxa" w:w="4824"/>
            <w:vAlign w:val="center"/>
            <w:tcMar>
              <w:top w:w="100" w:type="dxa"/>
              <w:start w:w="120" w:type="dxa"/>
              <w:bottom w:w="100" w:type="dxa"/>
              <w:end w:w="120" w:type="dxa"/>
            </w:tcMar>
          </w:tcPr>
          <w:p>
            <w:pPr>
              <w:spacing w:after="0"/>
            </w:pPr>
            <w:r>
              <w:rPr>
                <w:sz w:val="17"/>
              </w:rPr>
              <w:t>Primary global exploration measure.</w:t>
            </w:r>
          </w:p>
        </w:tc>
      </w:tr>
      <w:tr>
        <w:trPr>
          <w:cantSplit/>
        </w:trPr>
        <w:tc>
          <w:tcPr>
            <w:tcW w:type="dxa" w:w="1224"/>
            <w:vAlign w:val="center"/>
            <w:tcMar>
              <w:top w:w="100" w:type="dxa"/>
              <w:start w:w="120" w:type="dxa"/>
              <w:bottom w:w="100" w:type="dxa"/>
              <w:end w:w="120" w:type="dxa"/>
            </w:tcMar>
            <w:shd w:fill="F7F9FC"/>
          </w:tcPr>
          <w:p>
            <w:pPr>
              <w:spacing w:after="0"/>
            </w:pPr>
            <w:r>
              <w:rPr>
                <w:sz w:val="17"/>
              </w:rPr>
              <w:t>Vf</w:t>
            </w:r>
          </w:p>
        </w:tc>
        <w:tc>
          <w:tcPr>
            <w:tcW w:type="dxa" w:w="4320"/>
            <w:vAlign w:val="center"/>
            <w:tcMar>
              <w:top w:w="100" w:type="dxa"/>
              <w:start w:w="120" w:type="dxa"/>
              <w:bottom w:w="100" w:type="dxa"/>
              <w:end w:w="120" w:type="dxa"/>
            </w:tcMar>
            <w:shd w:fill="F7F9FC"/>
          </w:tcPr>
          <w:p>
            <w:pPr>
              <w:spacing w:after="0"/>
            </w:pPr>
            <w:r>
              <w:rPr>
                <w:sz w:val="17"/>
              </w:rPr>
              <w:t>Number of distinct floors visited.</w:t>
            </w:r>
          </w:p>
        </w:tc>
        <w:tc>
          <w:tcPr>
            <w:tcW w:type="dxa" w:w="4824"/>
            <w:vAlign w:val="center"/>
            <w:tcMar>
              <w:top w:w="100" w:type="dxa"/>
              <w:start w:w="120" w:type="dxa"/>
              <w:bottom w:w="100" w:type="dxa"/>
              <w:end w:w="120" w:type="dxa"/>
            </w:tcMar>
            <w:shd w:fill="F7F9FC"/>
          </w:tcPr>
          <w:p>
            <w:pPr>
              <w:spacing w:after="0"/>
            </w:pPr>
            <w:r>
              <w:rPr>
                <w:sz w:val="17"/>
              </w:rPr>
              <w:t>Vertical reach.</w:t>
            </w:r>
          </w:p>
        </w:tc>
      </w:tr>
      <w:tr>
        <w:trPr>
          <w:cantSplit/>
        </w:trPr>
        <w:tc>
          <w:tcPr>
            <w:tcW w:type="dxa" w:w="1224"/>
            <w:vAlign w:val="center"/>
            <w:tcMar>
              <w:top w:w="100" w:type="dxa"/>
              <w:start w:w="120" w:type="dxa"/>
              <w:bottom w:w="100" w:type="dxa"/>
              <w:end w:w="120" w:type="dxa"/>
            </w:tcMar>
          </w:tcPr>
          <w:p>
            <w:pPr>
              <w:spacing w:after="0"/>
            </w:pPr>
            <w:r>
              <w:rPr>
                <w:sz w:val="17"/>
              </w:rPr>
              <w:t>Cf</w:t>
            </w:r>
          </w:p>
        </w:tc>
        <w:tc>
          <w:tcPr>
            <w:tcW w:type="dxa" w:w="4320"/>
            <w:vAlign w:val="center"/>
            <w:tcMar>
              <w:top w:w="100" w:type="dxa"/>
              <w:start w:w="120" w:type="dxa"/>
              <w:bottom w:w="100" w:type="dxa"/>
              <w:end w:w="120" w:type="dxa"/>
            </w:tcMar>
          </w:tcPr>
          <w:p>
            <w:pPr>
              <w:spacing w:after="0"/>
            </w:pPr>
            <w:r>
              <w:rPr>
                <w:sz w:val="17"/>
              </w:rPr>
              <w:t>Number of floor changes.</w:t>
            </w:r>
          </w:p>
        </w:tc>
        <w:tc>
          <w:tcPr>
            <w:tcW w:type="dxa" w:w="4824"/>
            <w:vAlign w:val="center"/>
            <w:tcMar>
              <w:top w:w="100" w:type="dxa"/>
              <w:start w:w="120" w:type="dxa"/>
              <w:bottom w:w="100" w:type="dxa"/>
              <w:end w:w="120" w:type="dxa"/>
            </w:tcMar>
          </w:tcPr>
          <w:p>
            <w:pPr>
              <w:spacing w:after="0"/>
            </w:pPr>
            <w:r>
              <w:rPr>
                <w:sz w:val="17"/>
              </w:rPr>
              <w:t>Frequency of vertical switching.</w:t>
            </w:r>
          </w:p>
        </w:tc>
      </w:tr>
      <w:tr>
        <w:trPr>
          <w:cantSplit/>
        </w:trPr>
        <w:tc>
          <w:tcPr>
            <w:tcW w:type="dxa" w:w="1224"/>
            <w:vAlign w:val="center"/>
            <w:tcMar>
              <w:top w:w="100" w:type="dxa"/>
              <w:start w:w="120" w:type="dxa"/>
              <w:bottom w:w="100" w:type="dxa"/>
              <w:end w:w="120" w:type="dxa"/>
            </w:tcMar>
            <w:shd w:fill="F7F9FC"/>
          </w:tcPr>
          <w:p>
            <w:pPr>
              <w:spacing w:after="0"/>
            </w:pPr>
            <w:r>
              <w:rPr>
                <w:sz w:val="17"/>
              </w:rPr>
              <w:t>t_expl</w:t>
            </w:r>
          </w:p>
        </w:tc>
        <w:tc>
          <w:tcPr>
            <w:tcW w:type="dxa" w:w="4320"/>
            <w:vAlign w:val="center"/>
            <w:tcMar>
              <w:top w:w="100" w:type="dxa"/>
              <w:start w:w="120" w:type="dxa"/>
              <w:bottom w:w="100" w:type="dxa"/>
              <w:end w:w="120" w:type="dxa"/>
            </w:tcMar>
            <w:shd w:fill="F7F9FC"/>
          </w:tcPr>
          <w:p>
            <w:pPr>
              <w:spacing w:after="0"/>
            </w:pPr>
            <w:r>
              <w:rPr>
                <w:sz w:val="17"/>
              </w:rPr>
              <w:t>Simulated time actually spent exploring.</w:t>
            </w:r>
          </w:p>
        </w:tc>
        <w:tc>
          <w:tcPr>
            <w:tcW w:type="dxa" w:w="4824"/>
            <w:vAlign w:val="center"/>
            <w:tcMar>
              <w:top w:w="100" w:type="dxa"/>
              <w:start w:w="120" w:type="dxa"/>
              <w:bottom w:w="100" w:type="dxa"/>
              <w:end w:w="120" w:type="dxa"/>
            </w:tcMar>
            <w:shd w:fill="F7F9FC"/>
          </w:tcPr>
          <w:p>
            <w:pPr>
              <w:spacing w:after="0"/>
            </w:pPr>
            <w:r>
              <w:rPr>
                <w:sz w:val="17"/>
              </w:rPr>
              <w:t>Ts reduces the budget but is not added to t_expl.</w:t>
            </w:r>
          </w:p>
        </w:tc>
      </w:tr>
      <w:tr>
        <w:trPr>
          <w:cantSplit/>
        </w:trPr>
        <w:tc>
          <w:tcPr>
            <w:tcW w:type="dxa" w:w="1224"/>
            <w:vAlign w:val="center"/>
            <w:tcMar>
              <w:top w:w="100" w:type="dxa"/>
              <w:start w:w="120" w:type="dxa"/>
              <w:bottom w:w="100" w:type="dxa"/>
              <w:end w:w="120" w:type="dxa"/>
            </w:tcMar>
          </w:tcPr>
          <w:p>
            <w:pPr>
              <w:spacing w:after="0"/>
            </w:pPr>
            <w:r>
              <w:rPr>
                <w:sz w:val="17"/>
              </w:rPr>
              <w:t>TP / FP / FN / TN</w:t>
            </w:r>
          </w:p>
        </w:tc>
        <w:tc>
          <w:tcPr>
            <w:tcW w:type="dxa" w:w="4320"/>
            <w:vAlign w:val="center"/>
            <w:tcMar>
              <w:top w:w="100" w:type="dxa"/>
              <w:start w:w="120" w:type="dxa"/>
              <w:bottom w:w="100" w:type="dxa"/>
              <w:end w:w="120" w:type="dxa"/>
            </w:tcMar>
          </w:tcPr>
          <w:p>
            <w:pPr>
              <w:spacing w:after="0"/>
            </w:pPr>
            <w:r>
              <w:rPr>
                <w:sz w:val="17"/>
              </w:rPr>
              <w:t>Victim-detection confusion values.</w:t>
            </w:r>
          </w:p>
        </w:tc>
        <w:tc>
          <w:tcPr>
            <w:tcW w:type="dxa" w:w="4824"/>
            <w:vAlign w:val="center"/>
            <w:tcMar>
              <w:top w:w="100" w:type="dxa"/>
              <w:start w:w="120" w:type="dxa"/>
              <w:bottom w:w="100" w:type="dxa"/>
              <w:end w:w="120" w:type="dxa"/>
            </w:tcMar>
          </w:tcPr>
          <w:p>
            <w:pPr>
              <w:spacing w:after="0"/>
            </w:pPr>
            <w:r>
              <w:rPr>
                <w:sz w:val="17"/>
              </w:rPr>
              <w:t>Inputs for sensitivity, specificity, balanced accuracy, and MCC.</w:t>
            </w:r>
          </w:p>
        </w:tc>
      </w:tr>
    </w:tbl>
    <w:p>
      <w:pPr>
        <w:spacing w:after="0"/>
      </w:pPr>
    </w:p>
    <w:p>
      <w:pPr>
        <w:pStyle w:val="Heading2"/>
      </w:pPr>
      <w:r>
        <w:t>8.1 Joint interpretation</w:t>
      </w:r>
    </w:p>
    <w:p>
      <w:r>
        <w:t>High Af with low Atot may indicate that the robot explored only a few floors very thoroughly. High Vf or Cf does not automatically imply high Atot because transitions consume Ts. The desired behavior often balances local coverage and timely floor changes.</w:t>
      </w:r>
    </w:p>
    <w:p>
      <w:pPr>
        <w:pStyle w:val="Heading1"/>
      </w:pPr>
      <w:r>
        <w:t>9. Statistical analysis workbook</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2448"/>
            <w:vAlign w:val="center"/>
            <w:shd w:fill="2F5597"/>
            <w:tcMar>
              <w:top w:w="100" w:type="dxa"/>
              <w:start w:w="120" w:type="dxa"/>
              <w:bottom w:w="100" w:type="dxa"/>
              <w:end w:w="120" w:type="dxa"/>
            </w:tcMar>
          </w:tcPr>
          <w:p>
            <w:r>
              <w:rPr>
                <w:b/>
                <w:color w:val="FFFFFF"/>
                <w:sz w:val="17"/>
              </w:rPr>
              <w:t>Sheet</w:t>
            </w:r>
          </w:p>
        </w:tc>
        <w:tc>
          <w:tcPr>
            <w:tcW w:type="dxa" w:w="7920"/>
            <w:vAlign w:val="center"/>
            <w:shd w:fill="2F5597"/>
            <w:tcMar>
              <w:top w:w="100" w:type="dxa"/>
              <w:start w:w="120" w:type="dxa"/>
              <w:bottom w:w="100" w:type="dxa"/>
              <w:end w:w="120" w:type="dxa"/>
            </w:tcMar>
          </w:tcPr>
          <w:p>
            <w:r>
              <w:rPr>
                <w:b/>
                <w:color w:val="FFFFFF"/>
                <w:sz w:val="17"/>
              </w:rPr>
              <w:t>How to read it</w:t>
            </w:r>
          </w:p>
        </w:tc>
      </w:tr>
      <w:tr>
        <w:trPr>
          <w:cantSplit/>
        </w:trPr>
        <w:tc>
          <w:tcPr>
            <w:tcW w:type="dxa" w:w="2448"/>
            <w:vAlign w:val="center"/>
            <w:tcMar>
              <w:top w:w="100" w:type="dxa"/>
              <w:start w:w="120" w:type="dxa"/>
              <w:bottom w:w="100" w:type="dxa"/>
              <w:end w:w="120" w:type="dxa"/>
            </w:tcMar>
          </w:tcPr>
          <w:p>
            <w:pPr>
              <w:spacing w:after="0"/>
            </w:pPr>
            <w:r>
              <w:rPr>
                <w:sz w:val="17"/>
              </w:rPr>
              <w:t>Run results</w:t>
            </w:r>
          </w:p>
        </w:tc>
        <w:tc>
          <w:tcPr>
            <w:tcW w:type="dxa" w:w="7920"/>
            <w:vAlign w:val="center"/>
            <w:tcMar>
              <w:top w:w="100" w:type="dxa"/>
              <w:start w:w="120" w:type="dxa"/>
              <w:bottom w:w="100" w:type="dxa"/>
              <w:end w:w="120" w:type="dxa"/>
            </w:tcMar>
          </w:tcPr>
          <w:p>
            <w:pPr>
              <w:spacing w:after="0"/>
            </w:pPr>
            <w:r>
              <w:rPr>
                <w:sz w:val="17"/>
              </w:rPr>
              <w:t>Episode-level observations for custom analyses and plots.</w:t>
            </w:r>
          </w:p>
        </w:tc>
      </w:tr>
      <w:tr>
        <w:trPr>
          <w:cantSplit/>
        </w:trPr>
        <w:tc>
          <w:tcPr>
            <w:tcW w:type="dxa" w:w="2448"/>
            <w:vAlign w:val="center"/>
            <w:tcMar>
              <w:top w:w="100" w:type="dxa"/>
              <w:start w:w="120" w:type="dxa"/>
              <w:bottom w:w="100" w:type="dxa"/>
              <w:end w:w="120" w:type="dxa"/>
            </w:tcMar>
            <w:shd w:fill="F7F9FC"/>
          </w:tcPr>
          <w:p>
            <w:pPr>
              <w:spacing w:after="0"/>
            </w:pPr>
            <w:r>
              <w:rPr>
                <w:sz w:val="17"/>
              </w:rPr>
              <w:t>Condition stats</w:t>
            </w:r>
          </w:p>
        </w:tc>
        <w:tc>
          <w:tcPr>
            <w:tcW w:type="dxa" w:w="7920"/>
            <w:vAlign w:val="center"/>
            <w:tcMar>
              <w:top w:w="100" w:type="dxa"/>
              <w:start w:w="120" w:type="dxa"/>
              <w:bottom w:w="100" w:type="dxa"/>
              <w:end w:w="120" w:type="dxa"/>
            </w:tcMar>
            <w:shd w:fill="F7F9FC"/>
          </w:tcPr>
          <w:p>
            <w:pPr>
              <w:spacing w:after="0"/>
            </w:pPr>
            <w:r>
              <w:rPr>
                <w:sz w:val="17"/>
              </w:rPr>
              <w:t>Descriptive statistics for each Fw/Opt condition.</w:t>
            </w:r>
          </w:p>
        </w:tc>
      </w:tr>
      <w:tr>
        <w:trPr>
          <w:cantSplit/>
        </w:trPr>
        <w:tc>
          <w:tcPr>
            <w:tcW w:type="dxa" w:w="2448"/>
            <w:vAlign w:val="center"/>
            <w:tcMar>
              <w:top w:w="100" w:type="dxa"/>
              <w:start w:w="120" w:type="dxa"/>
              <w:bottom w:w="100" w:type="dxa"/>
              <w:end w:w="120" w:type="dxa"/>
            </w:tcMar>
          </w:tcPr>
          <w:p>
            <w:pPr>
              <w:spacing w:after="0"/>
            </w:pPr>
            <w:r>
              <w:rPr>
                <w:sz w:val="17"/>
              </w:rPr>
              <w:t>ANOVA conditions</w:t>
            </w:r>
          </w:p>
        </w:tc>
        <w:tc>
          <w:tcPr>
            <w:tcW w:type="dxa" w:w="7920"/>
            <w:vAlign w:val="center"/>
            <w:tcMar>
              <w:top w:w="100" w:type="dxa"/>
              <w:start w:w="120" w:type="dxa"/>
              <w:bottom w:w="100" w:type="dxa"/>
              <w:end w:w="120" w:type="dxa"/>
            </w:tcMar>
          </w:tcPr>
          <w:p>
            <w:pPr>
              <w:spacing w:after="0"/>
            </w:pPr>
            <w:r>
              <w:rPr>
                <w:sz w:val="17"/>
              </w:rPr>
              <w:t>Omnibus ANOVA across all conditions. A significant p-value indicates that at least one condition differs.</w:t>
            </w:r>
          </w:p>
        </w:tc>
      </w:tr>
      <w:tr>
        <w:trPr>
          <w:cantSplit/>
        </w:trPr>
        <w:tc>
          <w:tcPr>
            <w:tcW w:type="dxa" w:w="2448"/>
            <w:vAlign w:val="center"/>
            <w:tcMar>
              <w:top w:w="100" w:type="dxa"/>
              <w:start w:w="120" w:type="dxa"/>
              <w:bottom w:w="100" w:type="dxa"/>
              <w:end w:w="120" w:type="dxa"/>
            </w:tcMar>
            <w:shd w:fill="F7F9FC"/>
          </w:tcPr>
          <w:p>
            <w:pPr>
              <w:spacing w:after="0"/>
            </w:pPr>
            <w:r>
              <w:rPr>
                <w:sz w:val="17"/>
              </w:rPr>
              <w:t>Tukey conditions</w:t>
            </w:r>
          </w:p>
        </w:tc>
        <w:tc>
          <w:tcPr>
            <w:tcW w:type="dxa" w:w="7920"/>
            <w:vAlign w:val="center"/>
            <w:tcMar>
              <w:top w:w="100" w:type="dxa"/>
              <w:start w:w="120" w:type="dxa"/>
              <w:bottom w:w="100" w:type="dxa"/>
              <w:end w:w="120" w:type="dxa"/>
            </w:tcMar>
            <w:shd w:fill="F7F9FC"/>
          </w:tcPr>
          <w:p>
            <w:pPr>
              <w:spacing w:after="0"/>
            </w:pPr>
            <w:r>
              <w:rPr>
                <w:sz w:val="17"/>
              </w:rPr>
              <w:t>All pairwise comparisons; use p_bonferroni or reject_0.05_bonferroni.</w:t>
            </w:r>
          </w:p>
        </w:tc>
      </w:tr>
      <w:tr>
        <w:trPr>
          <w:cantSplit/>
        </w:trPr>
        <w:tc>
          <w:tcPr>
            <w:tcW w:type="dxa" w:w="2448"/>
            <w:vAlign w:val="center"/>
            <w:tcMar>
              <w:top w:w="100" w:type="dxa"/>
              <w:start w:w="120" w:type="dxa"/>
              <w:bottom w:w="100" w:type="dxa"/>
              <w:end w:w="120" w:type="dxa"/>
            </w:tcMar>
          </w:tcPr>
          <w:p>
            <w:pPr>
              <w:spacing w:after="0"/>
            </w:pPr>
            <w:r>
              <w:rPr>
                <w:sz w:val="17"/>
              </w:rPr>
              <w:t>Welch Opt</w:t>
            </w:r>
          </w:p>
        </w:tc>
        <w:tc>
          <w:tcPr>
            <w:tcW w:type="dxa" w:w="7920"/>
            <w:vAlign w:val="center"/>
            <w:tcMar>
              <w:top w:w="100" w:type="dxa"/>
              <w:start w:w="120" w:type="dxa"/>
              <w:bottom w:w="100" w:type="dxa"/>
              <w:end w:w="120" w:type="dxa"/>
            </w:tcMar>
          </w:tcPr>
          <w:p>
            <w:pPr>
              <w:spacing w:after="0"/>
            </w:pPr>
            <w:r>
              <w:rPr>
                <w:sz w:val="17"/>
              </w:rPr>
              <w:t>Opt=ON versus Opt=OFF after pooling Fw; Hedges g is the effect size.</w:t>
            </w:r>
          </w:p>
        </w:tc>
      </w:tr>
      <w:tr>
        <w:trPr>
          <w:cantSplit/>
        </w:trPr>
        <w:tc>
          <w:tcPr>
            <w:tcW w:type="dxa" w:w="2448"/>
            <w:vAlign w:val="center"/>
            <w:tcMar>
              <w:top w:w="100" w:type="dxa"/>
              <w:start w:w="120" w:type="dxa"/>
              <w:bottom w:w="100" w:type="dxa"/>
              <w:end w:w="120" w:type="dxa"/>
            </w:tcMar>
            <w:shd w:fill="F7F9FC"/>
          </w:tcPr>
          <w:p>
            <w:pPr>
              <w:spacing w:after="0"/>
            </w:pPr>
            <w:r>
              <w:rPr>
                <w:sz w:val="17"/>
              </w:rPr>
              <w:t>ANOVA Fw</w:t>
            </w:r>
          </w:p>
        </w:tc>
        <w:tc>
          <w:tcPr>
            <w:tcW w:type="dxa" w:w="7920"/>
            <w:vAlign w:val="center"/>
            <w:tcMar>
              <w:top w:w="100" w:type="dxa"/>
              <w:start w:w="120" w:type="dxa"/>
              <w:bottom w:w="100" w:type="dxa"/>
              <w:end w:w="120" w:type="dxa"/>
            </w:tcMar>
            <w:shd w:fill="F7F9FC"/>
          </w:tcPr>
          <w:p>
            <w:pPr>
              <w:spacing w:after="0"/>
            </w:pPr>
            <w:r>
              <w:rPr>
                <w:sz w:val="17"/>
              </w:rPr>
              <w:t>Comparison among Fw levels after pooling Opt; eta-squared is the omnibus effect size.</w:t>
            </w:r>
          </w:p>
        </w:tc>
      </w:tr>
      <w:tr>
        <w:trPr>
          <w:cantSplit/>
        </w:trPr>
        <w:tc>
          <w:tcPr>
            <w:tcW w:type="dxa" w:w="2448"/>
            <w:vAlign w:val="center"/>
            <w:tcMar>
              <w:top w:w="100" w:type="dxa"/>
              <w:start w:w="120" w:type="dxa"/>
              <w:bottom w:w="100" w:type="dxa"/>
              <w:end w:w="120" w:type="dxa"/>
            </w:tcMar>
          </w:tcPr>
          <w:p>
            <w:pPr>
              <w:spacing w:after="0"/>
            </w:pPr>
            <w:r>
              <w:rPr>
                <w:sz w:val="17"/>
              </w:rPr>
              <w:t>Tukey Fw</w:t>
            </w:r>
          </w:p>
        </w:tc>
        <w:tc>
          <w:tcPr>
            <w:tcW w:type="dxa" w:w="7920"/>
            <w:vAlign w:val="center"/>
            <w:tcMar>
              <w:top w:w="100" w:type="dxa"/>
              <w:start w:w="120" w:type="dxa"/>
              <w:bottom w:w="100" w:type="dxa"/>
              <w:end w:w="120" w:type="dxa"/>
            </w:tcMar>
          </w:tcPr>
          <w:p>
            <w:pPr>
              <w:spacing w:after="0"/>
            </w:pPr>
            <w:r>
              <w:rPr>
                <w:sz w:val="17"/>
              </w:rPr>
              <w:t>Pairwise Fw comparisons with Bonferroni correction and Hedges g.</w:t>
            </w:r>
          </w:p>
        </w:tc>
      </w:tr>
      <w:tr>
        <w:trPr>
          <w:cantSplit/>
        </w:trPr>
        <w:tc>
          <w:tcPr>
            <w:tcW w:type="dxa" w:w="2448"/>
            <w:vAlign w:val="center"/>
            <w:tcMar>
              <w:top w:w="100" w:type="dxa"/>
              <w:start w:w="120" w:type="dxa"/>
              <w:bottom w:w="100" w:type="dxa"/>
              <w:end w:w="120" w:type="dxa"/>
            </w:tcMar>
            <w:shd w:fill="F7F9FC"/>
          </w:tcPr>
          <w:p>
            <w:pPr>
              <w:spacing w:after="0"/>
            </w:pPr>
            <w:r>
              <w:rPr>
                <w:sz w:val="17"/>
              </w:rPr>
              <w:t>Time-area relation</w:t>
            </w:r>
          </w:p>
        </w:tc>
        <w:tc>
          <w:tcPr>
            <w:tcW w:type="dxa" w:w="7920"/>
            <w:vAlign w:val="center"/>
            <w:tcMar>
              <w:top w:w="100" w:type="dxa"/>
              <w:start w:w="120" w:type="dxa"/>
              <w:bottom w:w="100" w:type="dxa"/>
              <w:end w:w="120" w:type="dxa"/>
            </w:tcMar>
            <w:shd w:fill="F7F9FC"/>
          </w:tcPr>
          <w:p>
            <w:pPr>
              <w:spacing w:after="0"/>
            </w:pPr>
            <w:r>
              <w:rPr>
                <w:sz w:val="17"/>
              </w:rPr>
              <w:t>Pearson, Spearman, linear slope, selected model, and conclusion for t_expl versus Atot.</w:t>
            </w:r>
          </w:p>
        </w:tc>
      </w:tr>
      <w:tr>
        <w:trPr>
          <w:cantSplit/>
        </w:trPr>
        <w:tc>
          <w:tcPr>
            <w:tcW w:type="dxa" w:w="2448"/>
            <w:vAlign w:val="center"/>
            <w:tcMar>
              <w:top w:w="100" w:type="dxa"/>
              <w:start w:w="120" w:type="dxa"/>
              <w:bottom w:w="100" w:type="dxa"/>
              <w:end w:w="120" w:type="dxa"/>
            </w:tcMar>
          </w:tcPr>
          <w:p>
            <w:pPr>
              <w:spacing w:after="0"/>
            </w:pPr>
            <w:r>
              <w:rPr>
                <w:sz w:val="17"/>
              </w:rPr>
              <w:t>Time-area models</w:t>
            </w:r>
          </w:p>
        </w:tc>
        <w:tc>
          <w:tcPr>
            <w:tcW w:type="dxa" w:w="7920"/>
            <w:vAlign w:val="center"/>
            <w:tcMar>
              <w:top w:w="100" w:type="dxa"/>
              <w:start w:w="120" w:type="dxa"/>
              <w:bottom w:w="100" w:type="dxa"/>
              <w:end w:w="120" w:type="dxa"/>
            </w:tcMar>
          </w:tcPr>
          <w:p>
            <w:pPr>
              <w:spacing w:after="0"/>
            </w:pPr>
            <w:r>
              <w:rPr>
                <w:sz w:val="17"/>
              </w:rPr>
              <w:t>Diagnostics for linear, quadratic, logarithmic, square-root, and saturating-exponential models.</w:t>
            </w:r>
          </w:p>
        </w:tc>
      </w:tr>
      <w:tr>
        <w:trPr>
          <w:cantSplit/>
        </w:trPr>
        <w:tc>
          <w:tcPr>
            <w:tcW w:type="dxa" w:w="2448"/>
            <w:vAlign w:val="center"/>
            <w:tcMar>
              <w:top w:w="100" w:type="dxa"/>
              <w:start w:w="120" w:type="dxa"/>
              <w:bottom w:w="100" w:type="dxa"/>
              <w:end w:w="120" w:type="dxa"/>
            </w:tcMar>
            <w:shd w:fill="F7F9FC"/>
          </w:tcPr>
          <w:p>
            <w:pPr>
              <w:spacing w:after="0"/>
            </w:pPr>
            <w:r>
              <w:rPr>
                <w:sz w:val="17"/>
              </w:rPr>
              <w:t>Notes</w:t>
            </w:r>
          </w:p>
        </w:tc>
        <w:tc>
          <w:tcPr>
            <w:tcW w:type="dxa" w:w="7920"/>
            <w:vAlign w:val="center"/>
            <w:tcMar>
              <w:top w:w="100" w:type="dxa"/>
              <w:start w:w="120" w:type="dxa"/>
              <w:bottom w:w="100" w:type="dxa"/>
              <w:end w:w="120" w:type="dxa"/>
            </w:tcMar>
            <w:shd w:fill="F7F9FC"/>
          </w:tcPr>
          <w:p>
            <w:pPr>
              <w:spacing w:after="0"/>
            </w:pPr>
            <w:r>
              <w:rPr>
                <w:sz w:val="17"/>
              </w:rPr>
              <w:t>Definitions and interpretation guidance.</w:t>
            </w:r>
          </w:p>
        </w:tc>
      </w:tr>
    </w:tbl>
    <w:p>
      <w:pPr>
        <w:spacing w:after="0"/>
      </w:pPr>
    </w:p>
    <w:p>
      <w:pPr>
        <w:pStyle w:val="Heading2"/>
      </w:pPr>
      <w:r>
        <w:t>9.1 Effect sizes</w:t>
      </w:r>
    </w:p>
    <w:p>
      <w:pPr>
        <w:pStyle w:val="ListBullet"/>
      </w:pPr>
      <w:r>
        <w:t>ANOVA uses eta-squared: the proportion of total variance associated with group membership.</w:t>
      </w:r>
    </w:p>
    <w:p>
      <w:pPr>
        <w:pStyle w:val="ListBullet"/>
      </w:pPr>
      <w:r>
        <w:t>Welch and Tukey-Kramer comparisons use Hedges g: a bias-corrected standardized difference between two means.</w:t>
      </w:r>
    </w:p>
    <w:p>
      <w:pPr>
        <w:pStyle w:val="ListBullet"/>
      </w:pPr>
      <w:r>
        <w:t>Statistical significance and practical magnitude are complementary; report p-values and effect sizes together.</w:t>
      </w:r>
    </w:p>
    <w:p>
      <w:pPr>
        <w:pStyle w:val="Heading2"/>
      </w:pPr>
      <w:r>
        <w:t>9.2 Time-area relationship</w:t>
      </w:r>
    </w:p>
    <w:p>
      <w:r>
        <w:t>The software compares linear, quadratic, logarithmic, square-root, and saturating-exponential models using AICc. A nonlinear model is selected only when its advantage is strong enough; otherwise the simpler linear description is retained.</w:t>
      </w:r>
    </w:p>
    <w:p>
      <w:pPr>
        <w:pStyle w:val="Heading1"/>
      </w:pPr>
      <w:r>
        <w:t>10. Reproducibility checklist</w:t>
      </w:r>
    </w:p>
    <w:p>
      <w:pPr>
        <w:pStyle w:val="ListBullet"/>
      </w:pPr>
      <w:r>
        <w:t>Archive the complete distribution and requirements.txt.</w:t>
      </w:r>
    </w:p>
    <w:p>
      <w:pPr>
        <w:pStyle w:val="ListBullet"/>
      </w:pPr>
      <w:r>
        <w:t>Record every configuration value and the software version.</w:t>
      </w:r>
    </w:p>
    <w:p>
      <w:pPr>
        <w:pStyle w:val="ListBullet"/>
      </w:pPr>
      <w:r>
        <w:t>Preserve the initial seed and number of buildings.</w:t>
      </w:r>
    </w:p>
    <w:p>
      <w:pPr>
        <w:pStyle w:val="ListBullet"/>
      </w:pPr>
      <w:r>
        <w:t>Use the same buildings for all conditions being compared.</w:t>
      </w:r>
    </w:p>
    <w:p>
      <w:pPr>
        <w:pStyle w:val="ListBullet"/>
      </w:pPr>
      <w:r>
        <w:t>Copy or rename output files before running another experiment in the same folder.</w:t>
      </w:r>
    </w:p>
    <w:p>
      <w:pPr>
        <w:pStyle w:val="ListBullet"/>
      </w:pPr>
      <w:r>
        <w:t>Report the metrics, statistical tests, multiple-comparison correction, and effect sizes.</w:t>
      </w:r>
    </w:p>
    <w:p>
      <w:pPr>
        <w:pStyle w:val="Heading1"/>
      </w:pPr>
      <w:r>
        <w:t>11. Troubleshooting</w:t>
      </w:r>
    </w:p>
    <w:tbl>
      <w:tblPr>
        <w:tblStyle w:val="LightShading-Accent1"/>
        <w:tblW w:type="auto" w:w="0"/>
        <w:jc w:val="center"/>
        <w:tblLook w:firstColumn="1" w:firstRow="1" w:lastColumn="0" w:lastRow="0" w:noHBand="0" w:noVBand="1" w:val="04A0"/>
      </w:tblPr>
      <w:tblGrid>
        <w:gridCol w:w="4831"/>
        <w:gridCol w:w="4831"/>
      </w:tblGrid>
      <w:tr>
        <w:trPr>
          <w:tblHeader w:val="true"/>
        </w:trPr>
        <w:tc>
          <w:tcPr>
            <w:tcW w:type="dxa" w:w="3240"/>
            <w:vAlign w:val="center"/>
            <w:shd w:fill="2F5597"/>
            <w:tcMar>
              <w:top w:w="100" w:type="dxa"/>
              <w:start w:w="120" w:type="dxa"/>
              <w:bottom w:w="100" w:type="dxa"/>
              <w:end w:w="120" w:type="dxa"/>
            </w:tcMar>
          </w:tcPr>
          <w:p>
            <w:r>
              <w:rPr>
                <w:b/>
                <w:color w:val="FFFFFF"/>
                <w:sz w:val="17"/>
              </w:rPr>
              <w:t>Problem</w:t>
            </w:r>
          </w:p>
        </w:tc>
        <w:tc>
          <w:tcPr>
            <w:tcW w:type="dxa" w:w="7128"/>
            <w:vAlign w:val="center"/>
            <w:shd w:fill="2F5597"/>
            <w:tcMar>
              <w:top w:w="100" w:type="dxa"/>
              <w:start w:w="120" w:type="dxa"/>
              <w:bottom w:w="100" w:type="dxa"/>
              <w:end w:w="120" w:type="dxa"/>
            </w:tcMar>
          </w:tcPr>
          <w:p>
            <w:r>
              <w:rPr>
                <w:b/>
                <w:color w:val="FFFFFF"/>
                <w:sz w:val="17"/>
              </w:rPr>
              <w:t>Action</w:t>
            </w:r>
          </w:p>
        </w:tc>
      </w:tr>
      <w:tr>
        <w:trPr>
          <w:cantSplit/>
        </w:trPr>
        <w:tc>
          <w:tcPr>
            <w:tcW w:type="dxa" w:w="3240"/>
            <w:vAlign w:val="center"/>
            <w:tcMar>
              <w:top w:w="100" w:type="dxa"/>
              <w:start w:w="120" w:type="dxa"/>
              <w:bottom w:w="100" w:type="dxa"/>
              <w:end w:w="120" w:type="dxa"/>
            </w:tcMar>
          </w:tcPr>
          <w:p>
            <w:pPr>
              <w:spacing w:after="0"/>
            </w:pPr>
            <w:r>
              <w:rPr>
                <w:sz w:val="17"/>
              </w:rPr>
              <w:t>Pygame is not installed</w:t>
            </w:r>
          </w:p>
        </w:tc>
        <w:tc>
          <w:tcPr>
            <w:tcW w:type="dxa" w:w="7128"/>
            <w:vAlign w:val="center"/>
            <w:tcMar>
              <w:top w:w="100" w:type="dxa"/>
              <w:start w:w="120" w:type="dxa"/>
              <w:bottom w:w="100" w:type="dxa"/>
              <w:end w:w="120" w:type="dxa"/>
            </w:tcMar>
          </w:tcPr>
          <w:p>
            <w:pPr>
              <w:spacing w:after="0"/>
            </w:pPr>
            <w:r>
              <w:rPr>
                <w:sz w:val="17"/>
              </w:rPr>
              <w:t>Run python -m pip install pygame-ce or reinstall requirements.txt.</w:t>
            </w:r>
          </w:p>
        </w:tc>
      </w:tr>
      <w:tr>
        <w:trPr>
          <w:cantSplit/>
        </w:trPr>
        <w:tc>
          <w:tcPr>
            <w:tcW w:type="dxa" w:w="3240"/>
            <w:vAlign w:val="center"/>
            <w:tcMar>
              <w:top w:w="100" w:type="dxa"/>
              <w:start w:w="120" w:type="dxa"/>
              <w:bottom w:w="100" w:type="dxa"/>
              <w:end w:w="120" w:type="dxa"/>
            </w:tcMar>
            <w:shd w:fill="F7F9FC"/>
          </w:tcPr>
          <w:p>
            <w:pPr>
              <w:spacing w:after="0"/>
            </w:pPr>
            <w:r>
              <w:rPr>
                <w:sz w:val="17"/>
              </w:rPr>
              <w:t>The 3D view does not open</w:t>
            </w:r>
          </w:p>
        </w:tc>
        <w:tc>
          <w:tcPr>
            <w:tcW w:type="dxa" w:w="7128"/>
            <w:vAlign w:val="center"/>
            <w:tcMar>
              <w:top w:w="100" w:type="dxa"/>
              <w:start w:w="120" w:type="dxa"/>
              <w:bottom w:w="100" w:type="dxa"/>
              <w:end w:w="120" w:type="dxa"/>
            </w:tcMar>
            <w:shd w:fill="F7F9FC"/>
          </w:tcPr>
          <w:p>
            <w:pPr>
              <w:spacing w:after="0"/>
            </w:pPr>
            <w:r>
              <w:rPr>
                <w:sz w:val="17"/>
              </w:rPr>
              <w:t>Install Panda3D, update the graphics driver, and test outside remote desktop.</w:t>
            </w:r>
          </w:p>
        </w:tc>
      </w:tr>
      <w:tr>
        <w:trPr>
          <w:cantSplit/>
        </w:trPr>
        <w:tc>
          <w:tcPr>
            <w:tcW w:type="dxa" w:w="3240"/>
            <w:vAlign w:val="center"/>
            <w:tcMar>
              <w:top w:w="100" w:type="dxa"/>
              <w:start w:w="120" w:type="dxa"/>
              <w:bottom w:w="100" w:type="dxa"/>
              <w:end w:w="120" w:type="dxa"/>
            </w:tcMar>
          </w:tcPr>
          <w:p>
            <w:pPr>
              <w:spacing w:after="0"/>
            </w:pPr>
            <w:r>
              <w:rPr>
                <w:sz w:val="17"/>
              </w:rPr>
              <w:t>A building cannot be initialized</w:t>
            </w:r>
          </w:p>
        </w:tc>
        <w:tc>
          <w:tcPr>
            <w:tcW w:type="dxa" w:w="7128"/>
            <w:vAlign w:val="center"/>
            <w:tcMar>
              <w:top w:w="100" w:type="dxa"/>
              <w:start w:w="120" w:type="dxa"/>
              <w:bottom w:w="100" w:type="dxa"/>
              <w:end w:w="120" w:type="dxa"/>
            </w:tcMar>
          </w:tcPr>
          <w:p>
            <w:pPr>
              <w:spacing w:after="0"/>
            </w:pPr>
            <w:r>
              <w:rPr>
                <w:sz w:val="17"/>
              </w:rPr>
              <w:t>Reduce object density or try another seed; structural errors are reported explicitly.</w:t>
            </w:r>
          </w:p>
        </w:tc>
      </w:tr>
      <w:tr>
        <w:trPr>
          <w:cantSplit/>
        </w:trPr>
        <w:tc>
          <w:tcPr>
            <w:tcW w:type="dxa" w:w="3240"/>
            <w:vAlign w:val="center"/>
            <w:tcMar>
              <w:top w:w="100" w:type="dxa"/>
              <w:start w:w="120" w:type="dxa"/>
              <w:bottom w:w="100" w:type="dxa"/>
              <w:end w:w="120" w:type="dxa"/>
            </w:tcMar>
            <w:shd w:fill="F7F9FC"/>
          </w:tcPr>
          <w:p>
            <w:pPr>
              <w:spacing w:after="0"/>
            </w:pPr>
            <w:r>
              <w:rPr>
                <w:sz w:val="17"/>
              </w:rPr>
              <w:t>The program is slow between buildings</w:t>
            </w:r>
          </w:p>
        </w:tc>
        <w:tc>
          <w:tcPr>
            <w:tcW w:type="dxa" w:w="7128"/>
            <w:vAlign w:val="center"/>
            <w:tcMar>
              <w:top w:w="100" w:type="dxa"/>
              <w:start w:w="120" w:type="dxa"/>
              <w:bottom w:w="100" w:type="dxa"/>
              <w:end w:w="120" w:type="dxa"/>
            </w:tcMar>
            <w:shd w:fill="F7F9FC"/>
          </w:tcPr>
          <w:p>
            <w:pPr>
              <w:spacing w:after="0"/>
            </w:pPr>
            <w:r>
              <w:rPr>
                <w:sz w:val="17"/>
              </w:rPr>
              <w:t>The start diagnostic is validating the next building. Watch the progress strip or enable Max Turbo.</w:t>
            </w:r>
          </w:p>
        </w:tc>
      </w:tr>
      <w:tr>
        <w:trPr>
          <w:cantSplit/>
        </w:trPr>
        <w:tc>
          <w:tcPr>
            <w:tcW w:type="dxa" w:w="3240"/>
            <w:vAlign w:val="center"/>
            <w:tcMar>
              <w:top w:w="100" w:type="dxa"/>
              <w:start w:w="120" w:type="dxa"/>
              <w:bottom w:w="100" w:type="dxa"/>
              <w:end w:w="120" w:type="dxa"/>
            </w:tcMar>
          </w:tcPr>
          <w:p>
            <w:pPr>
              <w:spacing w:after="0"/>
            </w:pPr>
            <w:r>
              <w:rPr>
                <w:sz w:val="17"/>
              </w:rPr>
              <w:t>Inferential tests are not meaningful</w:t>
            </w:r>
          </w:p>
        </w:tc>
        <w:tc>
          <w:tcPr>
            <w:tcW w:type="dxa" w:w="7128"/>
            <w:vAlign w:val="center"/>
            <w:tcMar>
              <w:top w:w="100" w:type="dxa"/>
              <w:start w:w="120" w:type="dxa"/>
              <w:bottom w:w="100" w:type="dxa"/>
              <w:end w:w="120" w:type="dxa"/>
            </w:tcMar>
          </w:tcPr>
          <w:p>
            <w:pPr>
              <w:spacing w:after="0"/>
            </w:pPr>
            <w:r>
              <w:rPr>
                <w:sz w:val="17"/>
              </w:rPr>
              <w:t>Increase the number of buildings so each condition has repeated observations.</w:t>
            </w:r>
          </w:p>
        </w:tc>
      </w:tr>
      <w:tr>
        <w:trPr>
          <w:cantSplit/>
        </w:trPr>
        <w:tc>
          <w:tcPr>
            <w:tcW w:type="dxa" w:w="3240"/>
            <w:vAlign w:val="center"/>
            <w:tcMar>
              <w:top w:w="100" w:type="dxa"/>
              <w:start w:w="120" w:type="dxa"/>
              <w:bottom w:w="100" w:type="dxa"/>
              <w:end w:w="120" w:type="dxa"/>
            </w:tcMar>
            <w:shd w:fill="F7F9FC"/>
          </w:tcPr>
          <w:p>
            <w:pPr>
              <w:spacing w:after="0"/>
            </w:pPr>
            <w:r>
              <w:rPr>
                <w:sz w:val="17"/>
              </w:rPr>
              <w:t>Files are overwritten</w:t>
            </w:r>
          </w:p>
        </w:tc>
        <w:tc>
          <w:tcPr>
            <w:tcW w:type="dxa" w:w="7128"/>
            <w:vAlign w:val="center"/>
            <w:tcMar>
              <w:top w:w="100" w:type="dxa"/>
              <w:start w:w="120" w:type="dxa"/>
              <w:bottom w:w="100" w:type="dxa"/>
              <w:end w:w="120" w:type="dxa"/>
            </w:tcMar>
            <w:shd w:fill="F7F9FC"/>
          </w:tcPr>
          <w:p>
            <w:pPr>
              <w:spacing w:after="0"/>
            </w:pPr>
            <w:r>
              <w:rPr>
                <w:sz w:val="17"/>
              </w:rPr>
              <w:t>Move or rename CSV/XLSX outputs before the next experiment.</w:t>
            </w:r>
          </w:p>
        </w:tc>
      </w:tr>
    </w:tbl>
    <w:p>
      <w:pPr>
        <w:spacing w:after="0"/>
      </w:pPr>
    </w:p>
    <w:p>
      <w:pPr>
        <w:pStyle w:val="Heading1"/>
      </w:pPr>
      <w:r>
        <w:t>12. File structure</w:t>
      </w:r>
    </w:p>
    <w:p>
      <w:r>
        <w:t>main.py orchestrates the experiment; gui.py implements the Tk, Pygame, and Matplotlib interfaces; simulation.py contains run state and metrics; building.py generates environments; planner.py selects frontiers; robot.py implements sensing and motion; camera3d.py renders the optional first-person view; statistical_analysis.py creates analyses and Excel exports; i18n.py contains translations; welcome.py implements the bilingual start screen.</w:t>
      </w:r>
    </w:p>
    <w:sectPr w:rsidR="00FC693F" w:rsidRPr="0006063C" w:rsidSect="00034616">
      <w:footerReference w:type="default" r:id="rId9"/>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8"/>
        <w:sz w:val="16"/>
      </w:rPr>
      <w:t xml:space="preserve">SAR simulation environment -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F5597"/>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