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9C0B" w14:textId="77777777" w:rsidR="00736066" w:rsidRDefault="00736066" w:rsidP="00DF22CD">
      <w:r w:rsidRPr="00DF22CD">
        <w:t xml:space="preserve"> </w:t>
      </w:r>
    </w:p>
    <w:p w14:paraId="6B7437F9" w14:textId="77777777" w:rsidR="00736066" w:rsidRDefault="00736066" w:rsidP="00DF22CD">
      <w:pPr>
        <w:pStyle w:val="Heading1"/>
      </w:pPr>
      <w:bookmarkStart w:id="0" w:name="_Toc340053862"/>
      <w:r>
        <w:t>Messages from the ADF to the host system</w:t>
      </w:r>
      <w:bookmarkEnd w:id="0"/>
    </w:p>
    <w:p w14:paraId="64942D76" w14:textId="77777777" w:rsidR="00736066" w:rsidRDefault="00736066" w:rsidP="00DF22CD">
      <w:pPr>
        <w:pStyle w:val="Heading2"/>
      </w:pPr>
      <w:bookmarkStart w:id="1" w:name="_Ref172310101"/>
      <w:bookmarkStart w:id="2" w:name="_Toc340053863"/>
      <w:r>
        <w:t>Hardware Status Report</w:t>
      </w:r>
      <w:bookmarkEnd w:id="1"/>
      <w:bookmarkEnd w:id="2"/>
    </w:p>
    <w:p w14:paraId="23A0F830" w14:textId="77777777" w:rsidR="00736066" w:rsidRDefault="00736066" w:rsidP="00DF22CD"/>
    <w:p w14:paraId="715E07A0" w14:textId="77777777" w:rsidR="00736066" w:rsidRPr="00FA4BAA" w:rsidRDefault="00736066" w:rsidP="00DF22CD">
      <w:r>
        <w:t xml:space="preserve">This message is sent by the ADF as a response to a status request by the </w:t>
      </w:r>
      <w:r w:rsidRPr="00FA4BAA">
        <w:t xml:space="preserve">host (see section </w:t>
      </w:r>
      <w:r w:rsidRPr="00FA4BAA">
        <w:fldChar w:fldCharType="begin"/>
      </w:r>
      <w:r w:rsidRPr="00FA4BAA">
        <w:instrText xml:space="preserve"> REF _Ref324329209 \r \h </w:instrText>
      </w:r>
      <w:r w:rsidRPr="00FA4BAA">
        <w:fldChar w:fldCharType="separate"/>
      </w:r>
      <w:r w:rsidRPr="00FA4BAA">
        <w:t>3.2</w:t>
      </w:r>
      <w:r w:rsidRPr="00FA4BAA">
        <w:fldChar w:fldCharType="end"/>
      </w:r>
      <w:r w:rsidRPr="00FA4BAA">
        <w:t xml:space="preserve">) or during a failure of the self-test (see section </w:t>
      </w:r>
      <w:r w:rsidRPr="00FA4BAA">
        <w:fldChar w:fldCharType="begin"/>
      </w:r>
      <w:r w:rsidRPr="00FA4BAA">
        <w:instrText xml:space="preserve"> REF _Ref244944658 \r \h </w:instrText>
      </w:r>
      <w:r w:rsidRPr="00FA4BAA">
        <w:fldChar w:fldCharType="separate"/>
      </w:r>
      <w:r w:rsidRPr="00FA4BAA">
        <w:t>2.7</w:t>
      </w:r>
      <w:r w:rsidRPr="00FA4BAA">
        <w:fldChar w:fldCharType="end"/>
      </w:r>
      <w:r w:rsidRPr="00FA4BAA">
        <w:t>).  A failure is indicated by a zero at the appropriate bit position.</w:t>
      </w:r>
    </w:p>
    <w:p w14:paraId="3F577C30" w14:textId="77777777" w:rsidR="00736066" w:rsidRDefault="00736066" w:rsidP="00DF22CD"/>
    <w:p w14:paraId="1A44090B" w14:textId="77777777" w:rsidR="00736066" w:rsidRDefault="00736066" w:rsidP="00DF22CD">
      <w:r>
        <w:t>The message is formatted as follows:</w:t>
      </w:r>
    </w:p>
    <w:p w14:paraId="3F1BA909" w14:textId="77777777" w:rsidR="00736066" w:rsidRDefault="00736066" w:rsidP="00DF22CD"/>
    <w:p w14:paraId="2330A765" w14:textId="77777777" w:rsidR="00736066" w:rsidRPr="00FA4BAA" w:rsidRDefault="00736066" w:rsidP="00D7520D">
      <w:pPr>
        <w:pStyle w:val="wDITAcodeblock"/>
      </w:pPr>
      <w:r w:rsidRPr="00FA4BAA">
        <w:t>$h&lt;8 hex digits&gt;</w:t>
      </w:r>
    </w:p>
    <w:p w14:paraId="1C92A177" w14:textId="77777777" w:rsidR="00736066" w:rsidRDefault="00736066" w:rsidP="00DF22CD"/>
    <w:p w14:paraId="4049088E" w14:textId="77777777" w:rsidR="00736066" w:rsidRDefault="00736066" w:rsidP="00DF22CD">
      <w:r>
        <w:t>The bit definitions from low bit to high bit are:</w:t>
      </w:r>
    </w:p>
    <w:p w14:paraId="4CD9FD83" w14:textId="77777777" w:rsidR="00736066" w:rsidRDefault="00736066" w:rsidP="00DF22CD"/>
    <w:p w14:paraId="61DF60D5" w14:textId="77777777" w:rsidR="00736066" w:rsidRDefault="00736066" w:rsidP="00DF22CD">
      <w:r w:rsidRPr="00D7520D">
        <w:rPr>
          <w:rStyle w:val="wDITAitalic"/>
        </w:rPr>
        <w:t>0x00000001</w:t>
      </w:r>
      <w:r>
        <w:t xml:space="preserve"> – if clear, indicates a failure of the primary analog board (analog ADF systems only)</w:t>
      </w:r>
    </w:p>
    <w:p w14:paraId="5192A7D7" w14:textId="77777777" w:rsidR="00736066" w:rsidRDefault="00736066" w:rsidP="00DF22CD">
      <w:pPr>
        <w:pStyle w:val="wDITAorderedlist"/>
        <w:numPr>
          <w:ilvl w:val="0"/>
          <w:numId w:val="0"/>
        </w:numPr>
      </w:pPr>
    </w:p>
    <w:p w14:paraId="023DC27E" w14:textId="77777777" w:rsidR="00736066" w:rsidRDefault="00736066" w:rsidP="00DF22CD">
      <w:pPr>
        <w:pStyle w:val="wDITAorderedlist"/>
        <w:numPr>
          <w:ilvl w:val="0"/>
          <w:numId w:val="0"/>
        </w:numPr>
      </w:pPr>
    </w:p>
    <w:p w14:paraId="165B1805" w14:textId="77777777" w:rsidR="00736066" w:rsidRDefault="00736066" w:rsidP="00DF22CD">
      <w:pPr>
        <w:pStyle w:val="Heading3"/>
      </w:pPr>
      <w:bookmarkStart w:id="3" w:name="_Toc340053866"/>
      <w:r>
        <w:t>Vehicle, Unattended Ground Sensor (UGS), Robot, and Helmet</w:t>
      </w:r>
      <w:bookmarkEnd w:id="3"/>
    </w:p>
    <w:p w14:paraId="3FB52CCB" w14:textId="77777777" w:rsidR="00736066" w:rsidRPr="00FA4BAA" w:rsidRDefault="00736066" w:rsidP="00DF22CD"/>
    <w:p w14:paraId="24844256" w14:textId="77777777" w:rsidR="00736066" w:rsidRDefault="00736066" w:rsidP="00D7520D">
      <w:pPr>
        <w:pStyle w:val="wDITAcodeblock"/>
      </w:pPr>
      <w:r w:rsidRPr="00FA4BAA">
        <w:t>$q[,&lt;systemID&gt;,]&lt;q0&gt;,&lt;q1&gt;,&lt;q2&gt;,&lt;q3&gt;</w:t>
      </w:r>
    </w:p>
    <w:p w14:paraId="00F1A7E0" w14:textId="77777777" w:rsidR="00736066" w:rsidRDefault="00736066" w:rsidP="00DF22CD"/>
    <w:p w14:paraId="51C1EC8E" w14:textId="77777777" w:rsidR="00736066" w:rsidRDefault="00736066" w:rsidP="00DF22CD">
      <w:r>
        <w:t xml:space="preserve">Where </w:t>
      </w:r>
      <w:r w:rsidRPr="00D7520D">
        <w:rPr>
          <w:rStyle w:val="wDITAitalic"/>
        </w:rPr>
        <w:t>&lt;q0&gt;,&lt;q1&gt;,&lt;q2&gt;,&lt;q3&gt;</w:t>
      </w:r>
      <w:r w:rsidRPr="00FA4BAA">
        <w:t xml:space="preserve"> are the quaternion terms.  Divide all terms by </w:t>
      </w:r>
      <w:r w:rsidRPr="00D7520D">
        <w:rPr>
          <w:rStyle w:val="wDITAitalic"/>
        </w:rPr>
        <w:t>8192</w:t>
      </w:r>
      <w:r w:rsidRPr="00FA4BAA">
        <w:t xml:space="preserve"> to get a unit quaternion.</w:t>
      </w:r>
    </w:p>
    <w:p w14:paraId="179CD590" w14:textId="77777777" w:rsidR="00736066" w:rsidRDefault="00736066" w:rsidP="00DF22CD"/>
    <w:p w14:paraId="76B9A94F" w14:textId="77777777" w:rsidR="00736066" w:rsidRPr="00FA4BAA" w:rsidRDefault="00736066" w:rsidP="00DF22CD"/>
    <w:p w14:paraId="4BA13E26" w14:textId="77777777" w:rsidR="00736066" w:rsidRDefault="00736066" w:rsidP="00DF22CD">
      <w:pPr>
        <w:pStyle w:val="Heading3"/>
      </w:pPr>
      <w:bookmarkStart w:id="4" w:name="_Ref284236812"/>
      <w:bookmarkStart w:id="5" w:name="_Toc340053867"/>
      <w:r>
        <w:t>Dismount</w:t>
      </w:r>
      <w:bookmarkEnd w:id="4"/>
      <w:bookmarkEnd w:id="5"/>
    </w:p>
    <w:p w14:paraId="03DA1ACA" w14:textId="77777777" w:rsidR="00736066" w:rsidRPr="0074588A" w:rsidRDefault="00736066" w:rsidP="00DF22CD"/>
    <w:p w14:paraId="614268D5" w14:textId="77777777" w:rsidR="00736066" w:rsidRDefault="00736066" w:rsidP="00DF22CD">
      <w:r>
        <w:t>The dismount unit has a different format for quaternion messages.</w:t>
      </w:r>
    </w:p>
    <w:p w14:paraId="4BBCAF16" w14:textId="77777777" w:rsidR="00736066" w:rsidRPr="00FA4BAA" w:rsidRDefault="00736066" w:rsidP="00DF22CD"/>
    <w:p w14:paraId="2095B490" w14:textId="77777777" w:rsidR="00736066" w:rsidRDefault="00736066" w:rsidP="00D7520D">
      <w:pPr>
        <w:pStyle w:val="wDITAcodeblock"/>
      </w:pPr>
      <w:r w:rsidRPr="00FA4BAA">
        <w:t>$q[,&lt;systemID,]&lt;q0&gt;,&lt;q1&gt;,&lt;q2&gt;,&lt;q3&gt;,&lt;q4&gt;,&lt;q5&gt;,&lt;q6&gt;,&lt;q7&gt;,&lt;q8&gt;,&lt;q9&gt;,&lt;q10&gt;,&lt;q11&gt;</w:t>
      </w:r>
    </w:p>
    <w:p w14:paraId="2A3CBC6D" w14:textId="77777777" w:rsidR="00736066" w:rsidRDefault="00736066" w:rsidP="00DF22CD"/>
    <w:p w14:paraId="77155957" w14:textId="77777777" w:rsidR="00736066" w:rsidRDefault="00736066" w:rsidP="00DF22CD">
      <w:r>
        <w:t xml:space="preserve">Please note that for many display applications, </w:t>
      </w:r>
      <w:r w:rsidRPr="00D7520D">
        <w:rPr>
          <w:rStyle w:val="wDITAitalic"/>
        </w:rPr>
        <w:t>&lt;q4&gt;,&lt;q5&gt;,&lt;q6&gt;,&lt;q7&gt;,&lt;q8&gt;,&lt;q9&gt;,&lt;q10&gt;,&lt;q11&gt;</w:t>
      </w:r>
      <w:r w:rsidRPr="00FA4BAA">
        <w:t xml:space="preserve"> </w:t>
      </w:r>
      <w:r>
        <w:t> can be ignored.  These fields include information for the angular rate sensor and digital compass.   More information will be provided in a future release of this document.</w:t>
      </w:r>
    </w:p>
    <w:p w14:paraId="09116435" w14:textId="77777777" w:rsidR="00736066" w:rsidRDefault="00736066" w:rsidP="00DF22CD"/>
    <w:p w14:paraId="7B3DF3A2" w14:textId="77777777" w:rsidR="00736066" w:rsidRPr="00FA4BAA" w:rsidRDefault="00736066" w:rsidP="00DF22CD">
      <w:r>
        <w:t xml:space="preserve">Where </w:t>
      </w:r>
      <w:r w:rsidRPr="00D7520D">
        <w:rPr>
          <w:rStyle w:val="wDITAitalic"/>
        </w:rPr>
        <w:t>&lt;q0&gt;,&lt;q1&gt;,&lt;q2&gt;,&lt;q3&gt;</w:t>
      </w:r>
      <w:r w:rsidRPr="00FA4BAA">
        <w:t xml:space="preserve"> are the quaternion terms.  Divide all terms by </w:t>
      </w:r>
      <w:r w:rsidRPr="00D7520D">
        <w:rPr>
          <w:rStyle w:val="wDITAitalic"/>
        </w:rPr>
        <w:t>8192</w:t>
      </w:r>
      <w:r w:rsidRPr="00FA4BAA">
        <w:t xml:space="preserve"> to get a unit quaternion.</w:t>
      </w:r>
    </w:p>
    <w:p w14:paraId="12B87867" w14:textId="77777777" w:rsidR="00736066" w:rsidRDefault="00736066" w:rsidP="00DF22CD">
      <w:pPr>
        <w:sectPr w:rsidR="00736066" w:rsidSect="0073606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140C41C" w14:textId="77777777" w:rsidR="00DF22CD" w:rsidRPr="00DF22CD" w:rsidRDefault="00DF22CD" w:rsidP="00DF22CD"/>
    <w:sectPr w:rsidR="00DF22CD" w:rsidRPr="00DF2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D0D"/>
    <w:multiLevelType w:val="multilevel"/>
    <w:tmpl w:val="3FC6FAC8"/>
    <w:lvl w:ilvl="0">
      <w:start w:val="1"/>
      <w:numFmt w:val="none"/>
      <w:pStyle w:val="wDITAnote"/>
      <w:lvlText w:val="%1Note: "/>
      <w:lvlJc w:val="left"/>
      <w:pPr>
        <w:ind w:left="720" w:hanging="360"/>
      </w:pPr>
      <w:rPr>
        <w:rFonts w:hint="default"/>
        <w:b/>
        <w:i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DD77BC1"/>
    <w:multiLevelType w:val="hybridMultilevel"/>
    <w:tmpl w:val="8DB87050"/>
    <w:lvl w:ilvl="0" w:tplc="80F24962">
      <w:start w:val="1"/>
      <w:numFmt w:val="decimal"/>
      <w:pStyle w:val="Ste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8665B"/>
    <w:multiLevelType w:val="hybridMultilevel"/>
    <w:tmpl w:val="F3B878BE"/>
    <w:lvl w:ilvl="0" w:tplc="93F497E2">
      <w:start w:val="1"/>
      <w:numFmt w:val="bullet"/>
      <w:pStyle w:val="wDITAunorder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C3B03"/>
    <w:multiLevelType w:val="hybridMultilevel"/>
    <w:tmpl w:val="52C823BC"/>
    <w:lvl w:ilvl="0" w:tplc="C6A64EA2">
      <w:start w:val="1"/>
      <w:numFmt w:val="decimal"/>
      <w:pStyle w:val="wDITAord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201263">
    <w:abstractNumId w:val="1"/>
  </w:num>
  <w:num w:numId="2" w16cid:durableId="322903764">
    <w:abstractNumId w:val="2"/>
  </w:num>
  <w:num w:numId="3" w16cid:durableId="949748889">
    <w:abstractNumId w:val="3"/>
  </w:num>
  <w:num w:numId="4" w16cid:durableId="1498686904">
    <w:abstractNumId w:val="0"/>
  </w:num>
  <w:num w:numId="5" w16cid:durableId="2048603291">
    <w:abstractNumId w:val="3"/>
    <w:lvlOverride w:ilvl="0">
      <w:startOverride w:val="1"/>
    </w:lvlOverride>
  </w:num>
  <w:num w:numId="6" w16cid:durableId="10453679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ocumentProtection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CD"/>
    <w:rsid w:val="000A6574"/>
    <w:rsid w:val="000B0BB6"/>
    <w:rsid w:val="001A19BA"/>
    <w:rsid w:val="0028786A"/>
    <w:rsid w:val="002B24BC"/>
    <w:rsid w:val="002E23EC"/>
    <w:rsid w:val="0033661C"/>
    <w:rsid w:val="0036606D"/>
    <w:rsid w:val="00393D44"/>
    <w:rsid w:val="0044303A"/>
    <w:rsid w:val="0045631A"/>
    <w:rsid w:val="00480D51"/>
    <w:rsid w:val="004B183F"/>
    <w:rsid w:val="00527915"/>
    <w:rsid w:val="005318E2"/>
    <w:rsid w:val="005A4E66"/>
    <w:rsid w:val="00667F2B"/>
    <w:rsid w:val="006901AD"/>
    <w:rsid w:val="00695077"/>
    <w:rsid w:val="006D32E5"/>
    <w:rsid w:val="00736066"/>
    <w:rsid w:val="00772308"/>
    <w:rsid w:val="00795F35"/>
    <w:rsid w:val="007E1FBB"/>
    <w:rsid w:val="00835ADE"/>
    <w:rsid w:val="008D62DA"/>
    <w:rsid w:val="00900B4D"/>
    <w:rsid w:val="00AC0D84"/>
    <w:rsid w:val="00AE0A3F"/>
    <w:rsid w:val="00B75D9B"/>
    <w:rsid w:val="00BB26EA"/>
    <w:rsid w:val="00C2543E"/>
    <w:rsid w:val="00D12C74"/>
    <w:rsid w:val="00D16150"/>
    <w:rsid w:val="00D7520D"/>
    <w:rsid w:val="00D80EE6"/>
    <w:rsid w:val="00DE28E6"/>
    <w:rsid w:val="00DF22CD"/>
    <w:rsid w:val="00E06725"/>
    <w:rsid w:val="00E352F6"/>
    <w:rsid w:val="00E473E9"/>
    <w:rsid w:val="00E8505B"/>
    <w:rsid w:val="00EB090A"/>
    <w:rsid w:val="00FD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5C7B"/>
  <w15:chartTrackingRefBased/>
  <w15:docId w15:val="{EB8DB72E-FE48-480D-9C99-617226B8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DF22CD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qFormat/>
    <w:rsid w:val="0044303A"/>
    <w:pPr>
      <w:keepNext/>
      <w:keepLines/>
      <w:pBdr>
        <w:bottom w:val="single" w:sz="12" w:space="6" w:color="8D1313"/>
      </w:pBdr>
      <w:spacing w:before="120" w:after="240"/>
      <w:outlineLvl w:val="0"/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4303A"/>
    <w:pPr>
      <w:keepNext/>
      <w:keepLines/>
      <w:spacing w:before="120" w:after="60"/>
      <w:outlineLvl w:val="1"/>
    </w:pPr>
    <w:rPr>
      <w:rFonts w:ascii="Century Gothic" w:eastAsiaTheme="majorEastAsia" w:hAnsi="Century Gothic" w:cstheme="majorBidi"/>
      <w:color w:val="8D13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4303A"/>
    <w:pPr>
      <w:keepNext/>
      <w:keepLines/>
      <w:spacing w:before="40"/>
      <w:outlineLvl w:val="2"/>
    </w:pPr>
    <w:rPr>
      <w:rFonts w:ascii="Century Gothic" w:eastAsiaTheme="majorEastAsia" w:hAnsi="Century Gothic" w:cstheme="majorBidi"/>
      <w:color w:val="8D131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3A"/>
    <w:pPr>
      <w:keepNext/>
      <w:keepLines/>
      <w:spacing w:before="40"/>
      <w:outlineLvl w:val="3"/>
    </w:pPr>
    <w:rPr>
      <w:rFonts w:ascii="Century Gothic" w:eastAsiaTheme="majorEastAsia" w:hAnsi="Century Gothic" w:cstheme="majorBidi"/>
      <w:iCs/>
      <w:color w:val="8D131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Name"/>
    <w:basedOn w:val="Normal"/>
    <w:link w:val="CompanyNameChar"/>
    <w:semiHidden/>
    <w:qFormat/>
    <w:rsid w:val="0044303A"/>
    <w:pPr>
      <w:pBdr>
        <w:top w:val="single" w:sz="48" w:space="1" w:color="8D1313"/>
        <w:left w:val="single" w:sz="48" w:space="4" w:color="8D1313"/>
        <w:bottom w:val="single" w:sz="48" w:space="1" w:color="8D1313"/>
        <w:right w:val="single" w:sz="48" w:space="4" w:color="8D1313"/>
      </w:pBdr>
      <w:shd w:val="clear" w:color="auto" w:fill="8D1313"/>
      <w:spacing w:after="480"/>
    </w:pPr>
    <w:rPr>
      <w:rFonts w:ascii="Century Gothic" w:hAnsi="Century Gothic"/>
      <w:b/>
      <w:smallCaps/>
      <w:color w:val="FFFFFF" w:themeColor="background1"/>
      <w:sz w:val="36"/>
    </w:rPr>
  </w:style>
  <w:style w:type="character" w:customStyle="1" w:styleId="CompanyNameChar">
    <w:name w:val="CompanyName Char"/>
    <w:basedOn w:val="DefaultParagraphFont"/>
    <w:link w:val="CompanyName"/>
    <w:semiHidden/>
    <w:rsid w:val="00900B4D"/>
    <w:rPr>
      <w:rFonts w:ascii="Century Gothic" w:hAnsi="Century Gothic"/>
      <w:b/>
      <w:smallCaps/>
      <w:color w:val="FFFFFF" w:themeColor="background1"/>
      <w:sz w:val="36"/>
      <w:shd w:val="clear" w:color="auto" w:fill="8D1313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44303A"/>
    <w:pPr>
      <w:spacing w:before="4320" w:after="360"/>
      <w:contextualSpacing/>
      <w:jc w:val="right"/>
    </w:pPr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0B4D"/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4303A"/>
    <w:pPr>
      <w:numPr>
        <w:ilvl w:val="1"/>
      </w:numPr>
      <w:spacing w:before="720"/>
      <w:jc w:val="right"/>
    </w:pPr>
    <w:rPr>
      <w:rFonts w:ascii="Century Gothic" w:eastAsiaTheme="minorEastAsia" w:hAnsi="Century Gothic"/>
      <w:color w:val="8D1313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00B4D"/>
    <w:rPr>
      <w:rFonts w:ascii="Century Gothic" w:eastAsiaTheme="minorEastAsia" w:hAnsi="Century Gothic"/>
      <w:color w:val="8D1313"/>
      <w:spacing w:val="15"/>
      <w:sz w:val="28"/>
    </w:rPr>
  </w:style>
  <w:style w:type="paragraph" w:customStyle="1" w:styleId="ContentTitle">
    <w:name w:val="ContentTitle"/>
    <w:semiHidden/>
    <w:qFormat/>
    <w:rsid w:val="0044303A"/>
    <w:pPr>
      <w:pBdr>
        <w:bottom w:val="single" w:sz="12" w:space="6" w:color="8D1313"/>
      </w:pBdr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TOC1">
    <w:name w:val="toc 1"/>
    <w:basedOn w:val="Normal"/>
    <w:next w:val="Normal"/>
    <w:autoRedefine/>
    <w:uiPriority w:val="39"/>
    <w:semiHidden/>
    <w:rsid w:val="0044303A"/>
    <w:pPr>
      <w:spacing w:after="100"/>
    </w:pPr>
    <w:rPr>
      <w:rFonts w:ascii="Century Gothic" w:eastAsiaTheme="minorEastAsia" w:hAnsi="Century Gothic" w:cs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44303A"/>
    <w:pPr>
      <w:spacing w:after="100"/>
      <w:ind w:left="220"/>
    </w:pPr>
    <w:rPr>
      <w:rFonts w:ascii="Arial Unicode MS" w:eastAsiaTheme="minorEastAsia" w:hAnsi="Arial Unicode MS" w:cs="Times New Roman"/>
    </w:rPr>
  </w:style>
  <w:style w:type="paragraph" w:styleId="TOC3">
    <w:name w:val="toc 3"/>
    <w:basedOn w:val="Normal"/>
    <w:next w:val="Normal"/>
    <w:autoRedefine/>
    <w:uiPriority w:val="39"/>
    <w:semiHidden/>
    <w:rsid w:val="0044303A"/>
    <w:pPr>
      <w:spacing w:after="100"/>
      <w:ind w:left="440"/>
    </w:pPr>
    <w:rPr>
      <w:rFonts w:ascii="Arial Unicode MS" w:eastAsiaTheme="minorEastAsia" w:hAnsi="Arial Unicode MS" w:cs="Times New Roman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00B4D"/>
    <w:rPr>
      <w:rFonts w:ascii="Century Gothic" w:eastAsiaTheme="majorEastAsia" w:hAnsi="Century Gothic" w:cstheme="majorBidi"/>
      <w:b/>
      <w:color w:val="8D131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4D"/>
    <w:rPr>
      <w:rFonts w:ascii="Century Gothic" w:eastAsiaTheme="majorEastAsia" w:hAnsi="Century Gothic" w:cstheme="majorBidi"/>
      <w:color w:val="8D1313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4D"/>
    <w:rPr>
      <w:rFonts w:ascii="Century Gothic" w:eastAsiaTheme="majorEastAsia" w:hAnsi="Century Gothic" w:cstheme="majorBidi"/>
      <w:color w:val="8D1313"/>
      <w:sz w:val="26"/>
      <w:szCs w:val="26"/>
    </w:rPr>
  </w:style>
  <w:style w:type="paragraph" w:customStyle="1" w:styleId="ListBody">
    <w:name w:val="List Body"/>
    <w:basedOn w:val="ListParagraph"/>
    <w:semiHidden/>
    <w:qFormat/>
    <w:rsid w:val="0044303A"/>
    <w:pPr>
      <w:spacing w:before="120" w:after="120"/>
    </w:pPr>
  </w:style>
  <w:style w:type="paragraph" w:styleId="ListParagraph">
    <w:name w:val="List Paragraph"/>
    <w:basedOn w:val="Normal"/>
    <w:uiPriority w:val="34"/>
    <w:semiHidden/>
    <w:qFormat/>
    <w:rsid w:val="0044303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3A"/>
    <w:rPr>
      <w:rFonts w:ascii="Century Gothic" w:eastAsiaTheme="majorEastAsia" w:hAnsi="Century Gothic" w:cstheme="majorBidi"/>
      <w:iCs/>
      <w:color w:val="8D1313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44303A"/>
    <w:rPr>
      <w:i/>
      <w:iCs/>
      <w:color w:val="8D1313"/>
    </w:rPr>
  </w:style>
  <w:style w:type="paragraph" w:styleId="TOCHeading">
    <w:name w:val="TOC Heading"/>
    <w:basedOn w:val="Heading1"/>
    <w:next w:val="Normal"/>
    <w:uiPriority w:val="39"/>
    <w:semiHidden/>
    <w:qFormat/>
    <w:rsid w:val="0044303A"/>
    <w:pPr>
      <w:outlineLvl w:val="9"/>
    </w:pPr>
    <w:rPr>
      <w:rFonts w:asciiTheme="majorHAnsi" w:hAnsiTheme="majorHAnsi"/>
      <w:b w:val="0"/>
    </w:rPr>
  </w:style>
  <w:style w:type="paragraph" w:customStyle="1" w:styleId="Steps">
    <w:name w:val="Steps"/>
    <w:basedOn w:val="ListParagraph"/>
    <w:semiHidden/>
    <w:qFormat/>
    <w:rsid w:val="0044303A"/>
    <w:pPr>
      <w:numPr>
        <w:numId w:val="1"/>
      </w:numPr>
      <w:spacing w:before="60" w:after="60"/>
      <w:contextualSpacing w:val="0"/>
    </w:pPr>
  </w:style>
  <w:style w:type="paragraph" w:styleId="Header">
    <w:name w:val="header"/>
    <w:basedOn w:val="Normal"/>
    <w:link w:val="HeaderChar"/>
    <w:uiPriority w:val="99"/>
    <w:semiHidden/>
    <w:rsid w:val="0044303A"/>
    <w:pPr>
      <w:pBdr>
        <w:bottom w:val="single" w:sz="4" w:space="18" w:color="8D1313"/>
      </w:pBdr>
      <w:tabs>
        <w:tab w:val="center" w:pos="4680"/>
        <w:tab w:val="right" w:pos="9360"/>
      </w:tabs>
    </w:pPr>
    <w:rPr>
      <w:rFonts w:ascii="Century Gothic" w:hAnsi="Century Gothic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00B4D"/>
    <w:rPr>
      <w:rFonts w:ascii="Century Gothic" w:hAnsi="Century Gothic"/>
      <w:sz w:val="20"/>
    </w:rPr>
  </w:style>
  <w:style w:type="paragraph" w:customStyle="1" w:styleId="wDITAtitle">
    <w:name w:val="wDITA_title"/>
    <w:basedOn w:val="Title"/>
    <w:next w:val="wDITAshortdesc"/>
    <w:qFormat/>
    <w:rsid w:val="0033661C"/>
    <w:pPr>
      <w:spacing w:before="480"/>
      <w:jc w:val="left"/>
      <w:outlineLvl w:val="0"/>
    </w:pPr>
    <w:rPr>
      <w:rFonts w:ascii="Arial" w:hAnsi="Arial"/>
      <w:b w:val="0"/>
      <w:color w:val="auto"/>
      <w:sz w:val="36"/>
    </w:rPr>
  </w:style>
  <w:style w:type="paragraph" w:customStyle="1" w:styleId="wDITAshortdesc">
    <w:name w:val="wDITA_shortdesc"/>
    <w:next w:val="wDITAparagraph"/>
    <w:qFormat/>
    <w:rsid w:val="0033661C"/>
    <w:pPr>
      <w:shd w:val="clear" w:color="auto" w:fill="E2EFD9" w:themeFill="accent6" w:themeFillTint="33"/>
      <w:spacing w:before="120" w:after="280"/>
    </w:pPr>
    <w:rPr>
      <w:rFonts w:ascii="Arial" w:hAnsi="Arial"/>
      <w:sz w:val="20"/>
    </w:rPr>
  </w:style>
  <w:style w:type="paragraph" w:customStyle="1" w:styleId="wDITAparagraph">
    <w:name w:val="wDITA_paragraph"/>
    <w:qFormat/>
    <w:rsid w:val="00900B4D"/>
    <w:pPr>
      <w:spacing w:before="120" w:after="280"/>
    </w:pPr>
    <w:rPr>
      <w:rFonts w:ascii="Arial" w:hAnsi="Arial"/>
      <w:sz w:val="20"/>
    </w:rPr>
  </w:style>
  <w:style w:type="paragraph" w:customStyle="1" w:styleId="wDITAunorderedlist">
    <w:name w:val="wDITA_unorderedlist"/>
    <w:basedOn w:val="Normal"/>
    <w:qFormat/>
    <w:rsid w:val="00900B4D"/>
    <w:pPr>
      <w:numPr>
        <w:numId w:val="2"/>
      </w:numPr>
      <w:spacing w:before="120" w:after="120"/>
      <w:contextualSpacing/>
    </w:pPr>
  </w:style>
  <w:style w:type="paragraph" w:customStyle="1" w:styleId="wDITAorderedlist">
    <w:name w:val="wDITA_orderedlist"/>
    <w:basedOn w:val="Normal"/>
    <w:qFormat/>
    <w:rsid w:val="00900B4D"/>
    <w:pPr>
      <w:numPr>
        <w:numId w:val="3"/>
      </w:numPr>
      <w:spacing w:before="120" w:after="120"/>
      <w:contextualSpacing/>
    </w:pPr>
  </w:style>
  <w:style w:type="paragraph" w:customStyle="1" w:styleId="wDITAsectiontitle">
    <w:name w:val="wDITA_sectiontitle"/>
    <w:basedOn w:val="Heading2"/>
    <w:next w:val="wDITAparagraph"/>
    <w:link w:val="wDITAsectiontitleChar"/>
    <w:qFormat/>
    <w:rsid w:val="00D12C74"/>
    <w:pPr>
      <w:spacing w:before="360" w:after="280"/>
    </w:pPr>
    <w:rPr>
      <w:rFonts w:ascii="Arial" w:hAnsi="Arial"/>
      <w:b/>
      <w:color w:val="auto"/>
      <w:sz w:val="24"/>
    </w:rPr>
  </w:style>
  <w:style w:type="paragraph" w:customStyle="1" w:styleId="wDITAdefinitionterm">
    <w:name w:val="wDITA_definitionterm"/>
    <w:qFormat/>
    <w:rsid w:val="00DE28E6"/>
    <w:pPr>
      <w:framePr w:w="3600" w:wrap="around" w:vAnchor="text" w:hAnchor="text" w:y="1"/>
    </w:pPr>
    <w:rPr>
      <w:rFonts w:ascii="Arial" w:hAnsi="Arial"/>
      <w:b/>
      <w:sz w:val="20"/>
    </w:rPr>
  </w:style>
  <w:style w:type="paragraph" w:customStyle="1" w:styleId="wDITAdefinitiondescription">
    <w:name w:val="wDITA_definitiondescription"/>
    <w:qFormat/>
    <w:rsid w:val="00DE28E6"/>
    <w:pPr>
      <w:ind w:left="3960"/>
    </w:pPr>
    <w:rPr>
      <w:rFonts w:ascii="Arial" w:hAnsi="Arial"/>
      <w:sz w:val="20"/>
    </w:rPr>
  </w:style>
  <w:style w:type="paragraph" w:customStyle="1" w:styleId="wDITAlistparagraph">
    <w:name w:val="wDITA_listparagraph"/>
    <w:basedOn w:val="wDITAparagraph"/>
    <w:qFormat/>
    <w:rsid w:val="005318E2"/>
    <w:pPr>
      <w:spacing w:before="0" w:after="160"/>
      <w:ind w:left="720"/>
    </w:pPr>
  </w:style>
  <w:style w:type="paragraph" w:styleId="Caption">
    <w:name w:val="caption"/>
    <w:aliases w:val="wDITA_figuretitle"/>
    <w:basedOn w:val="Heading9"/>
    <w:next w:val="wDITAparagraph"/>
    <w:uiPriority w:val="35"/>
    <w:unhideWhenUsed/>
    <w:qFormat/>
    <w:rsid w:val="0045631A"/>
    <w:pPr>
      <w:spacing w:before="240" w:after="200"/>
    </w:pPr>
    <w:rPr>
      <w:rFonts w:ascii="Arial" w:hAnsi="Arial"/>
      <w:b/>
      <w:iCs w:val="0"/>
      <w:color w:val="385623" w:themeColor="accent6" w:themeShade="80"/>
      <w:sz w:val="20"/>
      <w:szCs w:val="18"/>
    </w:rPr>
  </w:style>
  <w:style w:type="paragraph" w:customStyle="1" w:styleId="wDITAnote">
    <w:name w:val="wDITA_note"/>
    <w:qFormat/>
    <w:rsid w:val="007E1FBB"/>
    <w:pPr>
      <w:numPr>
        <w:numId w:val="4"/>
      </w:numPr>
      <w:pBdr>
        <w:top w:val="single" w:sz="4" w:space="1" w:color="auto"/>
        <w:bottom w:val="single" w:sz="4" w:space="1" w:color="auto"/>
      </w:pBdr>
      <w:ind w:left="360"/>
    </w:pPr>
    <w:rPr>
      <w:rFonts w:ascii="Arial" w:hAnsi="Arial"/>
      <w:sz w:val="20"/>
    </w:rPr>
  </w:style>
  <w:style w:type="paragraph" w:customStyle="1" w:styleId="wDITAcodeblock">
    <w:name w:val="wDITA_codeblock"/>
    <w:qFormat/>
    <w:rsid w:val="0045631A"/>
    <w:pPr>
      <w:shd w:val="clear" w:color="auto" w:fill="E7E6E6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ind w:left="360" w:right="360"/>
      <w:contextualSpacing/>
    </w:pPr>
    <w:rPr>
      <w:rFonts w:ascii="Courier New" w:hAnsi="Courier New"/>
      <w:sz w:val="20"/>
    </w:rPr>
  </w:style>
  <w:style w:type="character" w:customStyle="1" w:styleId="wDITAbold">
    <w:name w:val="wDITA_bold"/>
    <w:basedOn w:val="DefaultParagraphFont"/>
    <w:uiPriority w:val="1"/>
    <w:qFormat/>
    <w:rsid w:val="00695077"/>
    <w:rPr>
      <w:b/>
    </w:rPr>
  </w:style>
  <w:style w:type="character" w:customStyle="1" w:styleId="wDITAitalic">
    <w:name w:val="wDITA_italic"/>
    <w:basedOn w:val="DefaultParagraphFont"/>
    <w:uiPriority w:val="1"/>
    <w:qFormat/>
    <w:rsid w:val="00695077"/>
    <w:rPr>
      <w:i/>
    </w:rPr>
  </w:style>
  <w:style w:type="character" w:customStyle="1" w:styleId="wDITAunderline">
    <w:name w:val="wDITA_underline"/>
    <w:basedOn w:val="DefaultParagraphFont"/>
    <w:uiPriority w:val="1"/>
    <w:qFormat/>
    <w:rsid w:val="00695077"/>
    <w:rPr>
      <w:u w:val="single"/>
    </w:rPr>
  </w:style>
  <w:style w:type="character" w:customStyle="1" w:styleId="wDITAsubscript">
    <w:name w:val="wDITA_subscript"/>
    <w:basedOn w:val="DefaultParagraphFont"/>
    <w:uiPriority w:val="1"/>
    <w:qFormat/>
    <w:rsid w:val="00695077"/>
    <w:rPr>
      <w:vertAlign w:val="subscript"/>
    </w:rPr>
  </w:style>
  <w:style w:type="character" w:customStyle="1" w:styleId="wDITAsuperscript">
    <w:name w:val="wDITA_superscript"/>
    <w:basedOn w:val="DefaultParagraphFont"/>
    <w:uiPriority w:val="1"/>
    <w:qFormat/>
    <w:rsid w:val="00695077"/>
    <w:rPr>
      <w:vertAlign w:val="superscript"/>
    </w:rPr>
  </w:style>
  <w:style w:type="character" w:customStyle="1" w:styleId="wDITAsectiontitleChar">
    <w:name w:val="wDITA_sectiontitle Char"/>
    <w:basedOn w:val="DefaultParagraphFont"/>
    <w:link w:val="wDITAsectiontitle"/>
    <w:rsid w:val="00D12C74"/>
    <w:rPr>
      <w:rFonts w:ascii="Arial" w:eastAsiaTheme="majorEastAsia" w:hAnsi="Arial" w:cstheme="majorBidi"/>
      <w:b/>
      <w:sz w:val="24"/>
      <w:szCs w:val="26"/>
    </w:rPr>
  </w:style>
  <w:style w:type="table" w:styleId="TableGrid">
    <w:name w:val="Table Grid"/>
    <w:basedOn w:val="TableNormal"/>
    <w:uiPriority w:val="39"/>
    <w:rsid w:val="00C2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DITATable">
    <w:name w:val="wDITA_Table"/>
    <w:basedOn w:val="GridTable1Light"/>
    <w:uiPriority w:val="99"/>
    <w:rsid w:val="00C2543E"/>
    <w:tblPr/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wDITAtabletitle">
    <w:name w:val="wDITA_tabletitle"/>
    <w:basedOn w:val="Heading9"/>
    <w:qFormat/>
    <w:rsid w:val="0045631A"/>
    <w:rPr>
      <w:b/>
      <w:color w:val="385623" w:themeColor="accent6" w:themeShade="80"/>
      <w:sz w:val="24"/>
    </w:rPr>
  </w:style>
  <w:style w:type="table" w:customStyle="1" w:styleId="wDITAtable0">
    <w:name w:val="wDITA_table"/>
    <w:basedOn w:val="TableNormal"/>
    <w:uiPriority w:val="99"/>
    <w:rsid w:val="000B0BB6"/>
    <w:pPr>
      <w:spacing w:after="0" w:line="240" w:lineRule="auto"/>
    </w:pPr>
    <w:tblPr>
      <w:tblStyleRowBandSize w:val="1"/>
    </w:tblPr>
    <w:tblStylePr w:type="firstRow">
      <w:pPr>
        <w:jc w:val="center"/>
      </w:pPr>
      <w:rPr>
        <w:b/>
      </w:rPr>
      <w:tblPr/>
      <w:tcPr>
        <w:tcBorders>
          <w:bottom w:val="nil"/>
        </w:tcBorders>
        <w:shd w:val="clear" w:color="auto" w:fill="E2EFD9" w:themeFill="accent6" w:themeFillTint="33"/>
        <w:vAlign w:val="bottom"/>
      </w:tcPr>
    </w:tblStylePr>
    <w:tblStylePr w:type="band1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  <w:tblStylePr w:type="band2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</w:style>
  <w:style w:type="table" w:styleId="GridTable1Light">
    <w:name w:val="Grid Table 1 Light"/>
    <w:basedOn w:val="TableNormal"/>
    <w:uiPriority w:val="46"/>
    <w:rsid w:val="00C254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wDITAxref">
    <w:name w:val="wDITA_xref"/>
    <w:basedOn w:val="Hyperlink"/>
    <w:uiPriority w:val="1"/>
    <w:qFormat/>
    <w:rsid w:val="000B0BB6"/>
    <w:rPr>
      <w:color w:val="0563C1" w:themeColor="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0B0BB6"/>
    <w:rPr>
      <w:color w:val="0563C1" w:themeColor="hyperlink"/>
      <w:u w:val="single"/>
    </w:rPr>
  </w:style>
  <w:style w:type="paragraph" w:customStyle="1" w:styleId="wDITAdraftcomment">
    <w:name w:val="wDITA_draftcomment"/>
    <w:qFormat/>
    <w:rsid w:val="00480D51"/>
    <w:pPr>
      <w:pBdr>
        <w:top w:val="single" w:sz="4" w:space="1" w:color="ED7D31" w:themeColor="accent2"/>
        <w:left w:val="single" w:sz="4" w:space="4" w:color="ED7D31" w:themeColor="accent2"/>
        <w:bottom w:val="single" w:sz="4" w:space="1" w:color="ED7D31" w:themeColor="accent2"/>
        <w:right w:val="single" w:sz="4" w:space="4" w:color="ED7D31" w:themeColor="accent2"/>
      </w:pBdr>
      <w:shd w:val="clear" w:color="auto" w:fill="FBE4D5" w:themeFill="accent2" w:themeFillTint="33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ml\Personal\Templates\wDITA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15D8C-E68E-41FF-80AC-2884DB763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wDITA_Template.dotx</Template>
  <TotalTime>23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Lavey</dc:creator>
  <cp:keywords/>
  <dc:description/>
  <cp:lastModifiedBy>Cathy Lavey</cp:lastModifiedBy>
  <cp:revision>1</cp:revision>
  <dcterms:created xsi:type="dcterms:W3CDTF">2026-02-10T01:20:00Z</dcterms:created>
  <dcterms:modified xsi:type="dcterms:W3CDTF">2026-02-10T01:44:00Z</dcterms:modified>
</cp:coreProperties>
</file>