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Book:</w:t>
        <w:br w:type="textWrapping"/>
        <w:t xml:space="preserve">Unit “Globalisation and International Trade”</w:t>
        <w:br w:type="textWrapping"/>
        <w:t xml:space="preserve">Unit “Power to the People” 3.2 , 4 (Europe/EU)</w:t>
        <w:br w:type="textWrapping"/>
        <w:br w:type="textWrapping"/>
        <w:br w:type="textWrapping"/>
        <w:t xml:space="preserve">Blackout: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https://oesterreichsenergie.at/the-world-of-electricity/what-to-do-in-case-of-a-power-failure/blackout-q-a.html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esterreichsenergie.at/the-world-of-electricity/what-to-do-in-case-of-a-power-failure/blackout-q-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