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18455" w14:textId="4A91C9FF" w:rsidR="00572DD4" w:rsidRDefault="00BB6497">
      <w:r>
        <w:t>Lektion 1: Bilanzierung</w:t>
      </w:r>
    </w:p>
    <w:p w14:paraId="37244949" w14:textId="112E19C7" w:rsidR="00BB6497" w:rsidRPr="00BB6497" w:rsidRDefault="00BB6497">
      <w:pPr>
        <w:rPr>
          <w:b/>
          <w:bCs/>
        </w:rPr>
      </w:pPr>
      <w:r>
        <w:rPr>
          <w:b/>
          <w:bCs/>
        </w:rPr>
        <w:t>#</w:t>
      </w:r>
      <w:r w:rsidRPr="00BB6497">
        <w:rPr>
          <w:b/>
          <w:bCs/>
        </w:rPr>
        <w:t xml:space="preserve">Lernziele: </w:t>
      </w:r>
    </w:p>
    <w:p w14:paraId="1D264335" w14:textId="77777777" w:rsidR="00BB6497" w:rsidRDefault="00BB6497" w:rsidP="00BB6497">
      <w:r>
        <w:t>Die EBC*L AbsolventInnen</w:t>
      </w:r>
    </w:p>
    <w:p w14:paraId="5FED1162" w14:textId="77777777" w:rsidR="00BB6497" w:rsidRDefault="00BB6497" w:rsidP="00BB6497">
      <w:r>
        <w:t> können das Zielsystem Rentabilität – Liquidität – Produktivität eines Unternehmens</w:t>
      </w:r>
    </w:p>
    <w:p w14:paraId="24C0C13B" w14:textId="77777777" w:rsidR="00BB6497" w:rsidRDefault="00BB6497" w:rsidP="00BB6497">
      <w:r>
        <w:t>erläutern</w:t>
      </w:r>
    </w:p>
    <w:p w14:paraId="11C1CC1A" w14:textId="77777777" w:rsidR="00BB6497" w:rsidRDefault="00BB6497" w:rsidP="00BB6497">
      <w:r>
        <w:t> haben ein grundlegendes Verständnis für die Notwendigkeit des betrieblichen</w:t>
      </w:r>
    </w:p>
    <w:p w14:paraId="52BFC8DA" w14:textId="77777777" w:rsidR="00BB6497" w:rsidRDefault="00BB6497" w:rsidP="00BB6497">
      <w:r>
        <w:t>Rechnungswesens</w:t>
      </w:r>
    </w:p>
    <w:p w14:paraId="22893102" w14:textId="77777777" w:rsidR="00BB6497" w:rsidRDefault="00BB6497" w:rsidP="00BB6497">
      <w:r>
        <w:t> können eine Bilanz und eine GuV-Rechnung lesen. Sie verstehen den Aufbau und die</w:t>
      </w:r>
    </w:p>
    <w:p w14:paraId="0429DD17" w14:textId="77777777" w:rsidR="00BB6497" w:rsidRDefault="00BB6497" w:rsidP="00BB6497">
      <w:r>
        <w:t>Logik sowie wichtigsten darin vorkommenden Begriffe</w:t>
      </w:r>
    </w:p>
    <w:p w14:paraId="55137A25" w14:textId="77777777" w:rsidR="00BB6497" w:rsidRDefault="00BB6497" w:rsidP="00BB6497">
      <w:r>
        <w:t> können die Systematik der doppelten Buchhaltung (Doppik) gegenüber der Einnahmen-</w:t>
      </w:r>
    </w:p>
    <w:p w14:paraId="6741BF85" w14:textId="77777777" w:rsidR="00BB6497" w:rsidRDefault="00BB6497" w:rsidP="00BB6497">
      <w:r>
        <w:t>Ausgaben-Rechnung erläutern</w:t>
      </w:r>
    </w:p>
    <w:p w14:paraId="605D489A" w14:textId="77777777" w:rsidR="00BB6497" w:rsidRDefault="00BB6497" w:rsidP="00BB6497">
      <w:r>
        <w:t> verstehen die Bedeutung der wichtigsten Unternehmenskennzahlen, können diese</w:t>
      </w:r>
    </w:p>
    <w:p w14:paraId="75B71C60" w14:textId="77777777" w:rsidR="00BB6497" w:rsidRDefault="00BB6497" w:rsidP="00BB6497">
      <w:r>
        <w:t>berechnen und erste Schlüsse daraus ziehen</w:t>
      </w:r>
    </w:p>
    <w:p w14:paraId="0CC88650" w14:textId="77777777" w:rsidR="00BB6497" w:rsidRDefault="00BB6497" w:rsidP="00BB6497">
      <w:r>
        <w:t> können die wichtigsten Unternehmenssteuern erläutern</w:t>
      </w:r>
    </w:p>
    <w:p w14:paraId="03D57339" w14:textId="77777777" w:rsidR="00BB6497" w:rsidRDefault="00BB6497" w:rsidP="00BB6497">
      <w:r>
        <w:t> (Künftige) MitarbeiterInnen können sich mit oben genannten Kompetenzen ein Bild über</w:t>
      </w:r>
    </w:p>
    <w:p w14:paraId="2EB2021D" w14:textId="77777777" w:rsidR="00BB6497" w:rsidRDefault="00BB6497" w:rsidP="00BB6497">
      <w:r>
        <w:t>„ihr“ Unternehmen machen.</w:t>
      </w:r>
    </w:p>
    <w:p w14:paraId="7E07D30C" w14:textId="77777777" w:rsidR="00BB6497" w:rsidRDefault="00BB6497" w:rsidP="00BB6497">
      <w:r>
        <w:t> MitarbeiterInnen im Verkauf können die Bilanz Ihrer Kunden und MitarbeiterInnen im</w:t>
      </w:r>
    </w:p>
    <w:p w14:paraId="0D385C43" w14:textId="77777777" w:rsidR="00BB6497" w:rsidRDefault="00BB6497" w:rsidP="00BB6497">
      <w:r>
        <w:t>Einkauf die Bilanz Ihrer Lieferanten lesen und eine erste Analyse erstellen. Sie können</w:t>
      </w:r>
    </w:p>
    <w:p w14:paraId="46383534" w14:textId="77777777" w:rsidR="00BB6497" w:rsidRDefault="00BB6497" w:rsidP="00BB6497">
      <w:r>
        <w:t>sich in den Gesprächen mit diesen auf Augenhöhe unterhalten.</w:t>
      </w:r>
    </w:p>
    <w:p w14:paraId="755DF4F0" w14:textId="77777777" w:rsidR="00BB6497" w:rsidRDefault="00BB6497" w:rsidP="00BB6497">
      <w:r>
        <w:t> (Künftige) UnternehmerInnen können Ihre Bilanz und die Betriebswirtschaftliche Analyse</w:t>
      </w:r>
    </w:p>
    <w:p w14:paraId="38829CFD" w14:textId="308A8E5B" w:rsidR="00BB6497" w:rsidRDefault="00BB6497" w:rsidP="00BB6497">
      <w:r>
        <w:t>(BWA) des Steuerberaters sowie dessen „spezifische Sprache“ verstehen.</w:t>
      </w:r>
    </w:p>
    <w:p w14:paraId="308A88F2" w14:textId="77777777" w:rsidR="00BB6497" w:rsidRDefault="00BB6497" w:rsidP="00BB6497"/>
    <w:p w14:paraId="21429160" w14:textId="77777777" w:rsidR="00BB6497" w:rsidRDefault="00BB6497" w:rsidP="00BB6497"/>
    <w:p w14:paraId="6B4F5C50" w14:textId="77777777" w:rsidR="00BB6497" w:rsidRDefault="00BB6497" w:rsidP="00BB6497"/>
    <w:p w14:paraId="21E64AA1" w14:textId="77777777" w:rsidR="00BB6497" w:rsidRDefault="00BB6497" w:rsidP="00BB6497"/>
    <w:p w14:paraId="49929CAB" w14:textId="77777777" w:rsidR="00BB6497" w:rsidRDefault="00BB6497" w:rsidP="00BB6497"/>
    <w:p w14:paraId="7D82C275" w14:textId="1891170D" w:rsidR="00BB6497" w:rsidRDefault="00BB6497" w:rsidP="00BB6497">
      <w:pPr>
        <w:rPr>
          <w:b/>
          <w:bCs/>
        </w:rPr>
      </w:pPr>
      <w:r w:rsidRPr="00BB6497">
        <w:rPr>
          <w:b/>
          <w:bCs/>
        </w:rPr>
        <w:lastRenderedPageBreak/>
        <w:t xml:space="preserve">#Inhalte: </w:t>
      </w:r>
    </w:p>
    <w:p w14:paraId="2D3AD8B2" w14:textId="5DF99725" w:rsidR="00BB6497" w:rsidRPr="00081054" w:rsidRDefault="00BB6497" w:rsidP="00BB6497">
      <w:proofErr w:type="gramStart"/>
      <w:r w:rsidRPr="00081054">
        <w:t>List[</w:t>
      </w:r>
      <w:proofErr w:type="gramEnd"/>
      <w:r w:rsidRPr="00081054">
        <w:t>Aufbau einer Bilanz, Reichtum,</w:t>
      </w:r>
      <w:r w:rsidR="00081054">
        <w:t xml:space="preserve"> </w:t>
      </w:r>
      <w:r w:rsidR="00081054" w:rsidRPr="00081054">
        <w:t>Erfolg, GuV, Periodenrein, Abschreibungen, Gewinnminderung, Staffelform]</w:t>
      </w:r>
    </w:p>
    <w:p w14:paraId="2EA90F95" w14:textId="1F5FA6BA" w:rsidR="00BB6497" w:rsidRDefault="00BB6497">
      <w:pPr>
        <w:spacing w:after="56" w:line="259" w:lineRule="auto"/>
      </w:pPr>
    </w:p>
    <w:p w14:paraId="53297F42" w14:textId="6E286961" w:rsidR="00BB6497" w:rsidRDefault="00BB6497">
      <w:pPr>
        <w:spacing w:after="15" w:line="259" w:lineRule="auto"/>
      </w:pPr>
    </w:p>
    <w:p w14:paraId="7A03DC8B" w14:textId="77777777" w:rsidR="00BB6497" w:rsidRDefault="00BB6497">
      <w:pPr>
        <w:pStyle w:val="berschrift2"/>
      </w:pPr>
      <w:r>
        <w:t xml:space="preserve">AUFBAU DER BILANZ </w:t>
      </w:r>
    </w:p>
    <w:p w14:paraId="0130AAF9" w14:textId="77777777" w:rsidR="00BB6497" w:rsidRDefault="00BB6497">
      <w:pPr>
        <w:spacing w:after="56" w:line="259" w:lineRule="auto"/>
        <w:ind w:left="-30" w:right="-183"/>
      </w:pPr>
      <w:r>
        <w:rPr>
          <w:rFonts w:ascii="Calibri" w:eastAsia="Calibri" w:hAnsi="Calibri" w:cs="Calibri"/>
          <w:noProof/>
        </w:rPr>
        <mc:AlternateContent>
          <mc:Choice Requires="wpg">
            <w:drawing>
              <wp:inline distT="0" distB="0" distL="0" distR="0" wp14:anchorId="302EAAF4" wp14:editId="096131F4">
                <wp:extent cx="5799583" cy="19050"/>
                <wp:effectExtent l="0" t="0" r="0" b="0"/>
                <wp:docPr id="1574" name="Group 1574"/>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1908" name="Shape 1908"/>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79B1AE48" id="Group 1574"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">
                <v:shape id="Shape 1908"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" path="m,l5799583,r,19050l,19050,,e" fillcolor="#c00" stroked="f" strokeweight="0">
                  <v:stroke miterlimit="83231f" joinstyle="miter"/>
                  <v:path arrowok="t" textboxrect="0,0,5799583,19050"/>
                </v:shape>
                <w10:anchorlock/>
              </v:group>
            </w:pict>
          </mc:Fallback>
        </mc:AlternateContent>
      </w:r>
    </w:p>
    <w:p w14:paraId="431BCA47" w14:textId="77777777" w:rsidR="00BB6497" w:rsidRDefault="00BB6497">
      <w:pPr>
        <w:spacing w:after="0" w:line="259" w:lineRule="auto"/>
      </w:pPr>
      <w:r>
        <w:t xml:space="preserve"> </w:t>
      </w:r>
    </w:p>
    <w:p w14:paraId="1C2BEC00" w14:textId="77777777" w:rsidR="00BB6497" w:rsidRDefault="00BB6497">
      <w:pPr>
        <w:spacing w:after="0" w:line="259" w:lineRule="auto"/>
      </w:pPr>
      <w:r>
        <w:t xml:space="preserve"> </w:t>
      </w:r>
    </w:p>
    <w:p w14:paraId="5C0971A6" w14:textId="77777777" w:rsidR="00BB6497" w:rsidRDefault="00BB6497">
      <w:pPr>
        <w:ind w:left="-5"/>
      </w:pPr>
      <w:r>
        <w:t xml:space="preserve">Die Bilanz ist eine Momentaufnahme des Unternehmens zu einem bestimmten Zeitpunkt (meist der 31. Dezember eines Jahres).  </w:t>
      </w:r>
    </w:p>
    <w:p w14:paraId="7159C93D" w14:textId="77777777" w:rsidR="00BB6497" w:rsidRDefault="00BB6497">
      <w:pPr>
        <w:spacing w:after="0" w:line="259" w:lineRule="auto"/>
      </w:pPr>
      <w:r>
        <w:t xml:space="preserve"> </w:t>
      </w:r>
    </w:p>
    <w:p w14:paraId="1C8A247F" w14:textId="77777777" w:rsidR="00BB6497" w:rsidRDefault="00BB6497">
      <w:pPr>
        <w:spacing w:after="0" w:line="259" w:lineRule="auto"/>
      </w:pPr>
      <w:r>
        <w:t xml:space="preserve"> </w:t>
      </w:r>
    </w:p>
    <w:tbl>
      <w:tblPr>
        <w:tblStyle w:val="TableGrid"/>
        <w:tblW w:w="7668" w:type="dxa"/>
        <w:tblInd w:w="702" w:type="dxa"/>
        <w:tblCellMar>
          <w:top w:w="51" w:type="dxa"/>
          <w:left w:w="115" w:type="dxa"/>
          <w:bottom w:w="1" w:type="dxa"/>
          <w:right w:w="115" w:type="dxa"/>
        </w:tblCellMar>
        <w:tblLook w:val="04A0" w:firstRow="1" w:lastRow="0" w:firstColumn="1" w:lastColumn="0" w:noHBand="0" w:noVBand="1"/>
      </w:tblPr>
      <w:tblGrid>
        <w:gridCol w:w="3888"/>
        <w:gridCol w:w="3780"/>
      </w:tblGrid>
      <w:tr w:rsidR="00BB6497" w14:paraId="4F04292B" w14:textId="77777777">
        <w:trPr>
          <w:trHeight w:val="349"/>
        </w:trPr>
        <w:tc>
          <w:tcPr>
            <w:tcW w:w="3888" w:type="dxa"/>
            <w:tcBorders>
              <w:top w:val="nil"/>
              <w:left w:val="nil"/>
              <w:bottom w:val="nil"/>
              <w:right w:val="single" w:sz="4" w:space="0" w:color="000000"/>
            </w:tcBorders>
          </w:tcPr>
          <w:p w14:paraId="7AA6CF03" w14:textId="77777777" w:rsidR="00BB6497" w:rsidRDefault="00BB6497">
            <w:pPr>
              <w:spacing w:line="259" w:lineRule="auto"/>
              <w:ind w:right="3"/>
              <w:jc w:val="center"/>
            </w:pPr>
            <w:r>
              <w:rPr>
                <w:rFonts w:ascii="Tahoma" w:eastAsia="Tahoma" w:hAnsi="Tahoma" w:cs="Tahoma"/>
                <w:b/>
              </w:rPr>
              <w:t xml:space="preserve">Vermögen (Aktiva) </w:t>
            </w:r>
          </w:p>
        </w:tc>
        <w:tc>
          <w:tcPr>
            <w:tcW w:w="3780" w:type="dxa"/>
            <w:tcBorders>
              <w:top w:val="nil"/>
              <w:left w:val="single" w:sz="4" w:space="0" w:color="000000"/>
              <w:bottom w:val="nil"/>
              <w:right w:val="nil"/>
            </w:tcBorders>
          </w:tcPr>
          <w:p w14:paraId="6C608CBD" w14:textId="77777777" w:rsidR="00BB6497" w:rsidRDefault="00BB6497">
            <w:pPr>
              <w:spacing w:line="259" w:lineRule="auto"/>
              <w:ind w:right="2"/>
              <w:jc w:val="center"/>
            </w:pPr>
            <w:r>
              <w:rPr>
                <w:rFonts w:ascii="Tahoma" w:eastAsia="Tahoma" w:hAnsi="Tahoma" w:cs="Tahoma"/>
                <w:b/>
              </w:rPr>
              <w:t xml:space="preserve">Kapital (Passiva) </w:t>
            </w:r>
          </w:p>
        </w:tc>
      </w:tr>
      <w:tr w:rsidR="00BB6497" w14:paraId="15A4688D" w14:textId="77777777">
        <w:trPr>
          <w:trHeight w:val="524"/>
        </w:trPr>
        <w:tc>
          <w:tcPr>
            <w:tcW w:w="3888" w:type="dxa"/>
            <w:tcBorders>
              <w:top w:val="nil"/>
              <w:left w:val="nil"/>
              <w:bottom w:val="single" w:sz="4" w:space="0" w:color="000000"/>
              <w:right w:val="single" w:sz="4" w:space="0" w:color="000000"/>
            </w:tcBorders>
          </w:tcPr>
          <w:p w14:paraId="6DAC2FDC" w14:textId="77777777" w:rsidR="00BB6497" w:rsidRDefault="00BB6497">
            <w:pPr>
              <w:spacing w:line="259" w:lineRule="auto"/>
              <w:jc w:val="center"/>
            </w:pPr>
            <w:r>
              <w:rPr>
                <w:sz w:val="20"/>
              </w:rPr>
              <w:t xml:space="preserve">Welche Vermögenswerte stecken im Unternehmen? </w:t>
            </w:r>
          </w:p>
        </w:tc>
        <w:tc>
          <w:tcPr>
            <w:tcW w:w="3780" w:type="dxa"/>
            <w:tcBorders>
              <w:top w:val="nil"/>
              <w:left w:val="single" w:sz="4" w:space="0" w:color="000000"/>
              <w:bottom w:val="single" w:sz="4" w:space="0" w:color="000000"/>
              <w:right w:val="nil"/>
            </w:tcBorders>
          </w:tcPr>
          <w:p w14:paraId="01B4F194" w14:textId="77777777" w:rsidR="00BB6497" w:rsidRDefault="00BB6497">
            <w:pPr>
              <w:spacing w:line="259" w:lineRule="auto"/>
              <w:ind w:left="44"/>
              <w:jc w:val="center"/>
            </w:pPr>
            <w:r>
              <w:rPr>
                <w:sz w:val="20"/>
              </w:rPr>
              <w:t xml:space="preserve">Wer hat das Vermögen finanziert? Wem gehören die Vermögenswerte? </w:t>
            </w:r>
          </w:p>
        </w:tc>
      </w:tr>
      <w:tr w:rsidR="00BB6497" w14:paraId="06687BB4" w14:textId="77777777">
        <w:trPr>
          <w:trHeight w:val="661"/>
        </w:trPr>
        <w:tc>
          <w:tcPr>
            <w:tcW w:w="3888" w:type="dxa"/>
            <w:tcBorders>
              <w:top w:val="single" w:sz="4" w:space="0" w:color="000000"/>
              <w:left w:val="nil"/>
              <w:bottom w:val="single" w:sz="4" w:space="0" w:color="000000"/>
              <w:right w:val="single" w:sz="4" w:space="0" w:color="000000"/>
            </w:tcBorders>
            <w:vAlign w:val="bottom"/>
          </w:tcPr>
          <w:p w14:paraId="5F4B9C06" w14:textId="77777777" w:rsidR="00BB6497" w:rsidRDefault="00BB6497">
            <w:pPr>
              <w:spacing w:line="259" w:lineRule="auto"/>
              <w:ind w:left="188" w:right="119"/>
              <w:jc w:val="center"/>
            </w:pPr>
            <w:r>
              <w:t xml:space="preserve">Anlagevermögen Umlaufvermögen </w:t>
            </w:r>
          </w:p>
        </w:tc>
        <w:tc>
          <w:tcPr>
            <w:tcW w:w="3780" w:type="dxa"/>
            <w:tcBorders>
              <w:top w:val="single" w:sz="4" w:space="0" w:color="000000"/>
              <w:left w:val="single" w:sz="4" w:space="0" w:color="000000"/>
              <w:bottom w:val="single" w:sz="4" w:space="0" w:color="000000"/>
              <w:right w:val="nil"/>
            </w:tcBorders>
            <w:vAlign w:val="bottom"/>
          </w:tcPr>
          <w:p w14:paraId="72AD88DD" w14:textId="77777777" w:rsidR="00BB6497" w:rsidRDefault="00BB6497">
            <w:pPr>
              <w:spacing w:line="259" w:lineRule="auto"/>
              <w:ind w:left="563" w:right="496"/>
              <w:jc w:val="center"/>
            </w:pPr>
            <w:r>
              <w:t xml:space="preserve">Eigenkapital Fremdkapital </w:t>
            </w:r>
          </w:p>
        </w:tc>
      </w:tr>
      <w:tr w:rsidR="00BB6497" w14:paraId="67A9D0E2" w14:textId="77777777">
        <w:trPr>
          <w:trHeight w:val="391"/>
        </w:trPr>
        <w:tc>
          <w:tcPr>
            <w:tcW w:w="3888" w:type="dxa"/>
            <w:tcBorders>
              <w:top w:val="single" w:sz="4" w:space="0" w:color="000000"/>
              <w:left w:val="nil"/>
              <w:bottom w:val="nil"/>
              <w:right w:val="single" w:sz="4" w:space="0" w:color="000000"/>
            </w:tcBorders>
            <w:vAlign w:val="bottom"/>
          </w:tcPr>
          <w:p w14:paraId="715E4DC7" w14:textId="77777777" w:rsidR="00BB6497" w:rsidRDefault="00BB6497">
            <w:pPr>
              <w:spacing w:line="259" w:lineRule="auto"/>
              <w:ind w:right="3"/>
              <w:jc w:val="center"/>
            </w:pPr>
            <w:r>
              <w:rPr>
                <w:rFonts w:ascii="Tahoma" w:eastAsia="Tahoma" w:hAnsi="Tahoma" w:cs="Tahoma"/>
                <w:b/>
              </w:rPr>
              <w:t xml:space="preserve">Summe Vermögen </w:t>
            </w:r>
          </w:p>
        </w:tc>
        <w:tc>
          <w:tcPr>
            <w:tcW w:w="3780" w:type="dxa"/>
            <w:tcBorders>
              <w:top w:val="single" w:sz="4" w:space="0" w:color="000000"/>
              <w:left w:val="single" w:sz="4" w:space="0" w:color="000000"/>
              <w:bottom w:val="nil"/>
              <w:right w:val="nil"/>
            </w:tcBorders>
            <w:vAlign w:val="bottom"/>
          </w:tcPr>
          <w:p w14:paraId="49DABDA2" w14:textId="77777777" w:rsidR="00BB6497" w:rsidRDefault="00BB6497">
            <w:pPr>
              <w:spacing w:line="259" w:lineRule="auto"/>
              <w:ind w:right="2"/>
              <w:jc w:val="center"/>
            </w:pPr>
            <w:r>
              <w:rPr>
                <w:rFonts w:ascii="Tahoma" w:eastAsia="Tahoma" w:hAnsi="Tahoma" w:cs="Tahoma"/>
                <w:b/>
              </w:rPr>
              <w:t xml:space="preserve">Summe Kapital </w:t>
            </w:r>
          </w:p>
        </w:tc>
      </w:tr>
    </w:tbl>
    <w:p w14:paraId="78BF508E" w14:textId="77777777" w:rsidR="00BB6497" w:rsidRDefault="00BB6497">
      <w:pPr>
        <w:spacing w:after="0" w:line="259" w:lineRule="auto"/>
        <w:ind w:right="549"/>
      </w:pPr>
      <w:r>
        <w:t xml:space="preserve"> </w:t>
      </w:r>
    </w:p>
    <w:p w14:paraId="5E824B59" w14:textId="77777777" w:rsidR="00BB6497" w:rsidRDefault="00BB6497">
      <w:pPr>
        <w:spacing w:after="0" w:line="259" w:lineRule="auto"/>
      </w:pPr>
      <w:r>
        <w:t xml:space="preserve"> </w:t>
      </w:r>
    </w:p>
    <w:p w14:paraId="47918799" w14:textId="77777777" w:rsidR="00BB6497" w:rsidRDefault="00BB6497">
      <w:pPr>
        <w:spacing w:after="0" w:line="259" w:lineRule="auto"/>
      </w:pPr>
      <w:r>
        <w:t xml:space="preserve"> </w:t>
      </w:r>
    </w:p>
    <w:p w14:paraId="350BD27F" w14:textId="77777777" w:rsidR="00BB6497" w:rsidRDefault="00BB6497">
      <w:pPr>
        <w:ind w:left="-5" w:right="421"/>
      </w:pPr>
      <w:r>
        <w:t xml:space="preserve">Eine Bilanz besteht aus zwei Seiten. Die </w:t>
      </w:r>
      <w:r>
        <w:rPr>
          <w:rFonts w:ascii="Tahoma" w:eastAsia="Tahoma" w:hAnsi="Tahoma" w:cs="Tahoma"/>
          <w:b/>
        </w:rPr>
        <w:t>linke</w:t>
      </w:r>
      <w:r>
        <w:t xml:space="preserve"> Seite wird </w:t>
      </w:r>
      <w:r>
        <w:rPr>
          <w:rFonts w:ascii="Tahoma" w:eastAsia="Tahoma" w:hAnsi="Tahoma" w:cs="Tahoma"/>
          <w:b/>
        </w:rPr>
        <w:t>Vermögenseite</w:t>
      </w:r>
      <w:r>
        <w:t xml:space="preserve"> oder </w:t>
      </w:r>
      <w:proofErr w:type="gramStart"/>
      <w:r>
        <w:rPr>
          <w:rFonts w:ascii="Tahoma" w:eastAsia="Tahoma" w:hAnsi="Tahoma" w:cs="Tahoma"/>
          <w:b/>
        </w:rPr>
        <w:t>Aktiva</w:t>
      </w:r>
      <w:r>
        <w:t xml:space="preserve">  (</w:t>
      </w:r>
      <w:proofErr w:type="gramEnd"/>
      <w:r>
        <w:t xml:space="preserve">in der Buchhaltung </w:t>
      </w:r>
      <w:r>
        <w:rPr>
          <w:rFonts w:ascii="Tahoma" w:eastAsia="Tahoma" w:hAnsi="Tahoma" w:cs="Tahoma"/>
        </w:rPr>
        <w:t xml:space="preserve">auch „SOLL“) genannt. Sie beantwortet die Frage: </w:t>
      </w:r>
      <w:r>
        <w:t xml:space="preserve"> Welche Vermögenswerte stecken in einem Unternehmen?  </w:t>
      </w:r>
    </w:p>
    <w:p w14:paraId="21972AC7" w14:textId="77777777" w:rsidR="00BB6497" w:rsidRDefault="00BB6497">
      <w:pPr>
        <w:spacing w:after="0" w:line="259" w:lineRule="auto"/>
      </w:pPr>
      <w:r>
        <w:t xml:space="preserve"> </w:t>
      </w:r>
    </w:p>
    <w:p w14:paraId="3F50E990" w14:textId="77777777" w:rsidR="00BB6497" w:rsidRDefault="00BB6497">
      <w:pPr>
        <w:ind w:left="-5"/>
      </w:pPr>
      <w:r>
        <w:t xml:space="preserve">Man kann </w:t>
      </w:r>
      <w:proofErr w:type="gramStart"/>
      <w:r>
        <w:t>hier prinzipiell</w:t>
      </w:r>
      <w:proofErr w:type="gramEnd"/>
      <w:r>
        <w:t xml:space="preserve"> zwei Vermögensarten unterscheiden:  </w:t>
      </w:r>
    </w:p>
    <w:p w14:paraId="1E1D07EA" w14:textId="77777777" w:rsidR="00BB6497" w:rsidRDefault="00BB6497" w:rsidP="00BB6497">
      <w:pPr>
        <w:numPr>
          <w:ilvl w:val="0"/>
          <w:numId w:val="1"/>
        </w:numPr>
        <w:spacing w:after="5" w:line="249" w:lineRule="auto"/>
        <w:ind w:hanging="360"/>
      </w:pPr>
      <w:r>
        <w:t xml:space="preserve">Das </w:t>
      </w:r>
      <w:r>
        <w:rPr>
          <w:rFonts w:ascii="Tahoma" w:eastAsia="Tahoma" w:hAnsi="Tahoma" w:cs="Tahoma"/>
          <w:b/>
        </w:rPr>
        <w:t>Anlagevermögen</w:t>
      </w:r>
      <w:r>
        <w:t xml:space="preserve"> dient dem Unternehmen längerfristig.  </w:t>
      </w:r>
    </w:p>
    <w:p w14:paraId="5AC5643D" w14:textId="77777777" w:rsidR="00BB6497" w:rsidRDefault="00BB6497" w:rsidP="00BB6497">
      <w:pPr>
        <w:numPr>
          <w:ilvl w:val="0"/>
          <w:numId w:val="1"/>
        </w:numPr>
        <w:spacing w:after="5" w:line="249" w:lineRule="auto"/>
        <w:ind w:hanging="360"/>
      </w:pPr>
      <w:r>
        <w:t xml:space="preserve">Das </w:t>
      </w:r>
      <w:r>
        <w:rPr>
          <w:rFonts w:ascii="Tahoma" w:eastAsia="Tahoma" w:hAnsi="Tahoma" w:cs="Tahoma"/>
          <w:b/>
        </w:rPr>
        <w:t>Umlaufvermögen</w:t>
      </w:r>
      <w:r>
        <w:t xml:space="preserve"> dient dem Unternehmen kurzfristig, wird also verkauft, verarbeitet bzw. verbraucht. </w:t>
      </w:r>
    </w:p>
    <w:p w14:paraId="61A355E5" w14:textId="77777777" w:rsidR="00BB6497" w:rsidRDefault="00BB6497">
      <w:pPr>
        <w:spacing w:after="0" w:line="259" w:lineRule="auto"/>
      </w:pPr>
      <w:r>
        <w:t xml:space="preserve"> </w:t>
      </w:r>
    </w:p>
    <w:p w14:paraId="522314F2" w14:textId="77777777" w:rsidR="00BB6497" w:rsidRDefault="00BB6497">
      <w:r>
        <w:t xml:space="preserve">Die </w:t>
      </w:r>
      <w:r>
        <w:rPr>
          <w:rFonts w:ascii="Tahoma" w:eastAsia="Tahoma" w:hAnsi="Tahoma" w:cs="Tahoma"/>
          <w:b/>
        </w:rPr>
        <w:t>rechte</w:t>
      </w:r>
      <w:r>
        <w:t xml:space="preserve"> Seite wird </w:t>
      </w:r>
      <w:r>
        <w:rPr>
          <w:rFonts w:ascii="Tahoma" w:eastAsia="Tahoma" w:hAnsi="Tahoma" w:cs="Tahoma"/>
          <w:b/>
        </w:rPr>
        <w:t>Kapitalseite</w:t>
      </w:r>
      <w:r>
        <w:t xml:space="preserve"> oder </w:t>
      </w:r>
      <w:r>
        <w:rPr>
          <w:rFonts w:ascii="Tahoma" w:eastAsia="Tahoma" w:hAnsi="Tahoma" w:cs="Tahoma"/>
          <w:b/>
        </w:rPr>
        <w:t>Passiva</w:t>
      </w:r>
      <w:r>
        <w:t xml:space="preserve"> </w:t>
      </w:r>
      <w:r>
        <w:rPr>
          <w:rFonts w:ascii="Tahoma" w:eastAsia="Tahoma" w:hAnsi="Tahoma" w:cs="Tahoma"/>
        </w:rPr>
        <w:t xml:space="preserve">(in der Buchhaltung auch „HABEN“) </w:t>
      </w:r>
      <w:r>
        <w:t xml:space="preserve">genannt.  </w:t>
      </w:r>
    </w:p>
    <w:p w14:paraId="26E77131" w14:textId="77777777" w:rsidR="00BB6497" w:rsidRDefault="00BB6497">
      <w:pPr>
        <w:ind w:left="-5"/>
      </w:pPr>
      <w:r>
        <w:t xml:space="preserve">Sie beantwortet folgende Fragen:  </w:t>
      </w:r>
    </w:p>
    <w:p w14:paraId="17EE2026" w14:textId="77777777" w:rsidR="00BB6497" w:rsidRDefault="00BB6497" w:rsidP="00BB6497">
      <w:pPr>
        <w:numPr>
          <w:ilvl w:val="0"/>
          <w:numId w:val="1"/>
        </w:numPr>
        <w:spacing w:after="5" w:line="249" w:lineRule="auto"/>
        <w:ind w:hanging="360"/>
      </w:pPr>
      <w:r>
        <w:rPr>
          <w:rFonts w:ascii="Tahoma" w:eastAsia="Tahoma" w:hAnsi="Tahoma" w:cs="Tahoma"/>
        </w:rPr>
        <w:t xml:space="preserve">„Wem gehören die Vermögenswerte des Unternehmens?“ bzw. </w:t>
      </w:r>
      <w:r>
        <w:t xml:space="preserve"> </w:t>
      </w:r>
    </w:p>
    <w:p w14:paraId="2553FFE3" w14:textId="77777777" w:rsidR="00BB6497" w:rsidRDefault="00BB6497" w:rsidP="00BB6497">
      <w:pPr>
        <w:numPr>
          <w:ilvl w:val="0"/>
          <w:numId w:val="1"/>
        </w:numPr>
        <w:spacing w:after="5" w:line="249" w:lineRule="auto"/>
        <w:ind w:hanging="360"/>
      </w:pPr>
      <w:r>
        <w:rPr>
          <w:rFonts w:ascii="Tahoma" w:eastAsia="Tahoma" w:hAnsi="Tahoma" w:cs="Tahoma"/>
        </w:rPr>
        <w:t xml:space="preserve">„Wer hat die Vermögenswerte des Unternehmens finanziert?“ </w:t>
      </w:r>
      <w:r>
        <w:t xml:space="preserve"> </w:t>
      </w:r>
    </w:p>
    <w:p w14:paraId="228C7624" w14:textId="77777777" w:rsidR="00BB6497" w:rsidRDefault="00BB6497">
      <w:pPr>
        <w:spacing w:after="0" w:line="259" w:lineRule="auto"/>
      </w:pPr>
      <w:r>
        <w:t xml:space="preserve"> </w:t>
      </w:r>
    </w:p>
    <w:p w14:paraId="019D1248" w14:textId="77777777" w:rsidR="00BB6497" w:rsidRDefault="00BB6497">
      <w:pPr>
        <w:ind w:left="-5" w:right="217"/>
      </w:pPr>
      <w:r>
        <w:lastRenderedPageBreak/>
        <w:t xml:space="preserve">Hier gibt es prinzipiell nur zwei Möglichkeiten: Entweder gehört das Vermögen dem Unternehmen - die Finanzierung erfolgte mit eigenen Mitteln (= </w:t>
      </w:r>
      <w:r>
        <w:rPr>
          <w:rFonts w:ascii="Tahoma" w:eastAsia="Tahoma" w:hAnsi="Tahoma" w:cs="Tahoma"/>
          <w:b/>
        </w:rPr>
        <w:t>Eigenkapital</w:t>
      </w:r>
      <w:r>
        <w:t xml:space="preserve">) oder es gehört Dritten - die Finanzierung erfolgte durch fremde Kapitalgeber, wie z.B. </w:t>
      </w:r>
      <w:proofErr w:type="gramStart"/>
      <w:r>
        <w:t>Banken  (</w:t>
      </w:r>
      <w:proofErr w:type="gramEnd"/>
      <w:r>
        <w:t xml:space="preserve">= </w:t>
      </w:r>
      <w:r>
        <w:rPr>
          <w:rFonts w:ascii="Tahoma" w:eastAsia="Tahoma" w:hAnsi="Tahoma" w:cs="Tahoma"/>
          <w:b/>
        </w:rPr>
        <w:t>Fremdkapital</w:t>
      </w:r>
      <w:r>
        <w:t xml:space="preserve">). </w:t>
      </w:r>
    </w:p>
    <w:p w14:paraId="01D30769" w14:textId="77777777" w:rsidR="00BB6497" w:rsidRDefault="00BB6497">
      <w:pPr>
        <w:spacing w:after="0" w:line="259" w:lineRule="auto"/>
      </w:pPr>
      <w:r>
        <w:t xml:space="preserve"> </w:t>
      </w:r>
    </w:p>
    <w:p w14:paraId="17D003EA" w14:textId="77777777" w:rsidR="00BB6497" w:rsidRDefault="00BB6497">
      <w:pPr>
        <w:spacing w:after="0" w:line="259" w:lineRule="auto"/>
      </w:pPr>
      <w:r>
        <w:rPr>
          <w:rFonts w:ascii="Tahoma" w:eastAsia="Tahoma" w:hAnsi="Tahoma" w:cs="Tahoma"/>
          <w:b/>
        </w:rPr>
        <w:t>Die Summe Vermögen muss stets gleich hoch sein wie die Summe Kapital.</w:t>
      </w:r>
      <w:r>
        <w:t xml:space="preserve">  </w:t>
      </w:r>
    </w:p>
    <w:p w14:paraId="2232F2E6" w14:textId="77777777" w:rsidR="00BB6497" w:rsidRDefault="00BB6497">
      <w:pPr>
        <w:spacing w:after="0" w:line="259" w:lineRule="auto"/>
      </w:pPr>
      <w:r>
        <w:t xml:space="preserve"> </w:t>
      </w:r>
    </w:p>
    <w:p w14:paraId="179D264E" w14:textId="77777777" w:rsidR="00BB6497" w:rsidRDefault="00BB6497">
      <w:pPr>
        <w:ind w:left="-5"/>
      </w:pPr>
      <w:r>
        <w:t xml:space="preserve">Diese Gleichung ergibt sich </w:t>
      </w:r>
      <w:proofErr w:type="gramStart"/>
      <w:r>
        <w:t>aus folgender</w:t>
      </w:r>
      <w:proofErr w:type="gramEnd"/>
      <w:r>
        <w:t xml:space="preserve"> Logik: Das Vermögen des Unternehmens muss auch </w:t>
      </w:r>
      <w:proofErr w:type="spellStart"/>
      <w:r>
        <w:t>irgend jemandem</w:t>
      </w:r>
      <w:proofErr w:type="spellEnd"/>
      <w:r>
        <w:t xml:space="preserve"> gehören bzw. muss es </w:t>
      </w:r>
      <w:proofErr w:type="spellStart"/>
      <w:r>
        <w:t>i</w:t>
      </w:r>
      <w:r>
        <w:rPr>
          <w:rFonts w:ascii="Tahoma" w:eastAsia="Tahoma" w:hAnsi="Tahoma" w:cs="Tahoma"/>
        </w:rPr>
        <w:t>rgend jemand</w:t>
      </w:r>
      <w:proofErr w:type="spellEnd"/>
      <w:r>
        <w:rPr>
          <w:rFonts w:ascii="Tahoma" w:eastAsia="Tahoma" w:hAnsi="Tahoma" w:cs="Tahoma"/>
        </w:rPr>
        <w:t xml:space="preserve"> finanziert haben („</w:t>
      </w:r>
      <w:r>
        <w:t xml:space="preserve">von nichts </w:t>
      </w:r>
      <w:r>
        <w:rPr>
          <w:rFonts w:ascii="Tahoma" w:eastAsia="Tahoma" w:hAnsi="Tahoma" w:cs="Tahoma"/>
        </w:rPr>
        <w:t>kommt nichts”).</w:t>
      </w:r>
      <w:r>
        <w:t xml:space="preserve"> </w:t>
      </w:r>
    </w:p>
    <w:p w14:paraId="02D337C6" w14:textId="77777777" w:rsidR="00BB6497" w:rsidRDefault="00BB6497">
      <w:pPr>
        <w:spacing w:after="0" w:line="259" w:lineRule="auto"/>
      </w:pPr>
      <w:r>
        <w:t xml:space="preserve"> </w:t>
      </w:r>
    </w:p>
    <w:p w14:paraId="7C0F4FF3" w14:textId="77777777" w:rsidR="00BB6497" w:rsidRDefault="00BB6497">
      <w:pPr>
        <w:ind w:left="-5"/>
      </w:pPr>
      <w:r>
        <w:t xml:space="preserve">Der grundsätzliche Aufbau einer Bilanz ist stets der Gleiche und ist unabhängig von der Größe eines Unternehmens. </w:t>
      </w:r>
    </w:p>
    <w:p w14:paraId="727B1B7E" w14:textId="77777777" w:rsidR="00BB6497" w:rsidRDefault="00BB6497">
      <w:pPr>
        <w:spacing w:after="0" w:line="259" w:lineRule="auto"/>
      </w:pPr>
      <w:r>
        <w:t xml:space="preserve"> </w:t>
      </w:r>
    </w:p>
    <w:p w14:paraId="77DAB3D2" w14:textId="77777777" w:rsidR="00BB6497" w:rsidRDefault="00BB6497">
      <w:pPr>
        <w:spacing w:after="672"/>
        <w:ind w:left="-5"/>
      </w:pPr>
      <w:r>
        <w:rPr>
          <w:rFonts w:ascii="Tahoma" w:eastAsia="Tahoma" w:hAnsi="Tahoma" w:cs="Tahoma"/>
          <w:b/>
        </w:rPr>
        <w:t>Hinweis:</w:t>
      </w:r>
      <w:r>
        <w:t xml:space="preserve"> In der Schweiz (und den USA) ist die Anordnung der Vermögensseite umgekehrt. </w:t>
      </w:r>
    </w:p>
    <w:p w14:paraId="128CEA5D" w14:textId="617204A0" w:rsidR="00BB6497" w:rsidRDefault="00BB6497">
      <w:pPr>
        <w:spacing w:after="15"/>
      </w:pPr>
    </w:p>
    <w:p w14:paraId="43079F31" w14:textId="77777777" w:rsidR="00BB6497" w:rsidRDefault="00BB6497">
      <w:pPr>
        <w:spacing w:after="0"/>
      </w:pPr>
      <w:r>
        <w:rPr>
          <w:rFonts w:ascii="Tahoma" w:eastAsia="Tahoma" w:hAnsi="Tahoma" w:cs="Tahoma"/>
          <w:b/>
          <w:color w:val="CC0000"/>
          <w:sz w:val="28"/>
        </w:rPr>
        <w:t xml:space="preserve">REICHTUM </w:t>
      </w:r>
    </w:p>
    <w:p w14:paraId="1672F77D" w14:textId="77777777" w:rsidR="00BB6497" w:rsidRDefault="00BB6497">
      <w:pPr>
        <w:spacing w:after="56"/>
        <w:ind w:left="-30" w:right="-74"/>
      </w:pPr>
      <w:r>
        <w:rPr>
          <w:noProof/>
        </w:rPr>
        <mc:AlternateContent>
          <mc:Choice Requires="wpg">
            <w:drawing>
              <wp:inline distT="0" distB="0" distL="0" distR="0" wp14:anchorId="5AA05C87" wp14:editId="550A8E85">
                <wp:extent cx="5799583" cy="19050"/>
                <wp:effectExtent l="0" t="0" r="0" b="0"/>
                <wp:docPr id="496" name="Group 496"/>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655" name="Shape 655"/>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27E98B52" id="Group 496"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">
                <v:shape id="Shape 655"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" path="m,l5799583,r,19050l,19050,,e" fillcolor="#c00" stroked="f" strokeweight="0">
                  <v:stroke miterlimit="83231f" joinstyle="miter"/>
                  <v:path arrowok="t" textboxrect="0,0,5799583,19050"/>
                </v:shape>
                <w10:anchorlock/>
              </v:group>
            </w:pict>
          </mc:Fallback>
        </mc:AlternateContent>
      </w:r>
    </w:p>
    <w:p w14:paraId="538D4456" w14:textId="77777777" w:rsidR="00BB6497" w:rsidRDefault="00BB6497">
      <w:pPr>
        <w:spacing w:after="0"/>
      </w:pPr>
      <w:r>
        <w:rPr>
          <w:rFonts w:ascii="Tahoma" w:eastAsia="Tahoma" w:hAnsi="Tahoma" w:cs="Tahoma"/>
        </w:rPr>
        <w:t xml:space="preserve"> </w:t>
      </w:r>
    </w:p>
    <w:p w14:paraId="6D836D7B" w14:textId="77777777" w:rsidR="00BB6497" w:rsidRDefault="00BB6497">
      <w:pPr>
        <w:spacing w:after="0"/>
      </w:pPr>
      <w:r>
        <w:rPr>
          <w:rFonts w:ascii="Tahoma" w:eastAsia="Tahoma" w:hAnsi="Tahoma" w:cs="Tahoma"/>
        </w:rPr>
        <w:t xml:space="preserve"> </w:t>
      </w:r>
    </w:p>
    <w:p w14:paraId="660C0A82" w14:textId="77777777" w:rsidR="00BB6497" w:rsidRDefault="00BB6497">
      <w:pPr>
        <w:spacing w:after="0" w:line="238" w:lineRule="auto"/>
        <w:ind w:left="-5" w:hanging="10"/>
      </w:pPr>
      <w:r>
        <w:rPr>
          <w:rFonts w:ascii="Tahoma" w:eastAsia="Tahoma" w:hAnsi="Tahoma" w:cs="Tahoma"/>
          <w:sz w:val="22"/>
        </w:rPr>
        <w:t xml:space="preserve">Vermögend zu sein, muss nicht bedeuten, dass man reich ist. Dies gilt auch für Unternehmen. Es kommt darauf an, wer das Vermögen </w:t>
      </w:r>
      <w:proofErr w:type="gramStart"/>
      <w:r>
        <w:rPr>
          <w:rFonts w:ascii="Tahoma" w:eastAsia="Tahoma" w:hAnsi="Tahoma" w:cs="Tahoma"/>
          <w:sz w:val="22"/>
        </w:rPr>
        <w:t>finanziert</w:t>
      </w:r>
      <w:proofErr w:type="gramEnd"/>
      <w:r>
        <w:rPr>
          <w:rFonts w:ascii="Tahoma" w:eastAsia="Tahoma" w:hAnsi="Tahoma" w:cs="Tahoma"/>
          <w:sz w:val="22"/>
        </w:rPr>
        <w:t xml:space="preserve"> hat bzw. wem das Vermögen gehört. </w:t>
      </w:r>
    </w:p>
    <w:p w14:paraId="76FBFCC2" w14:textId="77777777" w:rsidR="00BB6497" w:rsidRDefault="00BB6497">
      <w:pPr>
        <w:spacing w:after="0"/>
      </w:pPr>
      <w:r>
        <w:rPr>
          <w:rFonts w:ascii="Tahoma" w:eastAsia="Tahoma" w:hAnsi="Tahoma" w:cs="Tahoma"/>
          <w:sz w:val="22"/>
        </w:rPr>
        <w:t xml:space="preserve"> </w:t>
      </w:r>
    </w:p>
    <w:p w14:paraId="3C1C8F05" w14:textId="77777777" w:rsidR="00BB6497" w:rsidRDefault="00BB6497">
      <w:pPr>
        <w:spacing w:after="0" w:line="238" w:lineRule="auto"/>
        <w:ind w:left="-5" w:hanging="10"/>
      </w:pPr>
      <w:r>
        <w:rPr>
          <w:rFonts w:ascii="Tahoma" w:eastAsia="Tahoma" w:hAnsi="Tahoma" w:cs="Tahoma"/>
          <w:sz w:val="22"/>
        </w:rPr>
        <w:t xml:space="preserve">Der Reichtum eines Unternehmens wird nicht durch das Vermögen (= die Bilanzsumme), sondern durch das </w:t>
      </w:r>
      <w:r>
        <w:rPr>
          <w:rFonts w:ascii="Tahoma" w:eastAsia="Tahoma" w:hAnsi="Tahoma" w:cs="Tahoma"/>
          <w:b/>
          <w:sz w:val="22"/>
        </w:rPr>
        <w:t>Eigenkapital</w:t>
      </w:r>
      <w:r>
        <w:rPr>
          <w:rFonts w:ascii="Tahoma" w:eastAsia="Tahoma" w:hAnsi="Tahoma" w:cs="Tahoma"/>
          <w:sz w:val="22"/>
        </w:rPr>
        <w:t xml:space="preserve"> auf der rechten Seite der Bilanz (Kapitalseite) ausgedrückt. Das Eigenkapital wird ermittelt, indem man vom Gesamtvermögen das Fremdkapital abzieht. </w:t>
      </w:r>
    </w:p>
    <w:p w14:paraId="2EA78610" w14:textId="77777777" w:rsidR="00BB6497" w:rsidRDefault="00BB6497">
      <w:pPr>
        <w:spacing w:after="0"/>
      </w:pPr>
      <w:r>
        <w:rPr>
          <w:rFonts w:ascii="Tahoma" w:eastAsia="Tahoma" w:hAnsi="Tahoma" w:cs="Tahoma"/>
          <w:sz w:val="22"/>
        </w:rPr>
        <w:t xml:space="preserve"> </w:t>
      </w:r>
    </w:p>
    <w:p w14:paraId="6BCEE615" w14:textId="77777777" w:rsidR="00BB6497" w:rsidRDefault="00BB6497">
      <w:pPr>
        <w:spacing w:after="0" w:line="238" w:lineRule="auto"/>
        <w:ind w:left="-5" w:hanging="10"/>
      </w:pPr>
      <w:r>
        <w:rPr>
          <w:rFonts w:ascii="Tahoma" w:eastAsia="Tahoma" w:hAnsi="Tahoma" w:cs="Tahoma"/>
          <w:b/>
          <w:sz w:val="22"/>
        </w:rPr>
        <w:t>Achtung!</w:t>
      </w:r>
      <w:r>
        <w:rPr>
          <w:rFonts w:ascii="Tahoma" w:eastAsia="Tahoma" w:hAnsi="Tahoma" w:cs="Tahoma"/>
          <w:sz w:val="22"/>
        </w:rPr>
        <w:t xml:space="preserve"> Das Eigenkapital ist eine rein rechnerische Größe. Man kann es nicht einfach entnehmen und ausgeben, da es in den Vermögenswerten des Unternehmens steckt. Es </w:t>
      </w:r>
      <w:proofErr w:type="gramStart"/>
      <w:r>
        <w:rPr>
          <w:rFonts w:ascii="Tahoma" w:eastAsia="Tahoma" w:hAnsi="Tahoma" w:cs="Tahoma"/>
          <w:sz w:val="22"/>
        </w:rPr>
        <w:t>ist sozusagen</w:t>
      </w:r>
      <w:proofErr w:type="gramEnd"/>
      <w:r>
        <w:rPr>
          <w:rFonts w:ascii="Tahoma" w:eastAsia="Tahoma" w:hAnsi="Tahoma" w:cs="Tahoma"/>
          <w:sz w:val="22"/>
        </w:rPr>
        <w:t xml:space="preserve"> nur eine abstrakte Größe. </w:t>
      </w:r>
    </w:p>
    <w:p w14:paraId="7B5D9E66" w14:textId="77777777" w:rsidR="00BB6497" w:rsidRDefault="00BB6497">
      <w:pPr>
        <w:spacing w:after="0"/>
      </w:pPr>
      <w:r>
        <w:rPr>
          <w:rFonts w:ascii="Tahoma" w:eastAsia="Tahoma" w:hAnsi="Tahoma" w:cs="Tahoma"/>
          <w:sz w:val="22"/>
        </w:rPr>
        <w:t xml:space="preserve"> </w:t>
      </w:r>
    </w:p>
    <w:p w14:paraId="5192A91D" w14:textId="77777777" w:rsidR="00BB6497" w:rsidRDefault="00BB6497">
      <w:pPr>
        <w:spacing w:after="0" w:line="238" w:lineRule="auto"/>
        <w:ind w:left="-5" w:hanging="10"/>
      </w:pPr>
      <w:r>
        <w:rPr>
          <w:rFonts w:ascii="Tahoma" w:eastAsia="Tahoma" w:hAnsi="Tahoma" w:cs="Tahoma"/>
          <w:sz w:val="22"/>
        </w:rPr>
        <w:t xml:space="preserve">Sofortigen Zugriff hat man lediglich auf die sog. „flüssigen bzw. liquiden Mittel“. Diese sind auf der Vermögensseite der Bilanz angeführt. </w:t>
      </w:r>
    </w:p>
    <w:p w14:paraId="026E9355" w14:textId="77777777" w:rsidR="00BB6497" w:rsidRDefault="00BB6497">
      <w:pPr>
        <w:spacing w:after="0"/>
      </w:pPr>
      <w:r>
        <w:rPr>
          <w:rFonts w:ascii="Tahoma" w:eastAsia="Tahoma" w:hAnsi="Tahoma" w:cs="Tahoma"/>
          <w:sz w:val="22"/>
        </w:rPr>
        <w:t xml:space="preserve"> </w:t>
      </w:r>
    </w:p>
    <w:p w14:paraId="6716D687" w14:textId="77777777" w:rsidR="00BB6497" w:rsidRDefault="00BB6497">
      <w:pPr>
        <w:spacing w:after="7885" w:line="238" w:lineRule="auto"/>
        <w:ind w:left="-5" w:hanging="10"/>
      </w:pPr>
      <w:r>
        <w:rPr>
          <w:rFonts w:ascii="Tahoma" w:eastAsia="Tahoma" w:hAnsi="Tahoma" w:cs="Tahoma"/>
          <w:sz w:val="22"/>
        </w:rPr>
        <w:t xml:space="preserve">Hinweis: Mehr dazu erfahren Sie in den Lektionen „Eigenkapitalquote“ und „Liquidität“ im Thema „Unternehmensziele und Kennzahlen“. </w:t>
      </w:r>
    </w:p>
    <w:p w14:paraId="183C4E59" w14:textId="3657CD76" w:rsidR="00BB6497" w:rsidRDefault="00BB6497">
      <w:pPr>
        <w:spacing w:after="56" w:line="259" w:lineRule="auto"/>
      </w:pPr>
    </w:p>
    <w:p w14:paraId="1033F662" w14:textId="5309B454" w:rsidR="00BB6497" w:rsidRDefault="00BB6497">
      <w:pPr>
        <w:spacing w:after="15" w:line="259" w:lineRule="auto"/>
      </w:pPr>
    </w:p>
    <w:p w14:paraId="347FC473" w14:textId="77777777" w:rsidR="00BB6497" w:rsidRDefault="00BB6497">
      <w:pPr>
        <w:pStyle w:val="berschrift2"/>
      </w:pPr>
      <w:r>
        <w:t xml:space="preserve">ERFOLG </w:t>
      </w:r>
    </w:p>
    <w:p w14:paraId="24A0481F" w14:textId="77777777" w:rsidR="00BB6497" w:rsidRDefault="00BB6497">
      <w:pPr>
        <w:spacing w:after="56" w:line="259" w:lineRule="auto"/>
        <w:ind w:left="-30" w:right="-154"/>
      </w:pPr>
      <w:r>
        <w:rPr>
          <w:rFonts w:ascii="Calibri" w:eastAsia="Calibri" w:hAnsi="Calibri" w:cs="Calibri"/>
          <w:noProof/>
        </w:rPr>
        <mc:AlternateContent>
          <mc:Choice Requires="wpg">
            <w:drawing>
              <wp:inline distT="0" distB="0" distL="0" distR="0" wp14:anchorId="65E38F61" wp14:editId="66006ECD">
                <wp:extent cx="5799583" cy="19050"/>
                <wp:effectExtent l="0" t="0" r="0" b="0"/>
                <wp:docPr id="953" name="Group 953"/>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1293" name="Shape 1293"/>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4C1A1CB5" id="Group 953"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">
                <v:shape id="Shape 1293"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" path="m,l5799583,r,19050l,19050,,e" fillcolor="#c00" stroked="f" strokeweight="0">
                  <v:stroke miterlimit="83231f" joinstyle="miter"/>
                  <v:path arrowok="t" textboxrect="0,0,5799583,19050"/>
                </v:shape>
                <w10:anchorlock/>
              </v:group>
            </w:pict>
          </mc:Fallback>
        </mc:AlternateContent>
      </w:r>
    </w:p>
    <w:p w14:paraId="33FB86A8" w14:textId="77777777" w:rsidR="00BB6497" w:rsidRDefault="00BB6497">
      <w:pPr>
        <w:spacing w:after="0" w:line="259" w:lineRule="auto"/>
      </w:pPr>
      <w:r>
        <w:t xml:space="preserve"> </w:t>
      </w:r>
    </w:p>
    <w:p w14:paraId="5369BA1D" w14:textId="77777777" w:rsidR="00BB6497" w:rsidRDefault="00BB6497">
      <w:pPr>
        <w:spacing w:after="0" w:line="259" w:lineRule="auto"/>
      </w:pPr>
      <w:r>
        <w:t xml:space="preserve"> </w:t>
      </w:r>
    </w:p>
    <w:p w14:paraId="1A15D7A2" w14:textId="77777777" w:rsidR="00BB6497" w:rsidRDefault="00BB6497">
      <w:pPr>
        <w:spacing w:after="0" w:line="259" w:lineRule="auto"/>
        <w:ind w:left="-5"/>
      </w:pPr>
      <w:r>
        <w:rPr>
          <w:rFonts w:ascii="Tahoma" w:eastAsia="Tahoma" w:hAnsi="Tahoma" w:cs="Tahoma"/>
          <w:b/>
        </w:rPr>
        <w:t xml:space="preserve">Erfolgsermittlung durch Bilanzvergleich </w:t>
      </w:r>
    </w:p>
    <w:p w14:paraId="52FE274F" w14:textId="77777777" w:rsidR="00BB6497" w:rsidRDefault="00BB6497">
      <w:pPr>
        <w:spacing w:after="0" w:line="259" w:lineRule="auto"/>
      </w:pPr>
      <w:r>
        <w:t xml:space="preserve"> </w:t>
      </w:r>
    </w:p>
    <w:p w14:paraId="7B36EA25" w14:textId="77777777" w:rsidR="00BB6497" w:rsidRDefault="00BB6497">
      <w:pPr>
        <w:ind w:left="-5"/>
      </w:pPr>
      <w:r>
        <w:t xml:space="preserve">Grundlage zur Erstellung der Bilanz ist die so genannte Inventur. Im Rahmen der Inventur wird das Vermögen gezählt und bewertet und die Schulden festgestellt. </w:t>
      </w:r>
    </w:p>
    <w:p w14:paraId="04C19597" w14:textId="77777777" w:rsidR="00BB6497" w:rsidRDefault="00BB6497">
      <w:pPr>
        <w:spacing w:after="0" w:line="259" w:lineRule="auto"/>
      </w:pPr>
      <w:r>
        <w:t xml:space="preserve"> </w:t>
      </w:r>
    </w:p>
    <w:p w14:paraId="119476FC" w14:textId="77777777" w:rsidR="00BB6497" w:rsidRDefault="00BB6497">
      <w:pPr>
        <w:ind w:left="-5"/>
      </w:pPr>
      <w:r>
        <w:t xml:space="preserve">Das Jahresergebnis eines Unternehmens (Gewinn / Verlust) kann durch eine </w:t>
      </w:r>
    </w:p>
    <w:p w14:paraId="07A54CB6" w14:textId="77777777" w:rsidR="00BB6497" w:rsidRDefault="00BB6497">
      <w:pPr>
        <w:ind w:left="-5"/>
      </w:pPr>
      <w:r>
        <w:t xml:space="preserve">Gegenüberstellung des Eigenkapitals </w:t>
      </w:r>
      <w:proofErr w:type="gramStart"/>
      <w:r>
        <w:t>der  Schlussbilanz</w:t>
      </w:r>
      <w:proofErr w:type="gramEnd"/>
      <w:r>
        <w:t xml:space="preserve"> mit dem Eigenkapital der </w:t>
      </w:r>
      <w:r>
        <w:rPr>
          <w:rFonts w:ascii="Tahoma" w:eastAsia="Tahoma" w:hAnsi="Tahoma" w:cs="Tahoma"/>
        </w:rPr>
        <w:t>Eröffnungsbilanz ermittelt werden („Gewinnermittlung durch Bilanzvergleich“):</w:t>
      </w:r>
      <w:r>
        <w:t xml:space="preserve"> </w:t>
      </w:r>
    </w:p>
    <w:p w14:paraId="6B7C8734" w14:textId="77777777" w:rsidR="00BB6497" w:rsidRDefault="00BB6497">
      <w:pPr>
        <w:spacing w:after="0" w:line="259" w:lineRule="auto"/>
      </w:pPr>
      <w:r>
        <w:t xml:space="preserve"> </w:t>
      </w:r>
    </w:p>
    <w:p w14:paraId="235BD2B9" w14:textId="77777777" w:rsidR="00BB6497" w:rsidRDefault="00BB6497">
      <w:pPr>
        <w:tabs>
          <w:tab w:val="center" w:pos="720"/>
          <w:tab w:val="center" w:pos="2223"/>
        </w:tabs>
        <w:spacing w:after="0" w:line="259" w:lineRule="auto"/>
      </w:pPr>
      <w:r>
        <w:rPr>
          <w:rFonts w:ascii="Calibri" w:eastAsia="Calibri" w:hAnsi="Calibri" w:cs="Calibri"/>
          <w:sz w:val="22"/>
        </w:rPr>
        <w:tab/>
      </w:r>
      <w:r>
        <w:rPr>
          <w:sz w:val="20"/>
        </w:rPr>
        <w:t xml:space="preserve"> </w:t>
      </w:r>
      <w:r>
        <w:rPr>
          <w:sz w:val="20"/>
        </w:rPr>
        <w:tab/>
        <w:t xml:space="preserve">Eigenkapital Schlussbilanz </w:t>
      </w:r>
    </w:p>
    <w:p w14:paraId="14AFCE5D" w14:textId="77777777" w:rsidR="00BB6497" w:rsidRDefault="00BB6497">
      <w:pPr>
        <w:tabs>
          <w:tab w:val="center" w:pos="757"/>
          <w:tab w:val="center" w:pos="2375"/>
          <w:tab w:val="center" w:pos="4248"/>
          <w:tab w:val="center" w:pos="4957"/>
          <w:tab w:val="center" w:pos="5665"/>
          <w:tab w:val="center" w:pos="6373"/>
        </w:tabs>
        <w:spacing w:after="66" w:line="259" w:lineRule="auto"/>
      </w:pPr>
      <w:r>
        <w:rPr>
          <w:rFonts w:ascii="Calibri" w:eastAsia="Calibri" w:hAnsi="Calibri" w:cs="Calibri"/>
          <w:sz w:val="22"/>
        </w:rPr>
        <w:tab/>
      </w:r>
      <w:r>
        <w:rPr>
          <w:sz w:val="20"/>
          <w:u w:val="single" w:color="000000"/>
        </w:rPr>
        <w:t xml:space="preserve">- </w:t>
      </w:r>
      <w:r>
        <w:rPr>
          <w:sz w:val="20"/>
          <w:u w:val="single" w:color="000000"/>
        </w:rPr>
        <w:tab/>
        <w:t xml:space="preserve">Eigenkapital Eröffnungsbilanz </w:t>
      </w:r>
      <w:r>
        <w:rPr>
          <w:sz w:val="20"/>
          <w:u w:val="single" w:color="000000"/>
        </w:rPr>
        <w:tab/>
        <w:t xml:space="preserve"> </w:t>
      </w:r>
      <w:r>
        <w:rPr>
          <w:sz w:val="20"/>
          <w:u w:val="single" w:color="000000"/>
        </w:rPr>
        <w:tab/>
        <w:t xml:space="preserve"> </w:t>
      </w:r>
      <w:r>
        <w:rPr>
          <w:sz w:val="20"/>
          <w:u w:val="single" w:color="000000"/>
        </w:rPr>
        <w:tab/>
        <w:t xml:space="preserve"> </w:t>
      </w:r>
      <w:r>
        <w:rPr>
          <w:sz w:val="20"/>
          <w:u w:val="single" w:color="000000"/>
        </w:rPr>
        <w:tab/>
      </w:r>
      <w:r>
        <w:rPr>
          <w:sz w:val="20"/>
        </w:rPr>
        <w:t xml:space="preserve"> </w:t>
      </w:r>
    </w:p>
    <w:p w14:paraId="378C8061" w14:textId="77777777" w:rsidR="00BB6497" w:rsidRDefault="00BB6497">
      <w:pPr>
        <w:pStyle w:val="berschrift3"/>
        <w:ind w:left="715"/>
      </w:pPr>
      <w:r>
        <w:t xml:space="preserve">= Ergebnis des Unternehmens (Gewinn oder Verlust) </w:t>
      </w:r>
    </w:p>
    <w:p w14:paraId="2425E4BA" w14:textId="77777777" w:rsidR="00BB6497" w:rsidRDefault="00BB6497">
      <w:pPr>
        <w:spacing w:after="0" w:line="259" w:lineRule="auto"/>
      </w:pPr>
      <w:r>
        <w:t xml:space="preserve"> </w:t>
      </w:r>
    </w:p>
    <w:p w14:paraId="5CC48517" w14:textId="77777777" w:rsidR="00BB6497" w:rsidRDefault="00BB6497">
      <w:pPr>
        <w:ind w:left="-5"/>
      </w:pPr>
      <w:r>
        <w:t xml:space="preserve">Ist das </w:t>
      </w:r>
      <w:r>
        <w:rPr>
          <w:rFonts w:ascii="Tahoma" w:eastAsia="Tahoma" w:hAnsi="Tahoma" w:cs="Tahoma"/>
          <w:b/>
        </w:rPr>
        <w:t>Eigenkapital größer</w:t>
      </w:r>
      <w:r>
        <w:t xml:space="preserve"> geworden, wurde ein </w:t>
      </w:r>
      <w:r>
        <w:rPr>
          <w:rFonts w:ascii="Tahoma" w:eastAsia="Tahoma" w:hAnsi="Tahoma" w:cs="Tahoma"/>
          <w:b/>
        </w:rPr>
        <w:t>Gewinn</w:t>
      </w:r>
      <w:r>
        <w:t xml:space="preserve">, ist es </w:t>
      </w:r>
      <w:r>
        <w:rPr>
          <w:rFonts w:ascii="Tahoma" w:eastAsia="Tahoma" w:hAnsi="Tahoma" w:cs="Tahoma"/>
          <w:b/>
        </w:rPr>
        <w:t>kleiner</w:t>
      </w:r>
      <w:r>
        <w:t xml:space="preserve"> geworden, wurde ein </w:t>
      </w:r>
      <w:r>
        <w:rPr>
          <w:rFonts w:ascii="Tahoma" w:eastAsia="Tahoma" w:hAnsi="Tahoma" w:cs="Tahoma"/>
          <w:b/>
        </w:rPr>
        <w:t>Verlust</w:t>
      </w:r>
      <w:r>
        <w:t xml:space="preserve"> erwirtschaftet. Wurde ein Gewinn erwirtschaftet, ist ein Unternehmen </w:t>
      </w:r>
      <w:r>
        <w:rPr>
          <w:rFonts w:ascii="Tahoma" w:eastAsia="Tahoma" w:hAnsi="Tahoma" w:cs="Tahoma"/>
        </w:rPr>
        <w:t>tatsächlich „reicher“ ge</w:t>
      </w:r>
      <w:r>
        <w:t xml:space="preserve">worden. Wurde ein Verlust erwirtschaftet, ist das Unternehmen </w:t>
      </w:r>
      <w:r>
        <w:rPr>
          <w:rFonts w:ascii="Tahoma" w:eastAsia="Tahoma" w:hAnsi="Tahoma" w:cs="Tahoma"/>
        </w:rPr>
        <w:t>„ärmer“ geworden.</w:t>
      </w:r>
      <w:r>
        <w:t xml:space="preserve"> </w:t>
      </w:r>
    </w:p>
    <w:p w14:paraId="7A32B52B" w14:textId="77777777" w:rsidR="00BB6497" w:rsidRDefault="00BB6497">
      <w:pPr>
        <w:spacing w:after="0" w:line="259" w:lineRule="auto"/>
      </w:pPr>
      <w:r>
        <w:t xml:space="preserve"> </w:t>
      </w:r>
    </w:p>
    <w:p w14:paraId="065D2F75" w14:textId="77777777" w:rsidR="00BB6497" w:rsidRDefault="00BB6497">
      <w:pPr>
        <w:spacing w:after="0" w:line="259" w:lineRule="auto"/>
        <w:ind w:left="-5"/>
      </w:pPr>
      <w:r>
        <w:rPr>
          <w:rFonts w:ascii="Tahoma" w:eastAsia="Tahoma" w:hAnsi="Tahoma" w:cs="Tahoma"/>
          <w:b/>
        </w:rPr>
        <w:t xml:space="preserve">Zusatzinfo: Ermittlung des Eigenkapitals   </w:t>
      </w:r>
    </w:p>
    <w:p w14:paraId="3FF2404B" w14:textId="77777777" w:rsidR="00BB6497" w:rsidRDefault="00BB6497">
      <w:pPr>
        <w:spacing w:after="0" w:line="259" w:lineRule="auto"/>
      </w:pPr>
      <w:r>
        <w:t xml:space="preserve"> </w:t>
      </w:r>
    </w:p>
    <w:p w14:paraId="4B995E34" w14:textId="77777777" w:rsidR="00BB6497" w:rsidRDefault="00BB6497">
      <w:pPr>
        <w:ind w:left="-5"/>
      </w:pPr>
      <w:r>
        <w:t xml:space="preserve">Das Eigenkapital ist eine rein rechnerische Größe. Es wird berechnet, indem man vom Gesamtvermögen das Fremdkapital abzieht. Zur Berechnung sind folgende Schritte notwendig:   </w:t>
      </w:r>
    </w:p>
    <w:p w14:paraId="55BFCC61" w14:textId="77777777" w:rsidR="00BB6497" w:rsidRDefault="00BB6497">
      <w:pPr>
        <w:spacing w:after="0" w:line="259" w:lineRule="auto"/>
      </w:pPr>
      <w:r>
        <w:t xml:space="preserve"> </w:t>
      </w:r>
    </w:p>
    <w:p w14:paraId="3A1076C3" w14:textId="77777777" w:rsidR="00BB6497" w:rsidRDefault="00BB6497" w:rsidP="00BB6497">
      <w:pPr>
        <w:numPr>
          <w:ilvl w:val="0"/>
          <w:numId w:val="3"/>
        </w:numPr>
        <w:spacing w:after="5" w:line="249" w:lineRule="auto"/>
        <w:ind w:hanging="360"/>
      </w:pPr>
      <w:r>
        <w:t xml:space="preserve">Zählen und Bewerten des Vermögens.  </w:t>
      </w:r>
    </w:p>
    <w:p w14:paraId="24A8E24B" w14:textId="77777777" w:rsidR="00BB6497" w:rsidRDefault="00BB6497" w:rsidP="00BB6497">
      <w:pPr>
        <w:numPr>
          <w:ilvl w:val="0"/>
          <w:numId w:val="3"/>
        </w:numPr>
        <w:spacing w:after="5" w:line="249" w:lineRule="auto"/>
        <w:ind w:hanging="360"/>
      </w:pPr>
      <w:r>
        <w:t xml:space="preserve">Feststellen des Schuldenstandes (= Höhe des Fremdkapitals) Diese beiden Schritte werden </w:t>
      </w:r>
      <w:r>
        <w:rPr>
          <w:rFonts w:ascii="Tahoma" w:eastAsia="Tahoma" w:hAnsi="Tahoma" w:cs="Tahoma"/>
          <w:b/>
        </w:rPr>
        <w:t>Inventur</w:t>
      </w:r>
      <w:r>
        <w:t xml:space="preserve"> genannt.  </w:t>
      </w:r>
    </w:p>
    <w:p w14:paraId="7DFE2DB6" w14:textId="77777777" w:rsidR="00BB6497" w:rsidRDefault="00BB6497" w:rsidP="00BB6497">
      <w:pPr>
        <w:numPr>
          <w:ilvl w:val="0"/>
          <w:numId w:val="3"/>
        </w:numPr>
        <w:spacing w:after="5" w:line="249" w:lineRule="auto"/>
        <w:ind w:hanging="360"/>
      </w:pPr>
      <w:r>
        <w:t xml:space="preserve">Vom Vermögen wird das Fremdkapital abgezogen: </w:t>
      </w:r>
    </w:p>
    <w:p w14:paraId="1B2C907C" w14:textId="77777777" w:rsidR="00BB6497" w:rsidRDefault="00BB6497">
      <w:pPr>
        <w:spacing w:after="24" w:line="259" w:lineRule="auto"/>
      </w:pPr>
      <w:r>
        <w:rPr>
          <w:sz w:val="16"/>
        </w:rPr>
        <w:t xml:space="preserve"> </w:t>
      </w:r>
    </w:p>
    <w:p w14:paraId="17AFB825" w14:textId="77777777" w:rsidR="00BB6497" w:rsidRDefault="00BB6497">
      <w:pPr>
        <w:spacing w:after="0" w:line="259" w:lineRule="auto"/>
        <w:ind w:left="1450"/>
      </w:pPr>
      <w:r>
        <w:rPr>
          <w:sz w:val="20"/>
        </w:rPr>
        <w:t xml:space="preserve"> Summe Vermögen </w:t>
      </w:r>
    </w:p>
    <w:p w14:paraId="4B3827C7" w14:textId="77777777" w:rsidR="00BB6497" w:rsidRDefault="00BB6497">
      <w:pPr>
        <w:tabs>
          <w:tab w:val="center" w:pos="2094"/>
          <w:tab w:val="center" w:pos="3240"/>
        </w:tabs>
        <w:spacing w:after="66" w:line="259" w:lineRule="auto"/>
      </w:pPr>
      <w:r>
        <w:rPr>
          <w:rFonts w:ascii="Calibri" w:eastAsia="Calibri" w:hAnsi="Calibri" w:cs="Calibri"/>
          <w:sz w:val="22"/>
        </w:rPr>
        <w:tab/>
      </w:r>
      <w:r>
        <w:rPr>
          <w:sz w:val="20"/>
          <w:u w:val="single" w:color="000000"/>
        </w:rPr>
        <w:t xml:space="preserve">-  Fremdkapital </w:t>
      </w:r>
      <w:r>
        <w:rPr>
          <w:sz w:val="20"/>
          <w:u w:val="single" w:color="000000"/>
        </w:rPr>
        <w:tab/>
      </w:r>
      <w:r>
        <w:rPr>
          <w:sz w:val="20"/>
        </w:rPr>
        <w:t xml:space="preserve"> </w:t>
      </w:r>
    </w:p>
    <w:p w14:paraId="445AC9F2" w14:textId="77777777" w:rsidR="00BB6497" w:rsidRDefault="00BB6497">
      <w:pPr>
        <w:pStyle w:val="berschrift3"/>
        <w:ind w:left="1440"/>
      </w:pPr>
      <w:r>
        <w:lastRenderedPageBreak/>
        <w:t xml:space="preserve">= Eigenkapital </w:t>
      </w:r>
    </w:p>
    <w:p w14:paraId="6A021BC8" w14:textId="77777777" w:rsidR="00BB6497" w:rsidRDefault="00BB6497">
      <w:pPr>
        <w:spacing w:after="0" w:line="259" w:lineRule="auto"/>
      </w:pPr>
      <w:r>
        <w:t xml:space="preserve"> </w:t>
      </w:r>
    </w:p>
    <w:p w14:paraId="6DF0C3CF" w14:textId="77777777" w:rsidR="00BB6497" w:rsidRDefault="00BB6497">
      <w:pPr>
        <w:spacing w:after="0" w:line="259" w:lineRule="auto"/>
      </w:pPr>
      <w:r>
        <w:t xml:space="preserve"> </w:t>
      </w:r>
    </w:p>
    <w:p w14:paraId="43C8ED66" w14:textId="2BFF4B01" w:rsidR="00BB6497" w:rsidRDefault="00BB6497" w:rsidP="00BB6497">
      <w:pPr>
        <w:ind w:left="-5"/>
      </w:pPr>
      <w:r>
        <w:t xml:space="preserve">Dies ist ein möglicher Weg der Erfolgsermittlung. Im Kapitel "Gewinn- und Verlustrechnung" erfahren Sie, auf welche Weise man den Erfolg eines Unternehmens noch feststellen kann. </w:t>
      </w:r>
    </w:p>
    <w:p w14:paraId="0E48396D" w14:textId="77777777" w:rsidR="00BB6497" w:rsidRDefault="00BB6497">
      <w:pPr>
        <w:spacing w:after="56" w:line="259" w:lineRule="auto"/>
      </w:pPr>
      <w:r>
        <w:t xml:space="preserve"> </w:t>
      </w:r>
    </w:p>
    <w:p w14:paraId="528AFE48" w14:textId="7BED20A1" w:rsidR="00BB6497" w:rsidRDefault="00BB6497">
      <w:pPr>
        <w:spacing w:after="15" w:line="259" w:lineRule="auto"/>
      </w:pPr>
    </w:p>
    <w:p w14:paraId="3949F862" w14:textId="77777777" w:rsidR="00BB6497" w:rsidRDefault="00BB6497">
      <w:pPr>
        <w:pStyle w:val="berschrift2"/>
      </w:pPr>
      <w:r>
        <w:t xml:space="preserve">GuV-RECHNUNG </w:t>
      </w:r>
    </w:p>
    <w:p w14:paraId="65CA947A" w14:textId="77777777" w:rsidR="00BB6497" w:rsidRDefault="00BB6497">
      <w:pPr>
        <w:spacing w:after="56" w:line="259" w:lineRule="auto"/>
        <w:ind w:left="-30" w:right="-46"/>
      </w:pPr>
      <w:r>
        <w:rPr>
          <w:rFonts w:ascii="Calibri" w:eastAsia="Calibri" w:hAnsi="Calibri" w:cs="Calibri"/>
          <w:noProof/>
        </w:rPr>
        <mc:AlternateContent>
          <mc:Choice Requires="wpg">
            <w:drawing>
              <wp:inline distT="0" distB="0" distL="0" distR="0" wp14:anchorId="6BDD8EDD" wp14:editId="2DBE99BD">
                <wp:extent cx="5799583" cy="19050"/>
                <wp:effectExtent l="0" t="0" r="0" b="0"/>
                <wp:docPr id="2853" name="Group 2853"/>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3280" name="Shape 3280"/>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2CE8142F" id="Group 2853"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">
                <v:shape id="Shape 3280"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" path="m,l5799583,r,19050l,19050,,e" fillcolor="#c00" stroked="f" strokeweight="0">
                  <v:stroke miterlimit="83231f" joinstyle="miter"/>
                  <v:path arrowok="t" textboxrect="0,0,5799583,19050"/>
                </v:shape>
                <w10:anchorlock/>
              </v:group>
            </w:pict>
          </mc:Fallback>
        </mc:AlternateContent>
      </w:r>
    </w:p>
    <w:p w14:paraId="27AEF419" w14:textId="77777777" w:rsidR="00BB6497" w:rsidRDefault="00BB6497">
      <w:pPr>
        <w:spacing w:after="0" w:line="259" w:lineRule="auto"/>
      </w:pPr>
      <w:r>
        <w:t xml:space="preserve"> </w:t>
      </w:r>
    </w:p>
    <w:p w14:paraId="7DD72C82" w14:textId="77777777" w:rsidR="00BB6497" w:rsidRDefault="00BB6497">
      <w:pPr>
        <w:spacing w:after="0" w:line="259" w:lineRule="auto"/>
      </w:pPr>
      <w:r>
        <w:t xml:space="preserve"> </w:t>
      </w:r>
    </w:p>
    <w:p w14:paraId="42D377BB" w14:textId="77777777" w:rsidR="00BB6497" w:rsidRDefault="00BB6497">
      <w:pPr>
        <w:ind w:left="-5"/>
      </w:pPr>
      <w:r>
        <w:t xml:space="preserve">Die Zusammenfassung der Geschäftsfälle, die </w:t>
      </w:r>
      <w:r>
        <w:rPr>
          <w:rFonts w:ascii="Tahoma" w:eastAsia="Tahoma" w:hAnsi="Tahoma" w:cs="Tahoma"/>
          <w:b/>
        </w:rPr>
        <w:t>während eines Jahres</w:t>
      </w:r>
      <w:r>
        <w:t xml:space="preserve"> passieren und die ein </w:t>
      </w:r>
      <w:r>
        <w:rPr>
          <w:rFonts w:ascii="Tahoma" w:eastAsia="Tahoma" w:hAnsi="Tahoma" w:cs="Tahoma"/>
        </w:rPr>
        <w:t>Unternehmen „ärmer“ bzw. „reicher“ gemacht haben, erfolgt in der Gewinn</w:t>
      </w:r>
      <w:r>
        <w:t xml:space="preserve">- und Verlustrechnung (abgekürzt: GuV-Rechnung; in der Schweiz: Erfolgsrechnung). </w:t>
      </w:r>
    </w:p>
    <w:p w14:paraId="45A50831" w14:textId="77777777" w:rsidR="00BB6497" w:rsidRDefault="00BB6497">
      <w:pPr>
        <w:spacing w:after="0" w:line="259" w:lineRule="auto"/>
      </w:pPr>
      <w:r>
        <w:t xml:space="preserve"> </w:t>
      </w:r>
    </w:p>
    <w:p w14:paraId="67380FAC" w14:textId="77777777" w:rsidR="00BB6497" w:rsidRDefault="00BB6497">
      <w:pPr>
        <w:ind w:left="-5"/>
      </w:pPr>
      <w:r>
        <w:t xml:space="preserve">Die </w:t>
      </w:r>
      <w:r>
        <w:rPr>
          <w:rFonts w:ascii="Tahoma" w:eastAsia="Tahoma" w:hAnsi="Tahoma" w:cs="Tahoma"/>
          <w:b/>
        </w:rPr>
        <w:t>Erträge</w:t>
      </w:r>
      <w:r>
        <w:t xml:space="preserve"> (z.B. Umsatz) werden auf der rechten Seite der GuV-Rechnung aufgelistet. Diesen werden auf der linken Seite die </w:t>
      </w:r>
      <w:r>
        <w:rPr>
          <w:rFonts w:ascii="Tahoma" w:eastAsia="Tahoma" w:hAnsi="Tahoma" w:cs="Tahoma"/>
          <w:b/>
        </w:rPr>
        <w:t>Aufwendungen</w:t>
      </w:r>
      <w:r>
        <w:t xml:space="preserve"> (z.B. für Personal, Materialverbrauch, Strom, Miete, Zinsen etc.) gegenübergestellt. </w:t>
      </w:r>
    </w:p>
    <w:p w14:paraId="6CBE2B73" w14:textId="77777777" w:rsidR="00BB6497" w:rsidRDefault="00BB6497">
      <w:pPr>
        <w:spacing w:after="0" w:line="259" w:lineRule="auto"/>
      </w:pPr>
      <w:r>
        <w:t xml:space="preserve"> </w:t>
      </w:r>
    </w:p>
    <w:p w14:paraId="5695BF2E" w14:textId="77777777" w:rsidR="00BB6497" w:rsidRDefault="00BB6497">
      <w:pPr>
        <w:spacing w:after="0" w:line="259" w:lineRule="auto"/>
      </w:pPr>
      <w:r>
        <w:t xml:space="preserve"> </w:t>
      </w:r>
    </w:p>
    <w:p w14:paraId="49D430D6" w14:textId="77777777" w:rsidR="00BB6497" w:rsidRDefault="00BB6497">
      <w:pPr>
        <w:pStyle w:val="berschrift3"/>
      </w:pPr>
      <w:r>
        <w:t xml:space="preserve">Gewinn- und Verlustrechnung (GuV </w:t>
      </w:r>
      <w:r>
        <w:rPr>
          <w:rFonts w:ascii="Tahoma" w:eastAsia="Tahoma" w:hAnsi="Tahoma" w:cs="Tahoma"/>
        </w:rPr>
        <w:t>–</w:t>
      </w:r>
      <w:r>
        <w:t xml:space="preserve"> Rechnung) </w:t>
      </w:r>
    </w:p>
    <w:p w14:paraId="6C625582" w14:textId="77777777" w:rsidR="00BB6497" w:rsidRDefault="00BB6497">
      <w:pPr>
        <w:spacing w:after="0" w:line="259" w:lineRule="auto"/>
      </w:pPr>
      <w:r>
        <w:t xml:space="preserve"> </w:t>
      </w:r>
    </w:p>
    <w:tbl>
      <w:tblPr>
        <w:tblStyle w:val="TableGrid"/>
        <w:tblW w:w="6588" w:type="dxa"/>
        <w:tblInd w:w="1242" w:type="dxa"/>
        <w:tblCellMar>
          <w:top w:w="51" w:type="dxa"/>
          <w:left w:w="108" w:type="dxa"/>
          <w:bottom w:w="1" w:type="dxa"/>
          <w:right w:w="57" w:type="dxa"/>
        </w:tblCellMar>
        <w:tblLook w:val="04A0" w:firstRow="1" w:lastRow="0" w:firstColumn="1" w:lastColumn="0" w:noHBand="0" w:noVBand="1"/>
      </w:tblPr>
      <w:tblGrid>
        <w:gridCol w:w="3276"/>
        <w:gridCol w:w="3312"/>
      </w:tblGrid>
      <w:tr w:rsidR="00BB6497" w14:paraId="3851ECF5" w14:textId="77777777">
        <w:trPr>
          <w:trHeight w:val="271"/>
        </w:trPr>
        <w:tc>
          <w:tcPr>
            <w:tcW w:w="3276" w:type="dxa"/>
            <w:tcBorders>
              <w:top w:val="nil"/>
              <w:left w:val="nil"/>
              <w:bottom w:val="single" w:sz="4" w:space="0" w:color="000000"/>
              <w:right w:val="single" w:sz="4" w:space="0" w:color="000000"/>
            </w:tcBorders>
          </w:tcPr>
          <w:p w14:paraId="13775F47" w14:textId="77777777" w:rsidR="00BB6497" w:rsidRDefault="00BB6497">
            <w:pPr>
              <w:spacing w:line="259" w:lineRule="auto"/>
              <w:ind w:left="19"/>
              <w:jc w:val="both"/>
            </w:pPr>
            <w:r>
              <w:rPr>
                <w:rFonts w:ascii="Tahoma" w:eastAsia="Tahoma" w:hAnsi="Tahoma" w:cs="Tahoma"/>
                <w:b/>
              </w:rPr>
              <w:t xml:space="preserve">Ausgaben (Aufwendungen) </w:t>
            </w:r>
          </w:p>
        </w:tc>
        <w:tc>
          <w:tcPr>
            <w:tcW w:w="3312" w:type="dxa"/>
            <w:tcBorders>
              <w:top w:val="nil"/>
              <w:left w:val="single" w:sz="4" w:space="0" w:color="000000"/>
              <w:bottom w:val="single" w:sz="4" w:space="0" w:color="000000"/>
              <w:right w:val="nil"/>
            </w:tcBorders>
          </w:tcPr>
          <w:p w14:paraId="658EF4CB" w14:textId="77777777" w:rsidR="00BB6497" w:rsidRDefault="00BB6497">
            <w:pPr>
              <w:spacing w:line="259" w:lineRule="auto"/>
              <w:ind w:right="54"/>
              <w:jc w:val="center"/>
            </w:pPr>
            <w:r>
              <w:rPr>
                <w:rFonts w:ascii="Tahoma" w:eastAsia="Tahoma" w:hAnsi="Tahoma" w:cs="Tahoma"/>
                <w:b/>
              </w:rPr>
              <w:t xml:space="preserve">Einnahmen (Erträge) </w:t>
            </w:r>
          </w:p>
        </w:tc>
      </w:tr>
      <w:tr w:rsidR="00BB6497" w14:paraId="1A4CE34F" w14:textId="77777777">
        <w:trPr>
          <w:trHeight w:val="1820"/>
        </w:trPr>
        <w:tc>
          <w:tcPr>
            <w:tcW w:w="3276" w:type="dxa"/>
            <w:tcBorders>
              <w:top w:val="single" w:sz="4" w:space="0" w:color="000000"/>
              <w:left w:val="nil"/>
              <w:bottom w:val="single" w:sz="4" w:space="0" w:color="000000"/>
              <w:right w:val="single" w:sz="4" w:space="0" w:color="000000"/>
            </w:tcBorders>
          </w:tcPr>
          <w:p w14:paraId="39FC4B58" w14:textId="77777777" w:rsidR="00BB6497" w:rsidRDefault="00BB6497">
            <w:pPr>
              <w:spacing w:line="259" w:lineRule="auto"/>
            </w:pPr>
            <w:r>
              <w:rPr>
                <w:sz w:val="20"/>
              </w:rPr>
              <w:t xml:space="preserve">Wareneinsatz </w:t>
            </w:r>
          </w:p>
          <w:p w14:paraId="1EE34EBB" w14:textId="77777777" w:rsidR="00BB6497" w:rsidRDefault="00BB6497">
            <w:pPr>
              <w:spacing w:line="259" w:lineRule="auto"/>
            </w:pPr>
            <w:r>
              <w:rPr>
                <w:sz w:val="20"/>
              </w:rPr>
              <w:t xml:space="preserve">Material </w:t>
            </w:r>
          </w:p>
          <w:p w14:paraId="115014A8" w14:textId="77777777" w:rsidR="00BB6497" w:rsidRDefault="00BB6497">
            <w:pPr>
              <w:spacing w:line="259" w:lineRule="auto"/>
            </w:pPr>
            <w:r>
              <w:rPr>
                <w:sz w:val="20"/>
              </w:rPr>
              <w:t xml:space="preserve">Personal </w:t>
            </w:r>
          </w:p>
          <w:p w14:paraId="483537C3" w14:textId="77777777" w:rsidR="00BB6497" w:rsidRDefault="00BB6497">
            <w:pPr>
              <w:spacing w:after="120" w:line="238" w:lineRule="auto"/>
              <w:ind w:right="2148"/>
            </w:pPr>
            <w:r>
              <w:rPr>
                <w:sz w:val="20"/>
              </w:rPr>
              <w:t xml:space="preserve">Energie Zinsen etc. </w:t>
            </w:r>
          </w:p>
          <w:p w14:paraId="3CA91FAA" w14:textId="77777777" w:rsidR="00BB6497" w:rsidRDefault="00BB6497">
            <w:pPr>
              <w:spacing w:line="259" w:lineRule="auto"/>
            </w:pPr>
            <w:r>
              <w:rPr>
                <w:sz w:val="20"/>
              </w:rPr>
              <w:t xml:space="preserve">Gewinn </w:t>
            </w:r>
          </w:p>
        </w:tc>
        <w:tc>
          <w:tcPr>
            <w:tcW w:w="3312" w:type="dxa"/>
            <w:tcBorders>
              <w:top w:val="single" w:sz="4" w:space="0" w:color="000000"/>
              <w:left w:val="single" w:sz="4" w:space="0" w:color="000000"/>
              <w:bottom w:val="single" w:sz="4" w:space="0" w:color="000000"/>
              <w:right w:val="nil"/>
            </w:tcBorders>
            <w:vAlign w:val="bottom"/>
          </w:tcPr>
          <w:p w14:paraId="3F307ED8" w14:textId="77777777" w:rsidR="00BB6497" w:rsidRDefault="00BB6497">
            <w:pPr>
              <w:spacing w:after="98" w:line="259" w:lineRule="auto"/>
            </w:pPr>
            <w:r>
              <w:rPr>
                <w:sz w:val="20"/>
              </w:rPr>
              <w:t xml:space="preserve">Verkaufserlös (Umsatz) </w:t>
            </w:r>
          </w:p>
          <w:p w14:paraId="427F0640" w14:textId="77777777" w:rsidR="00BB6497" w:rsidRDefault="00BB6497">
            <w:pPr>
              <w:spacing w:after="98" w:line="259" w:lineRule="auto"/>
            </w:pPr>
            <w:r>
              <w:rPr>
                <w:sz w:val="20"/>
              </w:rPr>
              <w:t xml:space="preserve"> </w:t>
            </w:r>
          </w:p>
          <w:p w14:paraId="1E1FA0AA" w14:textId="77777777" w:rsidR="00BB6497" w:rsidRDefault="00BB6497">
            <w:pPr>
              <w:spacing w:after="98" w:line="259" w:lineRule="auto"/>
            </w:pPr>
            <w:r>
              <w:rPr>
                <w:sz w:val="20"/>
              </w:rPr>
              <w:t xml:space="preserve"> </w:t>
            </w:r>
          </w:p>
          <w:p w14:paraId="3E636450" w14:textId="77777777" w:rsidR="00BB6497" w:rsidRDefault="00BB6497">
            <w:pPr>
              <w:spacing w:after="99" w:line="259" w:lineRule="auto"/>
            </w:pPr>
            <w:r>
              <w:rPr>
                <w:sz w:val="20"/>
              </w:rPr>
              <w:t xml:space="preserve"> </w:t>
            </w:r>
          </w:p>
          <w:p w14:paraId="060C20A4" w14:textId="77777777" w:rsidR="00BB6497" w:rsidRDefault="00BB6497">
            <w:pPr>
              <w:spacing w:line="259" w:lineRule="auto"/>
            </w:pPr>
            <w:r>
              <w:rPr>
                <w:sz w:val="20"/>
              </w:rPr>
              <w:t xml:space="preserve">(Verlust) </w:t>
            </w:r>
          </w:p>
        </w:tc>
      </w:tr>
      <w:tr w:rsidR="00BB6497" w14:paraId="61D304BC" w14:textId="77777777">
        <w:trPr>
          <w:trHeight w:val="367"/>
        </w:trPr>
        <w:tc>
          <w:tcPr>
            <w:tcW w:w="3276" w:type="dxa"/>
            <w:tcBorders>
              <w:top w:val="single" w:sz="4" w:space="0" w:color="000000"/>
              <w:left w:val="nil"/>
              <w:bottom w:val="nil"/>
              <w:right w:val="single" w:sz="4" w:space="0" w:color="000000"/>
            </w:tcBorders>
            <w:vAlign w:val="bottom"/>
          </w:tcPr>
          <w:p w14:paraId="12B91C3A" w14:textId="77777777" w:rsidR="00BB6497" w:rsidRDefault="00BB6497">
            <w:pPr>
              <w:spacing w:line="259" w:lineRule="auto"/>
            </w:pPr>
            <w:r>
              <w:rPr>
                <w:rFonts w:ascii="Tahoma" w:eastAsia="Tahoma" w:hAnsi="Tahoma" w:cs="Tahoma"/>
                <w:b/>
                <w:sz w:val="20"/>
              </w:rPr>
              <w:t xml:space="preserve">Summe </w:t>
            </w:r>
          </w:p>
        </w:tc>
        <w:tc>
          <w:tcPr>
            <w:tcW w:w="3312" w:type="dxa"/>
            <w:tcBorders>
              <w:top w:val="single" w:sz="4" w:space="0" w:color="000000"/>
              <w:left w:val="single" w:sz="4" w:space="0" w:color="000000"/>
              <w:bottom w:val="nil"/>
              <w:right w:val="nil"/>
            </w:tcBorders>
            <w:vAlign w:val="bottom"/>
          </w:tcPr>
          <w:p w14:paraId="627C9E55" w14:textId="77777777" w:rsidR="00BB6497" w:rsidRDefault="00BB6497">
            <w:pPr>
              <w:spacing w:line="259" w:lineRule="auto"/>
            </w:pPr>
            <w:r>
              <w:rPr>
                <w:rFonts w:ascii="Tahoma" w:eastAsia="Tahoma" w:hAnsi="Tahoma" w:cs="Tahoma"/>
                <w:b/>
                <w:sz w:val="20"/>
              </w:rPr>
              <w:t xml:space="preserve">Summe  </w:t>
            </w:r>
          </w:p>
        </w:tc>
      </w:tr>
    </w:tbl>
    <w:p w14:paraId="776982AD" w14:textId="77777777" w:rsidR="00BB6497" w:rsidRDefault="00BB6497">
      <w:pPr>
        <w:spacing w:after="0" w:line="259" w:lineRule="auto"/>
      </w:pPr>
      <w:r>
        <w:t xml:space="preserve"> </w:t>
      </w:r>
    </w:p>
    <w:p w14:paraId="25C713A5" w14:textId="77777777" w:rsidR="00BB6497" w:rsidRDefault="00BB6497">
      <w:pPr>
        <w:spacing w:after="0" w:line="259" w:lineRule="auto"/>
      </w:pPr>
      <w:r>
        <w:t xml:space="preserve"> </w:t>
      </w:r>
    </w:p>
    <w:p w14:paraId="614970E3" w14:textId="77777777" w:rsidR="00BB6497" w:rsidRDefault="00BB6497">
      <w:pPr>
        <w:spacing w:after="0" w:line="259" w:lineRule="auto"/>
      </w:pPr>
      <w:r>
        <w:t xml:space="preserve"> </w:t>
      </w:r>
    </w:p>
    <w:p w14:paraId="597CAD66" w14:textId="77777777" w:rsidR="00BB6497" w:rsidRDefault="00BB6497">
      <w:pPr>
        <w:ind w:left="-5"/>
      </w:pPr>
      <w:r>
        <w:t xml:space="preserve">In der GuV-Rechnung werden jene Geschäftsfälle zusammengefasst, über die man während des Jahres genaue Aufzeichnungen geführt hat. Die Ausgaben (Aufwendungen) </w:t>
      </w:r>
      <w:r>
        <w:lastRenderedPageBreak/>
        <w:t xml:space="preserve">auf der linken Seite werden den Einnahmen (Erträgen) auf der rechten Seite gegenübergestellt. </w:t>
      </w:r>
    </w:p>
    <w:p w14:paraId="1F150257" w14:textId="77777777" w:rsidR="00BB6497" w:rsidRDefault="00BB6497">
      <w:pPr>
        <w:spacing w:after="0" w:line="259" w:lineRule="auto"/>
      </w:pPr>
      <w:r>
        <w:t xml:space="preserve"> </w:t>
      </w:r>
    </w:p>
    <w:p w14:paraId="040786BF" w14:textId="77777777" w:rsidR="00BB6497" w:rsidRDefault="00BB6497">
      <w:pPr>
        <w:ind w:left="-5"/>
      </w:pPr>
      <w:r>
        <w:t xml:space="preserve">Zieht man von den Einnahmen die Ausgaben ab, erhält man das Ergebnis, welches das Unternehmen im letzten Jahr erwirtschaftet hat. </w:t>
      </w:r>
    </w:p>
    <w:p w14:paraId="2FC8F746" w14:textId="77777777" w:rsidR="00BB6497" w:rsidRDefault="00BB6497">
      <w:pPr>
        <w:spacing w:after="0" w:line="259" w:lineRule="auto"/>
      </w:pPr>
      <w:r>
        <w:t xml:space="preserve"> </w:t>
      </w:r>
    </w:p>
    <w:p w14:paraId="4BC30083" w14:textId="77777777" w:rsidR="00BB6497" w:rsidRDefault="00BB6497">
      <w:pPr>
        <w:spacing w:after="0" w:line="259" w:lineRule="auto"/>
        <w:ind w:left="535"/>
      </w:pPr>
      <w:r>
        <w:rPr>
          <w:sz w:val="20"/>
        </w:rPr>
        <w:t xml:space="preserve"> Einnahmen (Erträge) </w:t>
      </w:r>
    </w:p>
    <w:p w14:paraId="12F77164" w14:textId="77777777" w:rsidR="00BB6497" w:rsidRDefault="00BB6497">
      <w:pPr>
        <w:pStyle w:val="berschrift4"/>
        <w:ind w:left="535"/>
      </w:pPr>
      <w:r>
        <w:t>-  Ausgaben (Aufwendungen)</w:t>
      </w:r>
      <w:r>
        <w:rPr>
          <w:u w:color="000000"/>
        </w:rPr>
        <w:t xml:space="preserve"> </w:t>
      </w:r>
    </w:p>
    <w:p w14:paraId="39C5CDF7" w14:textId="77777777" w:rsidR="00BB6497" w:rsidRDefault="00BB6497">
      <w:pPr>
        <w:spacing w:after="0" w:line="259" w:lineRule="auto"/>
        <w:ind w:left="535"/>
      </w:pPr>
      <w:r>
        <w:rPr>
          <w:sz w:val="20"/>
        </w:rPr>
        <w:t xml:space="preserve">= Gewinn oder Verlust </w:t>
      </w:r>
    </w:p>
    <w:p w14:paraId="747B3EE4" w14:textId="77777777" w:rsidR="00BB6497" w:rsidRDefault="00BB6497">
      <w:pPr>
        <w:spacing w:after="0" w:line="259" w:lineRule="auto"/>
      </w:pPr>
      <w:r>
        <w:t xml:space="preserve"> </w:t>
      </w:r>
    </w:p>
    <w:p w14:paraId="37289994" w14:textId="77777777" w:rsidR="00BB6497" w:rsidRDefault="00BB6497">
      <w:pPr>
        <w:ind w:left="-5"/>
      </w:pPr>
      <w:r>
        <w:t xml:space="preserve">Bei der Darstellung der </w:t>
      </w:r>
      <w:r>
        <w:rPr>
          <w:rFonts w:ascii="Tahoma" w:eastAsia="Tahoma" w:hAnsi="Tahoma" w:cs="Tahoma"/>
          <w:b/>
        </w:rPr>
        <w:t>GuV-Rechnung in Kontenform</w:t>
      </w:r>
      <w:r>
        <w:t xml:space="preserve"> wird der Gewinn auf der linken Seite (= Aufwandseite) und der Verlust auf der rechten Seite (= </w:t>
      </w:r>
      <w:proofErr w:type="spellStart"/>
      <w:r>
        <w:t>Ertragseite</w:t>
      </w:r>
      <w:proofErr w:type="spellEnd"/>
      <w:r>
        <w:t xml:space="preserve">) eingetragen. Dies hat den Sinn, dass die Gesamtsummen am Ende der GuV-Rechnung ausgeglichen werden. </w:t>
      </w:r>
    </w:p>
    <w:p w14:paraId="2B989A35" w14:textId="77777777" w:rsidR="00BB6497" w:rsidRDefault="00BB6497">
      <w:pPr>
        <w:spacing w:after="0" w:line="259" w:lineRule="auto"/>
      </w:pPr>
      <w:r>
        <w:t xml:space="preserve"> </w:t>
      </w:r>
    </w:p>
    <w:p w14:paraId="1860BC1F" w14:textId="77777777" w:rsidR="00BB6497" w:rsidRDefault="00BB6497">
      <w:pPr>
        <w:ind w:left="-5"/>
      </w:pPr>
      <w:r>
        <w:t xml:space="preserve">Die </w:t>
      </w:r>
      <w:r>
        <w:rPr>
          <w:rFonts w:ascii="Tahoma" w:eastAsia="Tahoma" w:hAnsi="Tahoma" w:cs="Tahoma"/>
          <w:b/>
        </w:rPr>
        <w:t>Bilanz</w:t>
      </w:r>
      <w:r>
        <w:t xml:space="preserve"> und die </w:t>
      </w:r>
      <w:r>
        <w:rPr>
          <w:rFonts w:ascii="Tahoma" w:eastAsia="Tahoma" w:hAnsi="Tahoma" w:cs="Tahoma"/>
          <w:b/>
        </w:rPr>
        <w:t>GuV-Rechnung</w:t>
      </w:r>
      <w:r>
        <w:t xml:space="preserve"> bilden gemeinsam den </w:t>
      </w:r>
      <w:r>
        <w:rPr>
          <w:rFonts w:ascii="Tahoma" w:eastAsia="Tahoma" w:hAnsi="Tahoma" w:cs="Tahoma"/>
          <w:b/>
        </w:rPr>
        <w:t>Jahresabschluss</w:t>
      </w:r>
      <w:r>
        <w:t xml:space="preserve"> eines </w:t>
      </w:r>
    </w:p>
    <w:p w14:paraId="521DB512" w14:textId="77777777" w:rsidR="00BB6497" w:rsidRDefault="00BB6497">
      <w:pPr>
        <w:ind w:left="-5"/>
      </w:pPr>
      <w:r>
        <w:t xml:space="preserve">Unternehmens. Die Erstellung des Jahresabschlusses wird verwirrenderweise oft </w:t>
      </w:r>
      <w:r>
        <w:rPr>
          <w:rFonts w:ascii="Tahoma" w:eastAsia="Tahoma" w:hAnsi="Tahoma" w:cs="Tahoma"/>
        </w:rPr>
        <w:t>“Bilanzierung” genannt.</w:t>
      </w:r>
      <w:r>
        <w:t xml:space="preserve"> Der Jahresabschluss ist nicht nur für den Unternehmer selbst wichtig, sondern auch für andere </w:t>
      </w:r>
      <w:r>
        <w:rPr>
          <w:rFonts w:ascii="Tahoma" w:eastAsia="Tahoma" w:hAnsi="Tahoma" w:cs="Tahoma"/>
          <w:b/>
        </w:rPr>
        <w:t>Interessensgruppen</w:t>
      </w:r>
      <w:r>
        <w:t xml:space="preserve"> (z.B. Lieferanten, Kunden, Banken, Finanzbehörden etc.) </w:t>
      </w:r>
    </w:p>
    <w:p w14:paraId="58B85C23" w14:textId="77777777" w:rsidR="00BB6497" w:rsidRDefault="00BB6497">
      <w:pPr>
        <w:spacing w:after="353" w:line="259" w:lineRule="auto"/>
      </w:pPr>
      <w:r>
        <w:t xml:space="preserve"> </w:t>
      </w:r>
    </w:p>
    <w:p w14:paraId="6AE73E70" w14:textId="77777777" w:rsidR="00BB6497" w:rsidRDefault="00BB6497">
      <w:pPr>
        <w:spacing w:after="0" w:line="259" w:lineRule="auto"/>
        <w:ind w:left="-5"/>
      </w:pPr>
      <w:r>
        <w:rPr>
          <w:rFonts w:ascii="Tahoma" w:eastAsia="Tahoma" w:hAnsi="Tahoma" w:cs="Tahoma"/>
          <w:b/>
        </w:rPr>
        <w:t xml:space="preserve">Einige im Jahresabschluss zu findende Begriffe: </w:t>
      </w:r>
    </w:p>
    <w:p w14:paraId="44533D95" w14:textId="77777777" w:rsidR="00BB6497" w:rsidRDefault="00BB6497">
      <w:pPr>
        <w:spacing w:after="0" w:line="259" w:lineRule="auto"/>
      </w:pPr>
      <w:r>
        <w:t xml:space="preserve"> </w:t>
      </w:r>
    </w:p>
    <w:p w14:paraId="486E5060" w14:textId="77777777" w:rsidR="00BB6497" w:rsidRDefault="00BB6497">
      <w:pPr>
        <w:spacing w:after="0" w:line="259" w:lineRule="auto"/>
        <w:ind w:left="-5"/>
      </w:pPr>
      <w:r>
        <w:rPr>
          <w:rFonts w:ascii="Tahoma" w:eastAsia="Tahoma" w:hAnsi="Tahoma" w:cs="Tahoma"/>
          <w:b/>
        </w:rPr>
        <w:t>Umsatz / Umsatzerlös / Verkaufserlös</w:t>
      </w:r>
      <w:r>
        <w:t xml:space="preserve">:  </w:t>
      </w:r>
    </w:p>
    <w:p w14:paraId="4B0E4525" w14:textId="77777777" w:rsidR="00BB6497" w:rsidRDefault="00BB6497">
      <w:pPr>
        <w:ind w:left="190"/>
      </w:pPr>
      <w:r>
        <w:t xml:space="preserve">ergibt sich, indem man die erzielten Verkaufspreise mit den verkauften Mengen multipliziert (Umsatz = (Verkaufs-)Preis x Menge)   </w:t>
      </w:r>
    </w:p>
    <w:p w14:paraId="7D7F8736" w14:textId="77777777" w:rsidR="00BB6497" w:rsidRDefault="00BB6497">
      <w:pPr>
        <w:spacing w:after="0" w:line="259" w:lineRule="auto"/>
      </w:pPr>
      <w:r>
        <w:t xml:space="preserve"> </w:t>
      </w:r>
    </w:p>
    <w:p w14:paraId="20731C9A" w14:textId="77777777" w:rsidR="00BB6497" w:rsidRDefault="00BB6497">
      <w:pPr>
        <w:spacing w:after="0" w:line="259" w:lineRule="auto"/>
        <w:ind w:left="-5"/>
      </w:pPr>
      <w:r>
        <w:rPr>
          <w:rFonts w:ascii="Tahoma" w:eastAsia="Tahoma" w:hAnsi="Tahoma" w:cs="Tahoma"/>
          <w:b/>
        </w:rPr>
        <w:t xml:space="preserve">Wareneinsatz:  </w:t>
      </w:r>
    </w:p>
    <w:p w14:paraId="7B1D0EB1" w14:textId="77777777" w:rsidR="00BB6497" w:rsidRDefault="00BB6497">
      <w:pPr>
        <w:ind w:left="190"/>
      </w:pPr>
      <w:r>
        <w:t xml:space="preserve">ergibt sich, indem man die tatsächlich verkauften Waren mit dem jeweiligen Einkaufspreis multipliziert   </w:t>
      </w:r>
    </w:p>
    <w:p w14:paraId="24C998D5" w14:textId="77777777" w:rsidR="00BB6497" w:rsidRDefault="00BB6497">
      <w:pPr>
        <w:ind w:left="190"/>
      </w:pPr>
      <w:r>
        <w:t xml:space="preserve">Hinweis: Im Jahresabschluss wird nur mit Netto-Preisen gerechnet   </w:t>
      </w:r>
    </w:p>
    <w:p w14:paraId="64F8F905" w14:textId="77777777" w:rsidR="00BB6497" w:rsidRDefault="00BB6497">
      <w:pPr>
        <w:spacing w:after="0" w:line="259" w:lineRule="auto"/>
      </w:pPr>
      <w:r>
        <w:t xml:space="preserve"> </w:t>
      </w:r>
    </w:p>
    <w:p w14:paraId="3E762642" w14:textId="77777777" w:rsidR="00BB6497" w:rsidRDefault="00BB6497">
      <w:pPr>
        <w:spacing w:after="0" w:line="259" w:lineRule="auto"/>
        <w:ind w:left="-5"/>
      </w:pPr>
      <w:r>
        <w:rPr>
          <w:rFonts w:ascii="Tahoma" w:eastAsia="Tahoma" w:hAnsi="Tahoma" w:cs="Tahoma"/>
          <w:b/>
        </w:rPr>
        <w:t xml:space="preserve">Roh-, Hilfs- und Betriebsstoffe:  </w:t>
      </w:r>
    </w:p>
    <w:p w14:paraId="55A68BF7" w14:textId="77777777" w:rsidR="00BB6497" w:rsidRDefault="00BB6497" w:rsidP="00BB6497">
      <w:pPr>
        <w:numPr>
          <w:ilvl w:val="0"/>
          <w:numId w:val="4"/>
        </w:numPr>
        <w:spacing w:after="5" w:line="249" w:lineRule="auto"/>
        <w:ind w:hanging="180"/>
      </w:pPr>
      <w:r>
        <w:t xml:space="preserve">Rohstoffe sind jene Materialien, aus denen ein Erzeugnis hauptsächlich besteht (z.B. Holz für Möbel)  </w:t>
      </w:r>
    </w:p>
    <w:p w14:paraId="71546256" w14:textId="77777777" w:rsidR="00BB6497" w:rsidRDefault="00BB6497" w:rsidP="00BB6497">
      <w:pPr>
        <w:numPr>
          <w:ilvl w:val="0"/>
          <w:numId w:val="4"/>
        </w:numPr>
        <w:spacing w:after="5" w:line="249" w:lineRule="auto"/>
        <w:ind w:hanging="180"/>
      </w:pPr>
      <w:r>
        <w:t xml:space="preserve">Hilfsstoffe sind unwesentliche Bestandteile eines Endprodukts (z.B. Nägel, Leim)   </w:t>
      </w:r>
    </w:p>
    <w:p w14:paraId="4D4D74C1" w14:textId="77777777" w:rsidR="00BB6497" w:rsidRDefault="00BB6497" w:rsidP="00BB6497">
      <w:pPr>
        <w:numPr>
          <w:ilvl w:val="0"/>
          <w:numId w:val="4"/>
        </w:numPr>
        <w:spacing w:after="5" w:line="249" w:lineRule="auto"/>
        <w:ind w:hanging="180"/>
      </w:pPr>
      <w:r>
        <w:t xml:space="preserve">Betriebsstoffe dienen der Fertigung (z.B. Schmieröl für Maschinen, Reinigungsmittel) </w:t>
      </w:r>
    </w:p>
    <w:p w14:paraId="2F84DF2A" w14:textId="77777777" w:rsidR="00BB6497" w:rsidRDefault="00BB6497">
      <w:pPr>
        <w:spacing w:after="0" w:line="259" w:lineRule="auto"/>
      </w:pPr>
      <w:r>
        <w:t xml:space="preserve"> </w:t>
      </w:r>
    </w:p>
    <w:p w14:paraId="177219F0" w14:textId="77777777" w:rsidR="00BB6497" w:rsidRDefault="00BB6497">
      <w:pPr>
        <w:spacing w:after="0" w:line="259" w:lineRule="auto"/>
      </w:pPr>
      <w:r>
        <w:lastRenderedPageBreak/>
        <w:t xml:space="preserve"> </w:t>
      </w:r>
    </w:p>
    <w:p w14:paraId="0F59D133" w14:textId="77777777" w:rsidR="00BB6497" w:rsidRDefault="00BB6497">
      <w:pPr>
        <w:spacing w:after="0" w:line="259" w:lineRule="auto"/>
        <w:ind w:left="-5"/>
      </w:pPr>
      <w:r>
        <w:rPr>
          <w:rFonts w:ascii="Tahoma" w:eastAsia="Tahoma" w:hAnsi="Tahoma" w:cs="Tahoma"/>
          <w:b/>
        </w:rPr>
        <w:t xml:space="preserve">Exkurs: Zweifache Gewinnermittlung / Doppelte Buchhaltung </w:t>
      </w:r>
    </w:p>
    <w:p w14:paraId="03BB502C" w14:textId="77777777" w:rsidR="00BB6497" w:rsidRDefault="00BB6497">
      <w:pPr>
        <w:spacing w:after="0" w:line="259" w:lineRule="auto"/>
      </w:pPr>
      <w:r>
        <w:t xml:space="preserve"> </w:t>
      </w:r>
    </w:p>
    <w:p w14:paraId="43FF55C4" w14:textId="77777777" w:rsidR="00BB6497" w:rsidRDefault="00BB6497">
      <w:pPr>
        <w:ind w:left="-5"/>
      </w:pPr>
      <w:r>
        <w:t xml:space="preserve">Den Gewinn / Verlust eines Unternehmens kann man auf zwei Arten ermitteln: </w:t>
      </w:r>
    </w:p>
    <w:p w14:paraId="358A195E" w14:textId="77777777" w:rsidR="00BB6497" w:rsidRDefault="00BB6497">
      <w:pPr>
        <w:spacing w:after="0" w:line="259" w:lineRule="auto"/>
      </w:pPr>
      <w:r>
        <w:t xml:space="preserve"> </w:t>
      </w:r>
    </w:p>
    <w:p w14:paraId="0DFC0AD6" w14:textId="77777777" w:rsidR="00BB6497" w:rsidRDefault="00BB6497">
      <w:pPr>
        <w:ind w:left="370"/>
      </w:pPr>
      <w:r>
        <w:t>1.</w:t>
      </w:r>
      <w:r>
        <w:rPr>
          <w:rFonts w:ascii="Arial" w:eastAsia="Arial" w:hAnsi="Arial" w:cs="Arial"/>
        </w:rPr>
        <w:t xml:space="preserve"> </w:t>
      </w:r>
      <w:r>
        <w:t xml:space="preserve">Mittels GuV-Rechnung </w:t>
      </w:r>
    </w:p>
    <w:p w14:paraId="1938657F" w14:textId="77777777" w:rsidR="00BB6497" w:rsidRDefault="00BB6497">
      <w:pPr>
        <w:spacing w:after="0" w:line="259" w:lineRule="auto"/>
        <w:ind w:left="360"/>
      </w:pPr>
      <w:r>
        <w:t xml:space="preserve"> </w:t>
      </w:r>
    </w:p>
    <w:p w14:paraId="239A83FE" w14:textId="77777777" w:rsidR="00BB6497" w:rsidRDefault="00BB6497">
      <w:pPr>
        <w:spacing w:after="0" w:line="259" w:lineRule="auto"/>
        <w:ind w:left="535"/>
      </w:pPr>
      <w:r>
        <w:rPr>
          <w:sz w:val="20"/>
        </w:rPr>
        <w:t xml:space="preserve"> Einnahmen (Erträge) </w:t>
      </w:r>
    </w:p>
    <w:p w14:paraId="79C66C5B" w14:textId="77777777" w:rsidR="00BB6497" w:rsidRDefault="00BB6497">
      <w:pPr>
        <w:pStyle w:val="berschrift4"/>
        <w:ind w:left="535"/>
      </w:pPr>
      <w:r>
        <w:t>-  Ausgaben (Aufwendungen)</w:t>
      </w:r>
      <w:r>
        <w:rPr>
          <w:u w:color="000000"/>
        </w:rPr>
        <w:t xml:space="preserve"> </w:t>
      </w:r>
    </w:p>
    <w:p w14:paraId="4C37CB08" w14:textId="77777777" w:rsidR="00BB6497" w:rsidRDefault="00BB6497">
      <w:pPr>
        <w:spacing w:after="0" w:line="259" w:lineRule="auto"/>
        <w:ind w:left="535"/>
      </w:pPr>
      <w:r>
        <w:rPr>
          <w:sz w:val="20"/>
        </w:rPr>
        <w:t xml:space="preserve">= Gewinn oder Verlust </w:t>
      </w:r>
    </w:p>
    <w:p w14:paraId="1374C202" w14:textId="77777777" w:rsidR="00BB6497" w:rsidRDefault="00BB6497">
      <w:pPr>
        <w:spacing w:after="0" w:line="259" w:lineRule="auto"/>
      </w:pPr>
      <w:r>
        <w:t xml:space="preserve"> </w:t>
      </w:r>
    </w:p>
    <w:p w14:paraId="014380E0" w14:textId="77777777" w:rsidR="00BB6497" w:rsidRDefault="00BB6497">
      <w:pPr>
        <w:ind w:left="370"/>
      </w:pPr>
      <w:r>
        <w:t>2.</w:t>
      </w:r>
      <w:r>
        <w:rPr>
          <w:rFonts w:ascii="Arial" w:eastAsia="Arial" w:hAnsi="Arial" w:cs="Arial"/>
        </w:rPr>
        <w:t xml:space="preserve"> </w:t>
      </w:r>
      <w:r>
        <w:t xml:space="preserve">Mittels Bilanzvergleich </w:t>
      </w:r>
    </w:p>
    <w:p w14:paraId="15B3C30E" w14:textId="77777777" w:rsidR="00BB6497" w:rsidRDefault="00BB6497">
      <w:pPr>
        <w:spacing w:after="0" w:line="259" w:lineRule="auto"/>
        <w:ind w:left="360"/>
      </w:pPr>
      <w:r>
        <w:t xml:space="preserve"> </w:t>
      </w:r>
    </w:p>
    <w:p w14:paraId="2C4EB3F9" w14:textId="77777777" w:rsidR="00BB6497" w:rsidRDefault="00BB6497">
      <w:pPr>
        <w:spacing w:after="0" w:line="259" w:lineRule="auto"/>
        <w:ind w:left="730"/>
      </w:pPr>
      <w:r>
        <w:rPr>
          <w:sz w:val="20"/>
        </w:rPr>
        <w:t xml:space="preserve">Eigenkapital Schlussbilanz </w:t>
      </w:r>
    </w:p>
    <w:p w14:paraId="625B2C29" w14:textId="77777777" w:rsidR="00BB6497" w:rsidRDefault="00BB6497">
      <w:pPr>
        <w:pStyle w:val="berschrift4"/>
        <w:ind w:left="535"/>
      </w:pPr>
      <w:r>
        <w:t>-  Eigenkapital Eröffnungsbilanz</w:t>
      </w:r>
      <w:r>
        <w:rPr>
          <w:u w:color="000000"/>
        </w:rPr>
        <w:t xml:space="preserve"> </w:t>
      </w:r>
    </w:p>
    <w:p w14:paraId="5EBA1B23" w14:textId="77777777" w:rsidR="00BB6497" w:rsidRDefault="00BB6497">
      <w:pPr>
        <w:spacing w:after="0" w:line="259" w:lineRule="auto"/>
        <w:ind w:left="535"/>
      </w:pPr>
      <w:r>
        <w:rPr>
          <w:sz w:val="20"/>
        </w:rPr>
        <w:t xml:space="preserve">= Gewinn oder Verlust </w:t>
      </w:r>
    </w:p>
    <w:p w14:paraId="24B00800" w14:textId="77777777" w:rsidR="00BB6497" w:rsidRDefault="00BB6497">
      <w:pPr>
        <w:spacing w:after="0" w:line="259" w:lineRule="auto"/>
      </w:pPr>
      <w:r>
        <w:t xml:space="preserve"> </w:t>
      </w:r>
    </w:p>
    <w:p w14:paraId="102FAC43" w14:textId="77777777" w:rsidR="00BB6497" w:rsidRDefault="00BB6497">
      <w:pPr>
        <w:spacing w:after="0" w:line="259" w:lineRule="auto"/>
      </w:pPr>
      <w:r>
        <w:t xml:space="preserve"> </w:t>
      </w:r>
    </w:p>
    <w:p w14:paraId="0FF04C07" w14:textId="77777777" w:rsidR="00BB6497" w:rsidRDefault="00BB6497">
      <w:pPr>
        <w:ind w:left="-5"/>
      </w:pPr>
      <w:r>
        <w:t xml:space="preserve">Auf beide Arten muss dasselbe Ergebnis ermittelt werden. Ist dies nicht der Fall, dann ist irgendwo in der Buchhaltung ein Fehler passiert, dem man auf den Grund gehen muss. Diese zweifache Art der Gewinnermittlung ist ein Charakteristikum der </w:t>
      </w:r>
      <w:r>
        <w:rPr>
          <w:rFonts w:ascii="Tahoma" w:eastAsia="Tahoma" w:hAnsi="Tahoma" w:cs="Tahoma"/>
          <w:b/>
        </w:rPr>
        <w:t xml:space="preserve">Doppelten Buchhaltung. </w:t>
      </w:r>
    </w:p>
    <w:p w14:paraId="10A1592D" w14:textId="77777777" w:rsidR="00BB6497" w:rsidRDefault="00BB6497">
      <w:pPr>
        <w:spacing w:after="0" w:line="259" w:lineRule="auto"/>
      </w:pPr>
      <w:r>
        <w:rPr>
          <w:rFonts w:ascii="Tahoma" w:eastAsia="Tahoma" w:hAnsi="Tahoma" w:cs="Tahoma"/>
          <w:b/>
        </w:rPr>
        <w:t xml:space="preserve"> </w:t>
      </w:r>
    </w:p>
    <w:p w14:paraId="18E6C268" w14:textId="77777777" w:rsidR="00BB6497" w:rsidRDefault="00BB6497">
      <w:pPr>
        <w:ind w:left="-5"/>
      </w:pPr>
      <w:r>
        <w:t xml:space="preserve">Grundlage der </w:t>
      </w:r>
      <w:r>
        <w:rPr>
          <w:rFonts w:ascii="Tahoma" w:eastAsia="Tahoma" w:hAnsi="Tahoma" w:cs="Tahoma"/>
          <w:b/>
        </w:rPr>
        <w:t>Bilanz</w:t>
      </w:r>
      <w:r>
        <w:t xml:space="preserve"> ist die Inventur zum Bilanzstichtag. </w:t>
      </w:r>
    </w:p>
    <w:p w14:paraId="67BCC5F4" w14:textId="77777777" w:rsidR="00BB6497" w:rsidRDefault="00BB6497">
      <w:pPr>
        <w:spacing w:after="0" w:line="259" w:lineRule="auto"/>
      </w:pPr>
      <w:r>
        <w:t xml:space="preserve"> </w:t>
      </w:r>
    </w:p>
    <w:p w14:paraId="500307FE" w14:textId="77777777" w:rsidR="00BB6497" w:rsidRDefault="00BB6497">
      <w:pPr>
        <w:ind w:left="-5"/>
      </w:pPr>
      <w:r>
        <w:t xml:space="preserve">Grundlage der </w:t>
      </w:r>
      <w:r>
        <w:rPr>
          <w:rFonts w:ascii="Tahoma" w:eastAsia="Tahoma" w:hAnsi="Tahoma" w:cs="Tahoma"/>
          <w:b/>
        </w:rPr>
        <w:t xml:space="preserve">Gewinn- und Verlustrechnung </w:t>
      </w:r>
      <w:r>
        <w:t xml:space="preserve">sind die Belege, die während des Geschäftsjahres gesammelt, sortiert und verbucht werden müssen. </w:t>
      </w:r>
    </w:p>
    <w:p w14:paraId="040D5D52" w14:textId="5FBF2208" w:rsidR="00BB6497" w:rsidRDefault="00BB6497">
      <w:pPr>
        <w:spacing w:after="56" w:line="259" w:lineRule="auto"/>
      </w:pPr>
    </w:p>
    <w:p w14:paraId="15D4C7EA" w14:textId="28414BDF" w:rsidR="00BB6497" w:rsidRDefault="00BB6497">
      <w:pPr>
        <w:spacing w:after="15" w:line="259" w:lineRule="auto"/>
      </w:pPr>
    </w:p>
    <w:p w14:paraId="1AE2B476" w14:textId="77777777" w:rsidR="00BB6497" w:rsidRDefault="00BB6497">
      <w:pPr>
        <w:spacing w:after="15" w:line="259" w:lineRule="auto"/>
      </w:pPr>
    </w:p>
    <w:p w14:paraId="3EEEEB81" w14:textId="77777777" w:rsidR="00BB6497" w:rsidRDefault="00BB6497">
      <w:pPr>
        <w:spacing w:after="15" w:line="259" w:lineRule="auto"/>
      </w:pPr>
    </w:p>
    <w:p w14:paraId="5C2CE1CE" w14:textId="77777777" w:rsidR="00BB6497" w:rsidRDefault="00BB6497">
      <w:pPr>
        <w:spacing w:after="15" w:line="259" w:lineRule="auto"/>
      </w:pPr>
    </w:p>
    <w:p w14:paraId="5BB1917A" w14:textId="77777777" w:rsidR="00BB6497" w:rsidRDefault="00BB6497">
      <w:pPr>
        <w:spacing w:after="15" w:line="259" w:lineRule="auto"/>
      </w:pPr>
    </w:p>
    <w:p w14:paraId="5E30382A" w14:textId="77777777" w:rsidR="00BB6497" w:rsidRDefault="00BB6497">
      <w:pPr>
        <w:spacing w:after="15" w:line="259" w:lineRule="auto"/>
      </w:pPr>
    </w:p>
    <w:p w14:paraId="1D71FCDC" w14:textId="77777777" w:rsidR="00BB6497" w:rsidRDefault="00BB6497">
      <w:pPr>
        <w:spacing w:after="15" w:line="259" w:lineRule="auto"/>
      </w:pPr>
    </w:p>
    <w:p w14:paraId="0EE76FF7" w14:textId="77777777" w:rsidR="00BB6497" w:rsidRDefault="00BB6497">
      <w:pPr>
        <w:spacing w:after="15" w:line="259" w:lineRule="auto"/>
      </w:pPr>
    </w:p>
    <w:p w14:paraId="1F06242B" w14:textId="77777777" w:rsidR="00BB6497" w:rsidRDefault="00BB6497">
      <w:pPr>
        <w:pStyle w:val="berschrift2"/>
      </w:pPr>
      <w:r>
        <w:t xml:space="preserve">PERIODENREINES ERGEBNIS </w:t>
      </w:r>
    </w:p>
    <w:p w14:paraId="49A63606" w14:textId="77777777" w:rsidR="00BB6497" w:rsidRDefault="00BB6497">
      <w:pPr>
        <w:spacing w:after="52" w:line="259" w:lineRule="auto"/>
        <w:ind w:left="-30" w:right="-121"/>
      </w:pPr>
      <w:r>
        <w:rPr>
          <w:rFonts w:ascii="Calibri" w:eastAsia="Calibri" w:hAnsi="Calibri" w:cs="Calibri"/>
          <w:noProof/>
        </w:rPr>
        <mc:AlternateContent>
          <mc:Choice Requires="wpg">
            <w:drawing>
              <wp:inline distT="0" distB="0" distL="0" distR="0" wp14:anchorId="403DC629" wp14:editId="1CE7E372">
                <wp:extent cx="5799583" cy="19050"/>
                <wp:effectExtent l="0" t="0" r="0" b="0"/>
                <wp:docPr id="1238" name="Group 1238"/>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1569" name="Shape 1569"/>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455DF21D" id="Group 1238"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">
                <v:shape id="Shape 1569"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" path="m,l5799583,r,19050l,19050,,e" fillcolor="#c00" stroked="f" strokeweight="0">
                  <v:stroke miterlimit="83231f" joinstyle="miter"/>
                  <v:path arrowok="t" textboxrect="0,0,5799583,19050"/>
                </v:shape>
                <w10:anchorlock/>
              </v:group>
            </w:pict>
          </mc:Fallback>
        </mc:AlternateContent>
      </w:r>
    </w:p>
    <w:p w14:paraId="08736B0F" w14:textId="77777777" w:rsidR="00BB6497" w:rsidRDefault="00BB6497">
      <w:pPr>
        <w:spacing w:after="0" w:line="259" w:lineRule="auto"/>
      </w:pPr>
      <w:r>
        <w:t xml:space="preserve"> </w:t>
      </w:r>
    </w:p>
    <w:p w14:paraId="4EDEE0FC" w14:textId="77777777" w:rsidR="00BB6497" w:rsidRDefault="00BB6497">
      <w:pPr>
        <w:spacing w:after="0" w:line="259" w:lineRule="auto"/>
      </w:pPr>
      <w:r>
        <w:lastRenderedPageBreak/>
        <w:t xml:space="preserve"> </w:t>
      </w:r>
    </w:p>
    <w:p w14:paraId="576A08C6" w14:textId="77777777" w:rsidR="00BB6497" w:rsidRDefault="00BB6497">
      <w:pPr>
        <w:pStyle w:val="berschrift3"/>
        <w:ind w:left="-5"/>
      </w:pPr>
      <w:r>
        <w:t>Verbindlichkeiten</w:t>
      </w:r>
      <w:r>
        <w:rPr>
          <w:u w:color="000000"/>
        </w:rPr>
        <w:t xml:space="preserve"> </w:t>
      </w:r>
    </w:p>
    <w:p w14:paraId="19DF7CFB" w14:textId="77777777" w:rsidR="00BB6497" w:rsidRDefault="00BB6497">
      <w:pPr>
        <w:spacing w:after="0" w:line="259" w:lineRule="auto"/>
      </w:pPr>
      <w:r>
        <w:t xml:space="preserve"> </w:t>
      </w:r>
    </w:p>
    <w:p w14:paraId="2DCA75FD" w14:textId="77777777" w:rsidR="00BB6497" w:rsidRDefault="00BB6497">
      <w:pPr>
        <w:spacing w:after="0" w:line="238" w:lineRule="auto"/>
        <w:jc w:val="both"/>
      </w:pPr>
      <w:r>
        <w:t xml:space="preserve">Von Lieferanten bereits in Rechnung gestellte, aber vor dem Jahresabschluss noch nicht bezahlte Rechnungen, werden </w:t>
      </w:r>
      <w:r>
        <w:rPr>
          <w:rFonts w:ascii="Tahoma" w:eastAsia="Tahoma" w:hAnsi="Tahoma" w:cs="Tahoma"/>
          <w:b/>
        </w:rPr>
        <w:t>Verbindlichkeiten</w:t>
      </w:r>
      <w:r>
        <w:t xml:space="preserve"> </w:t>
      </w:r>
      <w:r>
        <w:rPr>
          <w:rFonts w:ascii="Tahoma" w:eastAsia="Tahoma" w:hAnsi="Tahoma" w:cs="Tahoma"/>
        </w:rPr>
        <w:t>bzw. „</w:t>
      </w:r>
      <w:r>
        <w:rPr>
          <w:rFonts w:ascii="Tahoma" w:eastAsia="Tahoma" w:hAnsi="Tahoma" w:cs="Tahoma"/>
          <w:b/>
        </w:rPr>
        <w:t>Verbindlichkeiten aus Lieferungen und Leistungen</w:t>
      </w:r>
      <w:r>
        <w:t xml:space="preserve">" genannt.  </w:t>
      </w:r>
    </w:p>
    <w:p w14:paraId="4B1D255B" w14:textId="77777777" w:rsidR="00BB6497" w:rsidRDefault="00BB6497">
      <w:pPr>
        <w:spacing w:after="0" w:line="259" w:lineRule="auto"/>
      </w:pPr>
      <w:r>
        <w:t xml:space="preserve"> </w:t>
      </w:r>
    </w:p>
    <w:p w14:paraId="382EE19C" w14:textId="77777777" w:rsidR="00BB6497" w:rsidRDefault="00BB6497">
      <w:pPr>
        <w:ind w:left="-5"/>
      </w:pPr>
      <w:r>
        <w:t xml:space="preserve">Verbindlichkeiten werden auf der </w:t>
      </w:r>
      <w:proofErr w:type="spellStart"/>
      <w:r>
        <w:rPr>
          <w:rFonts w:ascii="Tahoma" w:eastAsia="Tahoma" w:hAnsi="Tahoma" w:cs="Tahoma"/>
          <w:b/>
        </w:rPr>
        <w:t>Passivaseite</w:t>
      </w:r>
      <w:proofErr w:type="spellEnd"/>
      <w:r>
        <w:t xml:space="preserve"> der Bilanz verbucht; sie zählen zum </w:t>
      </w:r>
      <w:r>
        <w:rPr>
          <w:rFonts w:ascii="Tahoma" w:eastAsia="Tahoma" w:hAnsi="Tahoma" w:cs="Tahoma"/>
          <w:b/>
        </w:rPr>
        <w:t>Fremdkapital</w:t>
      </w:r>
      <w:r>
        <w:t xml:space="preserve"> (man schuldet einen Betrag).   </w:t>
      </w:r>
    </w:p>
    <w:p w14:paraId="7991F76F" w14:textId="77777777" w:rsidR="00BB6497" w:rsidRDefault="00BB6497">
      <w:pPr>
        <w:spacing w:after="0" w:line="259" w:lineRule="auto"/>
      </w:pPr>
      <w:r>
        <w:t xml:space="preserve"> </w:t>
      </w:r>
    </w:p>
    <w:p w14:paraId="6FCE4E63" w14:textId="77777777" w:rsidR="00BB6497" w:rsidRDefault="00BB6497">
      <w:pPr>
        <w:pStyle w:val="berschrift3"/>
        <w:ind w:left="-5"/>
      </w:pPr>
      <w:r>
        <w:t>Forderungen</w:t>
      </w:r>
      <w:r>
        <w:rPr>
          <w:u w:color="000000"/>
        </w:rPr>
        <w:t xml:space="preserve"> </w:t>
      </w:r>
    </w:p>
    <w:p w14:paraId="58A22FEA" w14:textId="77777777" w:rsidR="00BB6497" w:rsidRDefault="00BB6497">
      <w:pPr>
        <w:spacing w:after="0" w:line="259" w:lineRule="auto"/>
      </w:pPr>
      <w:r>
        <w:t xml:space="preserve"> </w:t>
      </w:r>
    </w:p>
    <w:p w14:paraId="6114F8E6" w14:textId="77777777" w:rsidR="00BB6497" w:rsidRDefault="00BB6497">
      <w:pPr>
        <w:ind w:left="-5"/>
      </w:pPr>
      <w:r>
        <w:t xml:space="preserve">Vor dem Jahresabschluss ausgestellte, aber vom Kunden noch nicht bezahlte Rechnungen werden </w:t>
      </w:r>
      <w:r>
        <w:rPr>
          <w:rFonts w:ascii="Tahoma" w:eastAsia="Tahoma" w:hAnsi="Tahoma" w:cs="Tahoma"/>
          <w:b/>
        </w:rPr>
        <w:t>Forderungen</w:t>
      </w:r>
      <w:r>
        <w:t xml:space="preserve"> bzw. </w:t>
      </w:r>
      <w:r>
        <w:rPr>
          <w:rFonts w:ascii="Tahoma" w:eastAsia="Tahoma" w:hAnsi="Tahoma" w:cs="Tahoma"/>
        </w:rPr>
        <w:t>„</w:t>
      </w:r>
      <w:r>
        <w:rPr>
          <w:rFonts w:ascii="Tahoma" w:eastAsia="Tahoma" w:hAnsi="Tahoma" w:cs="Tahoma"/>
          <w:b/>
        </w:rPr>
        <w:t>Forderungen aus Lieferungen und Leistungen</w:t>
      </w:r>
      <w:r>
        <w:t xml:space="preserve">" bzw. </w:t>
      </w:r>
      <w:r>
        <w:rPr>
          <w:rFonts w:ascii="Tahoma" w:eastAsia="Tahoma" w:hAnsi="Tahoma" w:cs="Tahoma"/>
        </w:rPr>
        <w:t>„</w:t>
      </w:r>
      <w:r>
        <w:rPr>
          <w:rFonts w:ascii="Tahoma" w:eastAsia="Tahoma" w:hAnsi="Tahoma" w:cs="Tahoma"/>
          <w:b/>
        </w:rPr>
        <w:t>Lieferforderungen</w:t>
      </w:r>
      <w:r>
        <w:rPr>
          <w:rFonts w:ascii="Tahoma" w:eastAsia="Tahoma" w:hAnsi="Tahoma" w:cs="Tahoma"/>
        </w:rPr>
        <w:t>“ genannt.</w:t>
      </w:r>
      <w:r>
        <w:t xml:space="preserve"> </w:t>
      </w:r>
    </w:p>
    <w:p w14:paraId="7C9D8809" w14:textId="77777777" w:rsidR="00BB6497" w:rsidRDefault="00BB6497">
      <w:pPr>
        <w:spacing w:after="0" w:line="259" w:lineRule="auto"/>
      </w:pPr>
      <w:r>
        <w:t xml:space="preserve"> </w:t>
      </w:r>
    </w:p>
    <w:p w14:paraId="4278C478" w14:textId="77777777" w:rsidR="00BB6497" w:rsidRDefault="00BB6497">
      <w:pPr>
        <w:ind w:left="-5"/>
      </w:pPr>
      <w:r>
        <w:t xml:space="preserve">Forderungen werden auf der </w:t>
      </w:r>
      <w:proofErr w:type="spellStart"/>
      <w:r>
        <w:rPr>
          <w:rFonts w:ascii="Tahoma" w:eastAsia="Tahoma" w:hAnsi="Tahoma" w:cs="Tahoma"/>
          <w:b/>
        </w:rPr>
        <w:t>Aktivaseite</w:t>
      </w:r>
      <w:proofErr w:type="spellEnd"/>
      <w:r>
        <w:t xml:space="preserve"> der Bilanz berücksichtigt; sie gehören zum </w:t>
      </w:r>
      <w:r>
        <w:rPr>
          <w:rFonts w:ascii="Tahoma" w:eastAsia="Tahoma" w:hAnsi="Tahoma" w:cs="Tahoma"/>
          <w:b/>
        </w:rPr>
        <w:t>Umlaufvermögen</w:t>
      </w:r>
      <w:r>
        <w:t xml:space="preserve">. </w:t>
      </w:r>
    </w:p>
    <w:p w14:paraId="2E160B88" w14:textId="77777777" w:rsidR="00BB6497" w:rsidRDefault="00BB6497">
      <w:pPr>
        <w:spacing w:after="0" w:line="259" w:lineRule="auto"/>
      </w:pPr>
      <w:r>
        <w:t xml:space="preserve"> </w:t>
      </w:r>
    </w:p>
    <w:p w14:paraId="1EC53561" w14:textId="77777777" w:rsidR="00BB6497" w:rsidRDefault="00BB6497">
      <w:pPr>
        <w:pStyle w:val="berschrift3"/>
        <w:ind w:left="-5"/>
      </w:pPr>
      <w:r>
        <w:t>Rückstellungen</w:t>
      </w:r>
      <w:r>
        <w:rPr>
          <w:u w:color="000000"/>
        </w:rPr>
        <w:t xml:space="preserve"> </w:t>
      </w:r>
    </w:p>
    <w:p w14:paraId="0E9D7CF8" w14:textId="77777777" w:rsidR="00BB6497" w:rsidRDefault="00BB6497">
      <w:pPr>
        <w:spacing w:after="0" w:line="259" w:lineRule="auto"/>
      </w:pPr>
      <w:r>
        <w:t xml:space="preserve"> </w:t>
      </w:r>
    </w:p>
    <w:p w14:paraId="4ACFE872" w14:textId="77777777" w:rsidR="00BB6497" w:rsidRDefault="00BB6497">
      <w:pPr>
        <w:ind w:left="-5"/>
      </w:pPr>
      <w:r>
        <w:rPr>
          <w:rFonts w:ascii="Tahoma" w:eastAsia="Tahoma" w:hAnsi="Tahoma" w:cs="Tahoma"/>
          <w:b/>
        </w:rPr>
        <w:t>Rückstellungen</w:t>
      </w:r>
      <w:r>
        <w:t xml:space="preserve"> werden gebildet für in der Zukunft wahrscheinlich zu leistende Zahlungen. Im Gegensatz zu den Verbindlichkeiten liegt hier noch </w:t>
      </w:r>
      <w:r>
        <w:rPr>
          <w:rFonts w:ascii="Tahoma" w:eastAsia="Tahoma" w:hAnsi="Tahoma" w:cs="Tahoma"/>
          <w:b/>
        </w:rPr>
        <w:t>keine Rechnung</w:t>
      </w:r>
      <w:r>
        <w:t xml:space="preserve"> vor. Da noch keine Rechnung vorliegt, weiß man noch nicht hundertprozentig, ob bzw. in welcher Höhe gezahlt werden muss.  </w:t>
      </w:r>
    </w:p>
    <w:p w14:paraId="251539A7" w14:textId="77777777" w:rsidR="00BB6497" w:rsidRDefault="00BB6497">
      <w:pPr>
        <w:spacing w:after="0" w:line="259" w:lineRule="auto"/>
      </w:pPr>
      <w:r>
        <w:t xml:space="preserve"> </w:t>
      </w:r>
    </w:p>
    <w:p w14:paraId="3A518626" w14:textId="77777777" w:rsidR="00BB6497" w:rsidRDefault="00BB6497">
      <w:pPr>
        <w:ind w:left="-5"/>
      </w:pPr>
      <w:r>
        <w:t xml:space="preserve">Rückstellungen können zum Beispiel gebildet werden für </w:t>
      </w:r>
    </w:p>
    <w:p w14:paraId="64942869" w14:textId="77777777" w:rsidR="00BB6497" w:rsidRDefault="00BB6497" w:rsidP="00BB6497">
      <w:pPr>
        <w:numPr>
          <w:ilvl w:val="0"/>
          <w:numId w:val="5"/>
        </w:numPr>
        <w:spacing w:after="5" w:line="249" w:lineRule="auto"/>
        <w:ind w:hanging="360"/>
      </w:pPr>
      <w:r>
        <w:t xml:space="preserve">Pensionszusagen, die nur fällig werden, wenn der Mitarbeiter das Unternehmen nicht vor der Pension verlässt  </w:t>
      </w:r>
    </w:p>
    <w:p w14:paraId="22DF1E5C" w14:textId="77777777" w:rsidR="00BB6497" w:rsidRDefault="00BB6497" w:rsidP="00BB6497">
      <w:pPr>
        <w:numPr>
          <w:ilvl w:val="0"/>
          <w:numId w:val="5"/>
        </w:numPr>
        <w:spacing w:after="5" w:line="249" w:lineRule="auto"/>
        <w:ind w:hanging="360"/>
      </w:pPr>
      <w:r>
        <w:t xml:space="preserve">erhaltene Leistungen, für die noch keine Rechnung gestellt wurde </w:t>
      </w:r>
    </w:p>
    <w:p w14:paraId="649C7D92" w14:textId="77777777" w:rsidR="00BB6497" w:rsidRDefault="00BB6497" w:rsidP="00BB6497">
      <w:pPr>
        <w:numPr>
          <w:ilvl w:val="0"/>
          <w:numId w:val="5"/>
        </w:numPr>
        <w:spacing w:after="5" w:line="249" w:lineRule="auto"/>
        <w:ind w:hanging="360"/>
      </w:pPr>
      <w:r>
        <w:t xml:space="preserve">Serviceleistungen, Nacharbeiten oder Garantiereparaturen </w:t>
      </w:r>
    </w:p>
    <w:p w14:paraId="628A352F" w14:textId="77777777" w:rsidR="00BB6497" w:rsidRDefault="00BB6497" w:rsidP="00BB6497">
      <w:pPr>
        <w:numPr>
          <w:ilvl w:val="0"/>
          <w:numId w:val="5"/>
        </w:numPr>
        <w:spacing w:after="5" w:line="249" w:lineRule="auto"/>
        <w:ind w:hanging="360"/>
      </w:pPr>
      <w:r>
        <w:t xml:space="preserve">Prozessrisiken (Gerichtsverfahren) </w:t>
      </w:r>
      <w:r>
        <w:rPr>
          <w:rFonts w:ascii="Segoe UI Symbol" w:eastAsia="Segoe UI Symbol" w:hAnsi="Segoe UI Symbol" w:cs="Segoe UI Symbol"/>
        </w:rPr>
        <w:t>•</w:t>
      </w:r>
      <w:r>
        <w:rPr>
          <w:rFonts w:ascii="Arial" w:eastAsia="Arial" w:hAnsi="Arial" w:cs="Arial"/>
        </w:rPr>
        <w:t xml:space="preserve"> </w:t>
      </w:r>
      <w:r>
        <w:t xml:space="preserve">usw. </w:t>
      </w:r>
    </w:p>
    <w:p w14:paraId="6B274289" w14:textId="77777777" w:rsidR="00BB6497" w:rsidRDefault="00BB6497">
      <w:pPr>
        <w:spacing w:after="0" w:line="259" w:lineRule="auto"/>
      </w:pPr>
      <w:r>
        <w:t xml:space="preserve"> </w:t>
      </w:r>
    </w:p>
    <w:p w14:paraId="5C306247" w14:textId="77777777" w:rsidR="00BB6497" w:rsidRDefault="00BB6497">
      <w:pPr>
        <w:ind w:left="-5"/>
      </w:pPr>
      <w:r>
        <w:t xml:space="preserve">Rückstellungen werden auf der </w:t>
      </w:r>
      <w:r>
        <w:rPr>
          <w:rFonts w:ascii="Tahoma" w:eastAsia="Tahoma" w:hAnsi="Tahoma" w:cs="Tahoma"/>
          <w:b/>
        </w:rPr>
        <w:t>Passivseite</w:t>
      </w:r>
      <w:r>
        <w:t xml:space="preserve"> der Bilanz ausgewiesen. Sie gehören zum </w:t>
      </w:r>
      <w:r>
        <w:rPr>
          <w:rFonts w:ascii="Tahoma" w:eastAsia="Tahoma" w:hAnsi="Tahoma" w:cs="Tahoma"/>
          <w:b/>
        </w:rPr>
        <w:t>Fremdkapital</w:t>
      </w:r>
      <w:r>
        <w:t xml:space="preserve">. </w:t>
      </w:r>
    </w:p>
    <w:p w14:paraId="473715D5" w14:textId="77777777" w:rsidR="00BB6497" w:rsidRDefault="00BB6497">
      <w:pPr>
        <w:spacing w:after="0" w:line="259" w:lineRule="auto"/>
      </w:pPr>
      <w:r>
        <w:t xml:space="preserve"> </w:t>
      </w:r>
    </w:p>
    <w:p w14:paraId="274D76A1" w14:textId="77777777" w:rsidR="00BB6497" w:rsidRDefault="00BB6497">
      <w:pPr>
        <w:ind w:left="-5"/>
      </w:pPr>
      <w:r>
        <w:lastRenderedPageBreak/>
        <w:t xml:space="preserve">Angenehmer Nebeneffekt bei der Bildung von Rückstellungen: Sie mindern den Gewinn und damit auch die Steuerleistung. </w:t>
      </w:r>
    </w:p>
    <w:p w14:paraId="61CCC7B1" w14:textId="77777777" w:rsidR="00BB6497" w:rsidRDefault="00BB6497">
      <w:pPr>
        <w:spacing w:after="0" w:line="259" w:lineRule="auto"/>
      </w:pPr>
      <w:r>
        <w:t xml:space="preserve"> </w:t>
      </w:r>
    </w:p>
    <w:p w14:paraId="0815BCE7" w14:textId="77777777" w:rsidR="00BB6497" w:rsidRDefault="00BB6497">
      <w:pPr>
        <w:ind w:left="-5"/>
      </w:pPr>
      <w:r>
        <w:rPr>
          <w:rFonts w:ascii="Tahoma" w:eastAsia="Tahoma" w:hAnsi="Tahoma" w:cs="Tahoma"/>
          <w:b/>
        </w:rPr>
        <w:t>Rückstellungen</w:t>
      </w:r>
      <w:r>
        <w:t xml:space="preserve"> werden in dem Jahr </w:t>
      </w:r>
      <w:r>
        <w:rPr>
          <w:rFonts w:ascii="Tahoma" w:eastAsia="Tahoma" w:hAnsi="Tahoma" w:cs="Tahoma"/>
          <w:b/>
        </w:rPr>
        <w:t>gebildet</w:t>
      </w:r>
      <w:r>
        <w:t xml:space="preserve">, in dem der verursachende Geschäftsfall eingetreten ist (z.B. ein Schaden verursacht wurde, der zu einem Prozess führen kann). </w:t>
      </w:r>
    </w:p>
    <w:p w14:paraId="44FC971A" w14:textId="77777777" w:rsidR="00BB6497" w:rsidRDefault="00BB6497">
      <w:pPr>
        <w:spacing w:after="0" w:line="259" w:lineRule="auto"/>
      </w:pPr>
      <w:r>
        <w:t xml:space="preserve"> </w:t>
      </w:r>
    </w:p>
    <w:p w14:paraId="5B07CFB6" w14:textId="64204B7C" w:rsidR="00BB6497" w:rsidRDefault="00BB6497" w:rsidP="00BB6497">
      <w:pPr>
        <w:spacing w:after="482"/>
        <w:ind w:left="-5"/>
      </w:pPr>
      <w:r>
        <w:t xml:space="preserve">Die </w:t>
      </w:r>
      <w:r>
        <w:rPr>
          <w:rFonts w:ascii="Tahoma" w:eastAsia="Tahoma" w:hAnsi="Tahoma" w:cs="Tahoma"/>
          <w:b/>
        </w:rPr>
        <w:t>Rückstellung</w:t>
      </w:r>
      <w:r>
        <w:t xml:space="preserve"> ist wieder </w:t>
      </w:r>
      <w:r>
        <w:rPr>
          <w:rFonts w:ascii="Tahoma" w:eastAsia="Tahoma" w:hAnsi="Tahoma" w:cs="Tahoma"/>
          <w:b/>
        </w:rPr>
        <w:t>aufzulösen</w:t>
      </w:r>
      <w:r>
        <w:t xml:space="preserve">, wenn der Geschäftsfall abgeschlossen wurde (z.B. der Prozess gewonnen oder verloren wurde). Die Auflösung der Rückstellung ist gewinnerhöhend. </w:t>
      </w:r>
    </w:p>
    <w:p w14:paraId="1B8FAFF6" w14:textId="0ECD24FB" w:rsidR="00BB6497" w:rsidRDefault="00BB6497">
      <w:pPr>
        <w:spacing w:after="15" w:line="259" w:lineRule="auto"/>
      </w:pPr>
    </w:p>
    <w:p w14:paraId="725E3FF0" w14:textId="77777777" w:rsidR="00BB6497" w:rsidRDefault="00BB6497">
      <w:pPr>
        <w:pStyle w:val="berschrift2"/>
      </w:pPr>
      <w:r>
        <w:t xml:space="preserve">ABSCHREIBUNG </w:t>
      </w:r>
    </w:p>
    <w:p w14:paraId="24C7D6A5" w14:textId="77777777" w:rsidR="00BB6497" w:rsidRDefault="00BB6497">
      <w:pPr>
        <w:spacing w:after="52" w:line="259" w:lineRule="auto"/>
        <w:ind w:left="-30" w:right="-164"/>
      </w:pPr>
      <w:r>
        <w:rPr>
          <w:rFonts w:ascii="Calibri" w:eastAsia="Calibri" w:hAnsi="Calibri" w:cs="Calibri"/>
          <w:noProof/>
        </w:rPr>
        <mc:AlternateContent>
          <mc:Choice Requires="wpg">
            <w:drawing>
              <wp:inline distT="0" distB="0" distL="0" distR="0" wp14:anchorId="5EFAB79C" wp14:editId="5362D61B">
                <wp:extent cx="5799583" cy="19050"/>
                <wp:effectExtent l="0" t="0" r="0" b="0"/>
                <wp:docPr id="709" name="Group 709"/>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952" name="Shape 952"/>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03187FB8" id="Group 709"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">
                <v:shape id="Shape 952"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" path="m,l5799583,r,19050l,19050,,e" fillcolor="#c00" stroked="f" strokeweight="0">
                  <v:stroke miterlimit="83231f" joinstyle="miter"/>
                  <v:path arrowok="t" textboxrect="0,0,5799583,19050"/>
                </v:shape>
                <w10:anchorlock/>
              </v:group>
            </w:pict>
          </mc:Fallback>
        </mc:AlternateContent>
      </w:r>
    </w:p>
    <w:p w14:paraId="2182468B" w14:textId="77777777" w:rsidR="00BB6497" w:rsidRDefault="00BB6497">
      <w:pPr>
        <w:spacing w:after="0" w:line="259" w:lineRule="auto"/>
      </w:pPr>
      <w:r>
        <w:t xml:space="preserve"> </w:t>
      </w:r>
    </w:p>
    <w:p w14:paraId="1DD90ABB" w14:textId="77777777" w:rsidR="00BB6497" w:rsidRDefault="00BB6497">
      <w:pPr>
        <w:spacing w:after="0" w:line="259" w:lineRule="auto"/>
      </w:pPr>
      <w:r>
        <w:t xml:space="preserve"> </w:t>
      </w:r>
    </w:p>
    <w:p w14:paraId="2A7D5F4F" w14:textId="77777777" w:rsidR="00BB6497" w:rsidRDefault="00BB6497">
      <w:pPr>
        <w:ind w:left="-5"/>
      </w:pPr>
      <w:r>
        <w:t xml:space="preserve">Abnutzbares Anlagevermögen unterliegt einem ständigen </w:t>
      </w:r>
      <w:r>
        <w:rPr>
          <w:rFonts w:ascii="Tahoma" w:eastAsia="Tahoma" w:hAnsi="Tahoma" w:cs="Tahoma"/>
          <w:b/>
        </w:rPr>
        <w:t>Wertverlust</w:t>
      </w:r>
      <w:r>
        <w:t xml:space="preserve">. Dieser ist auch im Jahresabschluss zu berücksichtigen.   </w:t>
      </w:r>
    </w:p>
    <w:p w14:paraId="26BE1618" w14:textId="77777777" w:rsidR="00BB6497" w:rsidRDefault="00BB6497">
      <w:pPr>
        <w:spacing w:after="0" w:line="259" w:lineRule="auto"/>
      </w:pPr>
      <w:r>
        <w:t xml:space="preserve"> </w:t>
      </w:r>
    </w:p>
    <w:p w14:paraId="656259A1" w14:textId="77777777" w:rsidR="00BB6497" w:rsidRDefault="00BB6497">
      <w:pPr>
        <w:ind w:left="-5"/>
      </w:pPr>
      <w:r>
        <w:t xml:space="preserve">Die entsprechende Position lautet </w:t>
      </w:r>
      <w:r>
        <w:rPr>
          <w:rFonts w:ascii="Tahoma" w:eastAsia="Tahoma" w:hAnsi="Tahoma" w:cs="Tahoma"/>
        </w:rPr>
        <w:t>„</w:t>
      </w:r>
      <w:r>
        <w:rPr>
          <w:rFonts w:ascii="Tahoma" w:eastAsia="Tahoma" w:hAnsi="Tahoma" w:cs="Tahoma"/>
          <w:b/>
        </w:rPr>
        <w:t>Abschreibung</w:t>
      </w:r>
      <w:r>
        <w:rPr>
          <w:rFonts w:ascii="Tahoma" w:eastAsia="Tahoma" w:hAnsi="Tahoma" w:cs="Tahoma"/>
        </w:rPr>
        <w:t>“ bzw. „</w:t>
      </w:r>
      <w:r>
        <w:rPr>
          <w:rFonts w:ascii="Tahoma" w:eastAsia="Tahoma" w:hAnsi="Tahoma" w:cs="Tahoma"/>
          <w:b/>
        </w:rPr>
        <w:t>Absetzung für Abnutzung</w:t>
      </w:r>
      <w:r>
        <w:rPr>
          <w:rFonts w:ascii="Tahoma" w:eastAsia="Tahoma" w:hAnsi="Tahoma" w:cs="Tahoma"/>
        </w:rPr>
        <w:t>”, kurz „</w:t>
      </w:r>
      <w:r>
        <w:rPr>
          <w:rFonts w:ascii="Tahoma" w:eastAsia="Tahoma" w:hAnsi="Tahoma" w:cs="Tahoma"/>
          <w:b/>
        </w:rPr>
        <w:t>AfA</w:t>
      </w:r>
      <w:r>
        <w:rPr>
          <w:rFonts w:ascii="Tahoma" w:eastAsia="Tahoma" w:hAnsi="Tahoma" w:cs="Tahoma"/>
        </w:rPr>
        <w:t>“ genan</w:t>
      </w:r>
      <w:r>
        <w:t xml:space="preserve">nt.  Die lineare Abschreibung wird folgendermaßen berechnet: </w:t>
      </w:r>
    </w:p>
    <w:p w14:paraId="09155733" w14:textId="77777777" w:rsidR="00BB6497" w:rsidRDefault="00BB6497">
      <w:pPr>
        <w:spacing w:after="0" w:line="259" w:lineRule="auto"/>
      </w:pPr>
      <w:r>
        <w:t xml:space="preserve"> </w:t>
      </w:r>
    </w:p>
    <w:p w14:paraId="12BEED9D" w14:textId="77777777" w:rsidR="00BB6497" w:rsidRDefault="00BB6497">
      <w:pPr>
        <w:pStyle w:val="berschrift3"/>
      </w:pPr>
      <w:r>
        <w:t>Kaufpreis des Anlageguts</w:t>
      </w:r>
      <w:r>
        <w:rPr>
          <w:u w:color="000000"/>
        </w:rPr>
        <w:t xml:space="preserve"> </w:t>
      </w:r>
    </w:p>
    <w:p w14:paraId="41AE4859" w14:textId="77777777" w:rsidR="00BB6497" w:rsidRDefault="00BB6497">
      <w:pPr>
        <w:spacing w:after="0" w:line="259" w:lineRule="auto"/>
        <w:ind w:left="746"/>
      </w:pPr>
      <w:r>
        <w:rPr>
          <w:sz w:val="20"/>
        </w:rPr>
        <w:t xml:space="preserve">jährliche Abschreibung = </w:t>
      </w:r>
    </w:p>
    <w:p w14:paraId="561A4D88" w14:textId="77777777" w:rsidR="00BB6497" w:rsidRDefault="00BB6497">
      <w:pPr>
        <w:spacing w:after="3" w:line="265" w:lineRule="auto"/>
        <w:ind w:left="143" w:right="433"/>
        <w:jc w:val="center"/>
      </w:pPr>
      <w:r>
        <w:rPr>
          <w:sz w:val="20"/>
        </w:rPr>
        <w:t xml:space="preserve">Nutzungsdauer </w:t>
      </w:r>
    </w:p>
    <w:p w14:paraId="4A1D3405" w14:textId="77777777" w:rsidR="00BB6497" w:rsidRDefault="00BB6497">
      <w:pPr>
        <w:spacing w:after="0" w:line="259" w:lineRule="auto"/>
      </w:pPr>
      <w:r>
        <w:t xml:space="preserve"> </w:t>
      </w:r>
    </w:p>
    <w:p w14:paraId="5D6186F2" w14:textId="77777777" w:rsidR="00BB6497" w:rsidRDefault="00BB6497">
      <w:pPr>
        <w:spacing w:after="0" w:line="259" w:lineRule="auto"/>
      </w:pPr>
      <w:r>
        <w:t xml:space="preserve"> </w:t>
      </w:r>
    </w:p>
    <w:p w14:paraId="0182D7AC" w14:textId="77777777" w:rsidR="00BB6497" w:rsidRDefault="00BB6497">
      <w:pPr>
        <w:ind w:left="-5"/>
      </w:pPr>
      <w:r>
        <w:t xml:space="preserve">Die voraussichtliche Nutzungsdauer eines Anlageguts kann nur geschätzt werden. (Der Gesetzgeber gibt für die einzelnen Anlagegüter Richtwerte vor).   </w:t>
      </w:r>
    </w:p>
    <w:p w14:paraId="1398883A" w14:textId="77777777" w:rsidR="00BB6497" w:rsidRDefault="00BB6497">
      <w:pPr>
        <w:spacing w:after="0" w:line="259" w:lineRule="auto"/>
      </w:pPr>
      <w:r>
        <w:t xml:space="preserve"> </w:t>
      </w:r>
    </w:p>
    <w:p w14:paraId="5DAEC906" w14:textId="77777777" w:rsidR="00BB6497" w:rsidRDefault="00BB6497">
      <w:pPr>
        <w:ind w:left="-5"/>
      </w:pPr>
      <w:r>
        <w:t xml:space="preserve">Der </w:t>
      </w:r>
      <w:r>
        <w:rPr>
          <w:rFonts w:ascii="Tahoma" w:eastAsia="Tahoma" w:hAnsi="Tahoma" w:cs="Tahoma"/>
          <w:b/>
        </w:rPr>
        <w:t>jährliche Wertverlust</w:t>
      </w:r>
      <w:r>
        <w:t xml:space="preserve"> des Anlagevermögens macht ein Unternehmen ärmer.   </w:t>
      </w:r>
    </w:p>
    <w:p w14:paraId="1562DA1D" w14:textId="77777777" w:rsidR="00BB6497" w:rsidRDefault="00BB6497">
      <w:pPr>
        <w:ind w:left="-5"/>
      </w:pPr>
      <w:r>
        <w:t xml:space="preserve">Dies ist sowohl   </w:t>
      </w:r>
    </w:p>
    <w:p w14:paraId="0C564E20" w14:textId="77777777" w:rsidR="00BB6497" w:rsidRDefault="00BB6497" w:rsidP="00BB6497">
      <w:pPr>
        <w:numPr>
          <w:ilvl w:val="0"/>
          <w:numId w:val="6"/>
        </w:numPr>
        <w:spacing w:after="5" w:line="249" w:lineRule="auto"/>
        <w:ind w:right="1288" w:firstLine="170"/>
      </w:pPr>
      <w:r>
        <w:t xml:space="preserve">in der Bilanz (Abwertung des Anlagevermögens) als auch  </w:t>
      </w:r>
    </w:p>
    <w:p w14:paraId="65FFCEF4" w14:textId="77777777" w:rsidR="00BB6497" w:rsidRDefault="00BB6497" w:rsidP="00BB6497">
      <w:pPr>
        <w:numPr>
          <w:ilvl w:val="0"/>
          <w:numId w:val="6"/>
        </w:numPr>
        <w:spacing w:after="5" w:line="249" w:lineRule="auto"/>
        <w:ind w:right="1288" w:firstLine="170"/>
      </w:pPr>
      <w:r>
        <w:t xml:space="preserve">in der GuV-Rechnung (als gewinnmindernder </w:t>
      </w:r>
      <w:proofErr w:type="gramStart"/>
      <w:r>
        <w:t xml:space="preserve">Aufwand)   </w:t>
      </w:r>
      <w:proofErr w:type="gramEnd"/>
      <w:r>
        <w:t xml:space="preserve">zu berücksichtigen.    </w:t>
      </w:r>
    </w:p>
    <w:p w14:paraId="21B362B9" w14:textId="77777777" w:rsidR="00BB6497" w:rsidRDefault="00BB6497">
      <w:pPr>
        <w:spacing w:after="0" w:line="259" w:lineRule="auto"/>
      </w:pPr>
      <w:r>
        <w:t xml:space="preserve"> </w:t>
      </w:r>
    </w:p>
    <w:p w14:paraId="79DF2540" w14:textId="77777777" w:rsidR="00BB6497" w:rsidRDefault="00BB6497">
      <w:pPr>
        <w:spacing w:after="0" w:line="259" w:lineRule="auto"/>
      </w:pPr>
      <w:r>
        <w:lastRenderedPageBreak/>
        <w:t xml:space="preserve"> </w:t>
      </w:r>
    </w:p>
    <w:p w14:paraId="00A5047C" w14:textId="77777777" w:rsidR="00BB6497" w:rsidRDefault="00BB6497">
      <w:pPr>
        <w:ind w:left="-5"/>
      </w:pPr>
      <w:r>
        <w:rPr>
          <w:rFonts w:ascii="Tahoma" w:eastAsia="Tahoma" w:hAnsi="Tahoma" w:cs="Tahoma"/>
          <w:b/>
        </w:rPr>
        <w:t>Hinweis</w:t>
      </w:r>
      <w:r>
        <w:rPr>
          <w:rFonts w:ascii="Tahoma" w:eastAsia="Tahoma" w:hAnsi="Tahoma" w:cs="Tahoma"/>
        </w:rPr>
        <w:t xml:space="preserve">: In der Buchhaltung wird unterschieden zwischen „Aufwendungen, die gleichzeitig </w:t>
      </w:r>
      <w:r>
        <w:t xml:space="preserve">Ausgaben (Zahlung) zur Folge haben und Aufwendungen, die keine Ausgabe zur Folge haben. </w:t>
      </w:r>
    </w:p>
    <w:p w14:paraId="55A9C2D1" w14:textId="77777777" w:rsidR="00BB6497" w:rsidRDefault="00BB6497">
      <w:pPr>
        <w:spacing w:after="0" w:line="259" w:lineRule="auto"/>
      </w:pPr>
      <w:r>
        <w:t xml:space="preserve"> </w:t>
      </w:r>
    </w:p>
    <w:p w14:paraId="0495E822" w14:textId="05FBF385" w:rsidR="00BB6497" w:rsidRPr="00BB6497" w:rsidRDefault="00BB6497" w:rsidP="00BB6497">
      <w:pPr>
        <w:spacing w:after="5314"/>
        <w:ind w:left="-5"/>
        <w:rPr>
          <w:rFonts w:ascii="Tahoma" w:eastAsia="Tahoma" w:hAnsi="Tahoma" w:cs="Tahoma"/>
          <w:sz w:val="28"/>
        </w:rPr>
      </w:pPr>
      <w:r>
        <w:t xml:space="preserve">Die Abschreibung ist ein Aufwand, aber keine Ausgabe. Dieser Geschäftsfall </w:t>
      </w:r>
      <w:proofErr w:type="gramStart"/>
      <w:r>
        <w:t>findet quasi</w:t>
      </w:r>
      <w:proofErr w:type="gramEnd"/>
      <w:r>
        <w:t xml:space="preserve"> nur auf Papier statt. Das Gleiche gilt, wenn eine Rückstellung gebildet wird. (Diese </w:t>
      </w:r>
      <w:r>
        <w:rPr>
          <w:rFonts w:ascii="Tahoma" w:eastAsia="Tahoma" w:hAnsi="Tahoma" w:cs="Tahoma"/>
        </w:rPr>
        <w:t>Unterscheidung</w:t>
      </w:r>
    </w:p>
    <w:p w14:paraId="7B146EDD" w14:textId="77777777" w:rsidR="00BB6497" w:rsidRDefault="00BB6497">
      <w:pPr>
        <w:spacing w:after="15" w:line="259" w:lineRule="auto"/>
      </w:pPr>
      <w:r>
        <w:t xml:space="preserve"> </w:t>
      </w:r>
    </w:p>
    <w:p w14:paraId="59EE153C" w14:textId="77777777" w:rsidR="00BB6497" w:rsidRDefault="00BB6497">
      <w:pPr>
        <w:pStyle w:val="berschrift2"/>
      </w:pPr>
      <w:r>
        <w:t xml:space="preserve">GEWINNMINDERUNG </w:t>
      </w:r>
    </w:p>
    <w:p w14:paraId="1DB18FDE" w14:textId="77777777" w:rsidR="00BB6497" w:rsidRDefault="00BB6497">
      <w:pPr>
        <w:spacing w:after="56" w:line="259" w:lineRule="auto"/>
        <w:ind w:left="-30" w:right="-34"/>
      </w:pPr>
      <w:r>
        <w:rPr>
          <w:rFonts w:ascii="Calibri" w:eastAsia="Calibri" w:hAnsi="Calibri" w:cs="Calibri"/>
          <w:noProof/>
        </w:rPr>
        <mc:AlternateContent>
          <mc:Choice Requires="wpg">
            <w:drawing>
              <wp:inline distT="0" distB="0" distL="0" distR="0" wp14:anchorId="0B236843" wp14:editId="6863812B">
                <wp:extent cx="5799583" cy="19050"/>
                <wp:effectExtent l="0" t="0" r="0" b="0"/>
                <wp:docPr id="845" name="Group 845"/>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1069" name="Shape 1069"/>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6E5F27F3" id="Group 845"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">
                <v:shape id="Shape 1069"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" path="m,l5799583,r,19050l,19050,,e" fillcolor="#c00" stroked="f" strokeweight="0">
                  <v:stroke miterlimit="83231f" joinstyle="miter"/>
                  <v:path arrowok="t" textboxrect="0,0,5799583,19050"/>
                </v:shape>
                <w10:anchorlock/>
              </v:group>
            </w:pict>
          </mc:Fallback>
        </mc:AlternateContent>
      </w:r>
    </w:p>
    <w:p w14:paraId="3FE8EECC" w14:textId="77777777" w:rsidR="00BB6497" w:rsidRDefault="00BB6497">
      <w:pPr>
        <w:spacing w:after="0" w:line="259" w:lineRule="auto"/>
      </w:pPr>
      <w:r>
        <w:t xml:space="preserve"> </w:t>
      </w:r>
    </w:p>
    <w:p w14:paraId="661DD5F5" w14:textId="77777777" w:rsidR="00BB6497" w:rsidRDefault="00BB6497">
      <w:pPr>
        <w:spacing w:after="0" w:line="259" w:lineRule="auto"/>
      </w:pPr>
      <w:r>
        <w:t xml:space="preserve"> </w:t>
      </w:r>
    </w:p>
    <w:p w14:paraId="21A60DA5" w14:textId="77777777" w:rsidR="00BB6497" w:rsidRDefault="00BB6497">
      <w:pPr>
        <w:spacing w:after="0" w:line="259" w:lineRule="auto"/>
      </w:pPr>
      <w:r>
        <w:t xml:space="preserve">Nur jene </w:t>
      </w:r>
      <w:r>
        <w:rPr>
          <w:rFonts w:ascii="Tahoma" w:eastAsia="Tahoma" w:hAnsi="Tahoma" w:cs="Tahoma"/>
          <w:b/>
        </w:rPr>
        <w:t>Ausgaben, die ein Unternehmen tatsächlich „ärmer” machen</w:t>
      </w:r>
      <w:r>
        <w:t xml:space="preserve">, werden in der </w:t>
      </w:r>
    </w:p>
    <w:p w14:paraId="7A662D28" w14:textId="77777777" w:rsidR="00BB6497" w:rsidRDefault="00BB6497">
      <w:pPr>
        <w:ind w:left="-5"/>
      </w:pPr>
      <w:r>
        <w:t xml:space="preserve">GuV-Rechnung als Aufwand berücksichtigt. Nur diese machen das Unternehmen tatsächlich </w:t>
      </w:r>
    </w:p>
    <w:p w14:paraId="3CDF5CE7" w14:textId="77777777" w:rsidR="00BB6497" w:rsidRDefault="00BB6497">
      <w:pPr>
        <w:ind w:left="-5"/>
      </w:pPr>
      <w:r>
        <w:rPr>
          <w:rFonts w:ascii="Tahoma" w:eastAsia="Tahoma" w:hAnsi="Tahoma" w:cs="Tahoma"/>
        </w:rPr>
        <w:t>„ärmer“ und reduzieren im Abschlussjahr in voller Hö</w:t>
      </w:r>
      <w:r>
        <w:t xml:space="preserve">he den Gewinn und somit auch die Besteuerungsbasis. Dazu gehören beispielsweise Ausgaben für Materialverbrauch, Personal, Telefongebühren, Werbung, etc. </w:t>
      </w:r>
    </w:p>
    <w:p w14:paraId="5FFBF00B" w14:textId="77777777" w:rsidR="00BB6497" w:rsidRDefault="00BB6497">
      <w:pPr>
        <w:spacing w:after="0" w:line="259" w:lineRule="auto"/>
      </w:pPr>
      <w:r>
        <w:t xml:space="preserve"> </w:t>
      </w:r>
    </w:p>
    <w:p w14:paraId="5F34C5F0" w14:textId="77777777" w:rsidR="00BB6497" w:rsidRDefault="00BB6497">
      <w:pPr>
        <w:spacing w:after="0" w:line="259" w:lineRule="auto"/>
        <w:ind w:left="-5"/>
      </w:pPr>
      <w:r>
        <w:rPr>
          <w:rFonts w:ascii="Tahoma" w:eastAsia="Tahoma" w:hAnsi="Tahoma" w:cs="Tahoma"/>
          <w:b/>
        </w:rPr>
        <w:t>Ausgaben, denen ein bleibender Wert gegenübersteht</w:t>
      </w:r>
      <w:r>
        <w:t xml:space="preserve">, sind nicht sofort in voller </w:t>
      </w:r>
    </w:p>
    <w:p w14:paraId="069A7044" w14:textId="77777777" w:rsidR="00BB6497" w:rsidRDefault="00BB6497">
      <w:pPr>
        <w:ind w:left="-5"/>
      </w:pPr>
      <w:r>
        <w:lastRenderedPageBreak/>
        <w:t xml:space="preserve">Höhe gewinnmindernd (z.B. Investitionen in Gebäude, Maschinen etc.). Diese müssen in der </w:t>
      </w:r>
    </w:p>
    <w:p w14:paraId="6DD19FA4" w14:textId="77777777" w:rsidR="00BB6497" w:rsidRDefault="00BB6497">
      <w:pPr>
        <w:ind w:left="-5"/>
      </w:pPr>
      <w:r>
        <w:t xml:space="preserve">Bilanz </w:t>
      </w:r>
      <w:r>
        <w:rPr>
          <w:rFonts w:ascii="Tahoma" w:eastAsia="Tahoma" w:hAnsi="Tahoma" w:cs="Tahoma"/>
        </w:rPr>
        <w:t>„</w:t>
      </w:r>
      <w:r>
        <w:rPr>
          <w:rFonts w:ascii="Tahoma" w:eastAsia="Tahoma" w:hAnsi="Tahoma" w:cs="Tahoma"/>
          <w:b/>
        </w:rPr>
        <w:t>aktiviert</w:t>
      </w:r>
      <w:r>
        <w:t xml:space="preserve">" werden. Ein gewinnmindernder Aufwand findet hier erst im Laufe der Jahre in Form der jährlichen Abschreibungsraten statt (verteilt auf die Nutzungsdauer des Anlagegutes). </w:t>
      </w:r>
    </w:p>
    <w:p w14:paraId="1DE64699" w14:textId="77777777" w:rsidR="00BB6497" w:rsidRDefault="00BB6497">
      <w:pPr>
        <w:spacing w:after="0" w:line="259" w:lineRule="auto"/>
      </w:pPr>
      <w:r>
        <w:t xml:space="preserve"> </w:t>
      </w:r>
    </w:p>
    <w:p w14:paraId="262F2457" w14:textId="77777777" w:rsidR="00BB6497" w:rsidRDefault="00BB6497">
      <w:pPr>
        <w:ind w:left="-5"/>
      </w:pPr>
      <w:r>
        <w:t xml:space="preserve">Steuerberater kennen jedoch Gestaltungsmöglichkeiten, den </w:t>
      </w:r>
      <w:proofErr w:type="gramStart"/>
      <w:r>
        <w:t>zu versteuernden Gewinn</w:t>
      </w:r>
      <w:proofErr w:type="gramEnd"/>
      <w:r>
        <w:t xml:space="preserve"> möglichst niedrig zu halten. Dazu gehören </w:t>
      </w:r>
      <w:proofErr w:type="spellStart"/>
      <w:r>
        <w:t>u.a</w:t>
      </w:r>
      <w:proofErr w:type="spellEnd"/>
      <w:r>
        <w:t xml:space="preserve">: </w:t>
      </w:r>
    </w:p>
    <w:p w14:paraId="7991DF64" w14:textId="77777777" w:rsidR="00BB6497" w:rsidRDefault="00BB6497" w:rsidP="00BB6497">
      <w:pPr>
        <w:numPr>
          <w:ilvl w:val="0"/>
          <w:numId w:val="7"/>
        </w:numPr>
        <w:spacing w:after="5" w:line="249" w:lineRule="auto"/>
        <w:ind w:hanging="180"/>
      </w:pPr>
      <w:r>
        <w:t xml:space="preserve">erhöhte Abschreibungsraten für Anlagegüter (durch eine niedrig angesetzte Nutzungsdauer, die sich allerdings im gesetzlich vorgegebenen Rahmen bewegen muss).  </w:t>
      </w:r>
    </w:p>
    <w:p w14:paraId="6C33EB99" w14:textId="77777777" w:rsidR="00BB6497" w:rsidRDefault="00BB6497" w:rsidP="00BB6497">
      <w:pPr>
        <w:numPr>
          <w:ilvl w:val="0"/>
          <w:numId w:val="7"/>
        </w:numPr>
        <w:spacing w:after="5" w:line="249" w:lineRule="auto"/>
        <w:ind w:hanging="180"/>
      </w:pPr>
      <w:r>
        <w:t xml:space="preserve">die Bildung von Rückstellungen </w:t>
      </w:r>
    </w:p>
    <w:p w14:paraId="1EE2388E" w14:textId="77777777" w:rsidR="00BB6497" w:rsidRDefault="00BB6497" w:rsidP="00BB6497">
      <w:pPr>
        <w:numPr>
          <w:ilvl w:val="0"/>
          <w:numId w:val="7"/>
        </w:numPr>
        <w:spacing w:after="5" w:line="249" w:lineRule="auto"/>
        <w:ind w:hanging="180"/>
      </w:pPr>
      <w:r>
        <w:t xml:space="preserve">und bei der GmbH: die Berücksichtigung eines Geschäftsführerbezugs </w:t>
      </w:r>
    </w:p>
    <w:p w14:paraId="67A06FAF" w14:textId="77777777" w:rsidR="00BB6497" w:rsidRDefault="00BB6497">
      <w:pPr>
        <w:spacing w:after="0" w:line="259" w:lineRule="auto"/>
      </w:pPr>
      <w:r>
        <w:t xml:space="preserve"> </w:t>
      </w:r>
    </w:p>
    <w:p w14:paraId="10E96D16" w14:textId="77777777" w:rsidR="00BB6497" w:rsidRDefault="00BB6497">
      <w:pPr>
        <w:spacing w:after="0" w:line="259" w:lineRule="auto"/>
      </w:pPr>
      <w:r>
        <w:t xml:space="preserve"> </w:t>
      </w:r>
    </w:p>
    <w:p w14:paraId="660A96AB" w14:textId="77777777" w:rsidR="00BB6497" w:rsidRDefault="00BB6497">
      <w:pPr>
        <w:spacing w:after="0" w:line="259" w:lineRule="auto"/>
        <w:ind w:left="-5"/>
      </w:pPr>
      <w:r>
        <w:rPr>
          <w:rFonts w:ascii="Tahoma" w:eastAsia="Tahoma" w:hAnsi="Tahoma" w:cs="Tahoma"/>
          <w:b/>
        </w:rPr>
        <w:t xml:space="preserve">Geringwertige Wirtschaftsgüter </w:t>
      </w:r>
    </w:p>
    <w:p w14:paraId="3F43085F" w14:textId="77777777" w:rsidR="00BB6497" w:rsidRDefault="00BB6497">
      <w:pPr>
        <w:spacing w:after="0" w:line="259" w:lineRule="auto"/>
      </w:pPr>
      <w:r>
        <w:t xml:space="preserve"> </w:t>
      </w:r>
    </w:p>
    <w:p w14:paraId="09A4EDB8" w14:textId="77777777" w:rsidR="00BB6497" w:rsidRDefault="00BB6497">
      <w:pPr>
        <w:ind w:left="-5"/>
      </w:pPr>
      <w:r>
        <w:t xml:space="preserve">Güter, die dem Unternehmen langfristig dienen (also prinzipiell aktivierungspflichtiges Anlagevermögen wäre), deren Anschaffungswert jedoch </w:t>
      </w:r>
      <w:r>
        <w:rPr>
          <w:rFonts w:ascii="Tahoma" w:eastAsia="Tahoma" w:hAnsi="Tahoma" w:cs="Tahoma"/>
        </w:rPr>
        <w:t xml:space="preserve">€ </w:t>
      </w:r>
      <w:r>
        <w:t xml:space="preserve">150,- (in Österreich: </w:t>
      </w:r>
      <w:r>
        <w:rPr>
          <w:rFonts w:ascii="Tahoma" w:eastAsia="Tahoma" w:hAnsi="Tahoma" w:cs="Tahoma"/>
        </w:rPr>
        <w:t xml:space="preserve">€ </w:t>
      </w:r>
      <w:r>
        <w:t xml:space="preserve">400,-) nicht überschreitet, müssen sofort im Jahre der Anschaffung voll abgeschrieben werden und mindern den Gewinn in voller Höhe (Bsp.: Lampe, Tastatur etc.). Geringwertige </w:t>
      </w:r>
    </w:p>
    <w:p w14:paraId="17407115" w14:textId="77777777" w:rsidR="00BB6497" w:rsidRDefault="00BB6497">
      <w:pPr>
        <w:ind w:left="-5"/>
      </w:pPr>
      <w:r>
        <w:t xml:space="preserve">Wirtschaftsgüter sieht man im Jahr der Anschaffung in der GuV-Rechnung, nicht jedoch in der Bilanz. </w:t>
      </w:r>
    </w:p>
    <w:p w14:paraId="77EC70DB" w14:textId="2C3032EA" w:rsidR="00BB6497" w:rsidRDefault="00BB6497">
      <w:pPr>
        <w:spacing w:after="15" w:line="259" w:lineRule="auto"/>
      </w:pPr>
    </w:p>
    <w:p w14:paraId="44B27F97" w14:textId="77777777" w:rsidR="00BB6497" w:rsidRDefault="00BB6497">
      <w:pPr>
        <w:pStyle w:val="berschrift2"/>
      </w:pPr>
      <w:r>
        <w:t xml:space="preserve">GEWINN- UND VERLUSTRECHNUNG IN STAFFELFORM </w:t>
      </w:r>
    </w:p>
    <w:p w14:paraId="0ED58B6A" w14:textId="77777777" w:rsidR="00BB6497" w:rsidRDefault="00BB6497">
      <w:pPr>
        <w:spacing w:after="56" w:line="259" w:lineRule="auto"/>
        <w:ind w:left="-30" w:right="-81"/>
      </w:pPr>
      <w:r>
        <w:rPr>
          <w:rFonts w:ascii="Calibri" w:eastAsia="Calibri" w:hAnsi="Calibri" w:cs="Calibri"/>
          <w:noProof/>
        </w:rPr>
        <mc:AlternateContent>
          <mc:Choice Requires="wpg">
            <w:drawing>
              <wp:inline distT="0" distB="0" distL="0" distR="0" wp14:anchorId="660F2AF1" wp14:editId="6EEF3C76">
                <wp:extent cx="5799583" cy="19050"/>
                <wp:effectExtent l="0" t="0" r="0" b="0"/>
                <wp:docPr id="1697" name="Group 1697"/>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2115" name="Shape 2115"/>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4723A789" id="Group 1697"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">
                <v:shape id="Shape 2115"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" path="m,l5799583,r,19050l,19050,,e" fillcolor="#c00" stroked="f" strokeweight="0">
                  <v:stroke miterlimit="83231f" joinstyle="miter"/>
                  <v:path arrowok="t" textboxrect="0,0,5799583,19050"/>
                </v:shape>
                <w10:anchorlock/>
              </v:group>
            </w:pict>
          </mc:Fallback>
        </mc:AlternateContent>
      </w:r>
    </w:p>
    <w:p w14:paraId="315226E5" w14:textId="77777777" w:rsidR="00BB6497" w:rsidRDefault="00BB6497">
      <w:pPr>
        <w:spacing w:after="0" w:line="259" w:lineRule="auto"/>
      </w:pPr>
      <w:r>
        <w:t xml:space="preserve"> </w:t>
      </w:r>
    </w:p>
    <w:p w14:paraId="37AADA50" w14:textId="77777777" w:rsidR="00BB6497" w:rsidRDefault="00BB6497">
      <w:pPr>
        <w:spacing w:after="0" w:line="259" w:lineRule="auto"/>
      </w:pPr>
      <w:r>
        <w:t xml:space="preserve"> </w:t>
      </w:r>
    </w:p>
    <w:p w14:paraId="3085EE9A" w14:textId="77777777" w:rsidR="00BB6497" w:rsidRDefault="00BB6497">
      <w:pPr>
        <w:ind w:left="-5"/>
      </w:pPr>
      <w:r>
        <w:t xml:space="preserve">Durch den </w:t>
      </w:r>
      <w:r>
        <w:rPr>
          <w:rFonts w:ascii="Tahoma" w:eastAsia="Tahoma" w:hAnsi="Tahoma" w:cs="Tahoma"/>
          <w:b/>
        </w:rPr>
        <w:t>Aufbau der Gewinn- und Verlustrechnung</w:t>
      </w:r>
      <w:r>
        <w:t xml:space="preserve"> (in der Schweiz: Erfolgsrechnung) in Staffelform wird klar ersichtlich, aus welcher Quelle ein Gewinn oder Verlust stammt. Dadurch wird auf einen Blick eine erste Analyse des Jahresergebnisses ermöglicht. </w:t>
      </w:r>
    </w:p>
    <w:p w14:paraId="1D1F64FC" w14:textId="77777777" w:rsidR="00BB6497" w:rsidRDefault="00BB6497">
      <w:pPr>
        <w:spacing w:after="0" w:line="259" w:lineRule="auto"/>
      </w:pPr>
      <w:r>
        <w:t xml:space="preserve"> </w:t>
      </w:r>
    </w:p>
    <w:p w14:paraId="5871E59F" w14:textId="77777777" w:rsidR="00BB6497" w:rsidRDefault="00BB6497">
      <w:pPr>
        <w:tabs>
          <w:tab w:val="center" w:pos="1339"/>
          <w:tab w:val="center" w:pos="4924"/>
        </w:tabs>
        <w:spacing w:after="0" w:line="259" w:lineRule="auto"/>
      </w:pPr>
      <w:r>
        <w:rPr>
          <w:rFonts w:ascii="Calibri" w:eastAsia="Calibri" w:hAnsi="Calibri" w:cs="Calibri"/>
          <w:sz w:val="22"/>
        </w:rPr>
        <w:tab/>
      </w:r>
      <w:r>
        <w:rPr>
          <w:sz w:val="20"/>
        </w:rPr>
        <w:t xml:space="preserve"> betriebliche Erträge </w:t>
      </w:r>
      <w:r>
        <w:rPr>
          <w:sz w:val="20"/>
        </w:rPr>
        <w:tab/>
      </w:r>
      <w:proofErr w:type="spellStart"/>
      <w:r>
        <w:rPr>
          <w:sz w:val="20"/>
        </w:rPr>
        <w:t>Erträge</w:t>
      </w:r>
      <w:proofErr w:type="spellEnd"/>
      <w:r>
        <w:rPr>
          <w:sz w:val="20"/>
        </w:rPr>
        <w:t xml:space="preserve"> und  </w:t>
      </w:r>
    </w:p>
    <w:p w14:paraId="2482E8F1" w14:textId="77777777" w:rsidR="00BB6497" w:rsidRDefault="00BB6497" w:rsidP="00BB6497">
      <w:pPr>
        <w:numPr>
          <w:ilvl w:val="0"/>
          <w:numId w:val="8"/>
        </w:numPr>
        <w:spacing w:after="0" w:line="259" w:lineRule="auto"/>
        <w:ind w:hanging="290"/>
      </w:pPr>
      <w:r>
        <w:rPr>
          <w:sz w:val="20"/>
        </w:rPr>
        <w:t xml:space="preserve">betriebliche Aufwendungen </w:t>
      </w:r>
      <w:r>
        <w:rPr>
          <w:sz w:val="20"/>
        </w:rPr>
        <w:tab/>
      </w:r>
      <w:proofErr w:type="spellStart"/>
      <w:r>
        <w:rPr>
          <w:sz w:val="20"/>
        </w:rPr>
        <w:t>Aufwendungen</w:t>
      </w:r>
      <w:proofErr w:type="spellEnd"/>
      <w:r>
        <w:rPr>
          <w:sz w:val="20"/>
        </w:rPr>
        <w:t xml:space="preserve"> aus dem Kerngeschäft </w:t>
      </w:r>
    </w:p>
    <w:p w14:paraId="4D2F39C5" w14:textId="77777777" w:rsidR="00BB6497" w:rsidRDefault="00BB6497" w:rsidP="00BB6497">
      <w:pPr>
        <w:numPr>
          <w:ilvl w:val="0"/>
          <w:numId w:val="8"/>
        </w:numPr>
        <w:spacing w:after="0" w:line="259" w:lineRule="auto"/>
        <w:ind w:hanging="290"/>
      </w:pPr>
      <w:r>
        <w:rPr>
          <w:sz w:val="20"/>
        </w:rPr>
        <w:t xml:space="preserve">Abschreibungen </w:t>
      </w:r>
      <w:r>
        <w:rPr>
          <w:sz w:val="20"/>
        </w:rPr>
        <w:tab/>
        <w:t xml:space="preserve">Absetzung für Abnutzung </w:t>
      </w:r>
    </w:p>
    <w:p w14:paraId="27C81AB4" w14:textId="77777777" w:rsidR="00BB6497" w:rsidRDefault="00BB6497" w:rsidP="00BB6497">
      <w:pPr>
        <w:numPr>
          <w:ilvl w:val="0"/>
          <w:numId w:val="8"/>
        </w:numPr>
        <w:spacing w:after="0" w:line="259" w:lineRule="auto"/>
        <w:ind w:hanging="290"/>
      </w:pPr>
      <w:r>
        <w:rPr>
          <w:sz w:val="20"/>
        </w:rPr>
        <w:t xml:space="preserve">Sonstige Aufwendungen </w:t>
      </w:r>
      <w:r>
        <w:rPr>
          <w:sz w:val="20"/>
        </w:rPr>
        <w:tab/>
        <w:t xml:space="preserve">z.B. Werbeausgaben </w:t>
      </w:r>
    </w:p>
    <w:p w14:paraId="42B52097" w14:textId="77777777" w:rsidR="00BB6497" w:rsidRDefault="00BB6497">
      <w:pPr>
        <w:tabs>
          <w:tab w:val="center" w:pos="1255"/>
          <w:tab w:val="center" w:pos="4403"/>
        </w:tabs>
        <w:spacing w:line="248" w:lineRule="auto"/>
      </w:pPr>
      <w:r>
        <w:rPr>
          <w:rFonts w:ascii="Calibri" w:eastAsia="Calibri" w:hAnsi="Calibri" w:cs="Calibri"/>
          <w:sz w:val="22"/>
        </w:rPr>
        <w:tab/>
      </w:r>
      <w:r>
        <w:rPr>
          <w:sz w:val="20"/>
        </w:rPr>
        <w:t xml:space="preserve">= </w:t>
      </w:r>
      <w:r>
        <w:rPr>
          <w:rFonts w:ascii="Tahoma" w:eastAsia="Tahoma" w:hAnsi="Tahoma" w:cs="Tahoma"/>
          <w:b/>
          <w:sz w:val="20"/>
        </w:rPr>
        <w:t xml:space="preserve">Betriebsergebnis </w:t>
      </w:r>
      <w:r>
        <w:rPr>
          <w:rFonts w:ascii="Tahoma" w:eastAsia="Tahoma" w:hAnsi="Tahoma" w:cs="Tahoma"/>
          <w:b/>
          <w:sz w:val="20"/>
        </w:rPr>
        <w:tab/>
      </w:r>
      <w:r>
        <w:rPr>
          <w:sz w:val="20"/>
        </w:rPr>
        <w:t xml:space="preserve"> </w:t>
      </w:r>
    </w:p>
    <w:p w14:paraId="39B01959" w14:textId="77777777" w:rsidR="00BB6497" w:rsidRDefault="00BB6497">
      <w:pPr>
        <w:spacing w:after="0" w:line="259" w:lineRule="auto"/>
        <w:ind w:left="585"/>
      </w:pPr>
      <w:r>
        <w:rPr>
          <w:sz w:val="20"/>
        </w:rPr>
        <w:t xml:space="preserve"> </w:t>
      </w:r>
    </w:p>
    <w:p w14:paraId="33C932AA" w14:textId="77777777" w:rsidR="00BB6497" w:rsidRDefault="00BB6497">
      <w:pPr>
        <w:tabs>
          <w:tab w:val="center" w:pos="6332"/>
        </w:tabs>
        <w:spacing w:after="0" w:line="259" w:lineRule="auto"/>
      </w:pPr>
      <w:r>
        <w:rPr>
          <w:rFonts w:ascii="Tahoma" w:eastAsia="Tahoma" w:hAnsi="Tahoma" w:cs="Tahoma"/>
          <w:sz w:val="20"/>
        </w:rPr>
        <w:lastRenderedPageBreak/>
        <w:t>+/−</w:t>
      </w:r>
      <w:r>
        <w:rPr>
          <w:sz w:val="20"/>
        </w:rPr>
        <w:t xml:space="preserve"> Finanzergebnis </w:t>
      </w:r>
      <w:r>
        <w:rPr>
          <w:sz w:val="20"/>
        </w:rPr>
        <w:tab/>
        <w:t xml:space="preserve">Zinserträge/ -aufwendungen sowie Erträge/ </w:t>
      </w:r>
    </w:p>
    <w:p w14:paraId="48A97A99" w14:textId="77777777" w:rsidR="00BB6497" w:rsidRDefault="00BB6497">
      <w:pPr>
        <w:spacing w:after="0" w:line="259" w:lineRule="auto"/>
        <w:ind w:left="4413"/>
      </w:pPr>
      <w:r>
        <w:rPr>
          <w:sz w:val="20"/>
        </w:rPr>
        <w:t xml:space="preserve">Aufwendungen aus Wertpapieren oder </w:t>
      </w:r>
    </w:p>
    <w:p w14:paraId="28D12D6E" w14:textId="77777777" w:rsidR="00BB6497" w:rsidRDefault="00BB6497">
      <w:pPr>
        <w:spacing w:line="248" w:lineRule="auto"/>
        <w:ind w:left="208" w:right="2811" w:firstLine="4180"/>
      </w:pPr>
      <w:proofErr w:type="gramStart"/>
      <w:r>
        <w:rPr>
          <w:sz w:val="20"/>
        </w:rPr>
        <w:t>Firmenbeteiligungen  =</w:t>
      </w:r>
      <w:proofErr w:type="gramEnd"/>
      <w:r>
        <w:rPr>
          <w:sz w:val="20"/>
        </w:rPr>
        <w:t xml:space="preserve"> </w:t>
      </w:r>
      <w:r>
        <w:rPr>
          <w:rFonts w:ascii="Tahoma" w:eastAsia="Tahoma" w:hAnsi="Tahoma" w:cs="Tahoma"/>
          <w:b/>
          <w:sz w:val="20"/>
        </w:rPr>
        <w:t xml:space="preserve">Jahresüberschuss/Jahresfehlbetrag </w:t>
      </w:r>
      <w:r>
        <w:rPr>
          <w:sz w:val="20"/>
        </w:rPr>
        <w:t xml:space="preserve"> </w:t>
      </w:r>
      <w:r>
        <w:rPr>
          <w:rFonts w:ascii="Tahoma" w:eastAsia="Tahoma" w:hAnsi="Tahoma" w:cs="Tahoma"/>
          <w:b/>
          <w:sz w:val="20"/>
        </w:rPr>
        <w:t>vor Steuern</w:t>
      </w:r>
      <w:r>
        <w:rPr>
          <w:sz w:val="20"/>
        </w:rPr>
        <w:t xml:space="preserve"> </w:t>
      </w:r>
    </w:p>
    <w:p w14:paraId="7BC8935F" w14:textId="77777777" w:rsidR="00BB6497" w:rsidRDefault="00BB6497">
      <w:pPr>
        <w:spacing w:after="0" w:line="259" w:lineRule="auto"/>
        <w:ind w:left="368"/>
      </w:pPr>
      <w:r>
        <w:rPr>
          <w:sz w:val="20"/>
        </w:rPr>
        <w:t xml:space="preserve">  </w:t>
      </w:r>
      <w:r>
        <w:rPr>
          <w:sz w:val="20"/>
        </w:rPr>
        <w:tab/>
        <w:t xml:space="preserve"> </w:t>
      </w:r>
    </w:p>
    <w:p w14:paraId="58CAAF7A" w14:textId="77777777" w:rsidR="00BB6497" w:rsidRDefault="00BB6497" w:rsidP="00BB6497">
      <w:pPr>
        <w:numPr>
          <w:ilvl w:val="0"/>
          <w:numId w:val="8"/>
        </w:numPr>
        <w:spacing w:after="0" w:line="259" w:lineRule="auto"/>
        <w:ind w:hanging="290"/>
      </w:pPr>
      <w:r>
        <w:rPr>
          <w:sz w:val="20"/>
        </w:rPr>
        <w:t xml:space="preserve">Steuern </w:t>
      </w:r>
      <w:r>
        <w:rPr>
          <w:sz w:val="20"/>
        </w:rPr>
        <w:tab/>
        <w:t xml:space="preserve"> </w:t>
      </w:r>
    </w:p>
    <w:p w14:paraId="72BAC0D8" w14:textId="77777777" w:rsidR="00BB6497" w:rsidRDefault="00BB6497">
      <w:pPr>
        <w:spacing w:line="248" w:lineRule="auto"/>
        <w:ind w:left="570" w:right="4074" w:hanging="362"/>
      </w:pPr>
      <w:r>
        <w:rPr>
          <w:sz w:val="20"/>
        </w:rPr>
        <w:t xml:space="preserve">= </w:t>
      </w:r>
      <w:r>
        <w:rPr>
          <w:rFonts w:ascii="Tahoma" w:eastAsia="Tahoma" w:hAnsi="Tahoma" w:cs="Tahoma"/>
          <w:b/>
          <w:sz w:val="20"/>
        </w:rPr>
        <w:t>Jahresüberschuss/</w:t>
      </w:r>
      <w:proofErr w:type="gramStart"/>
      <w:r>
        <w:rPr>
          <w:rFonts w:ascii="Tahoma" w:eastAsia="Tahoma" w:hAnsi="Tahoma" w:cs="Tahoma"/>
          <w:b/>
          <w:sz w:val="20"/>
        </w:rPr>
        <w:t xml:space="preserve">Jahresfehlbetrag </w:t>
      </w:r>
      <w:r>
        <w:rPr>
          <w:sz w:val="20"/>
        </w:rPr>
        <w:t xml:space="preserve"> </w:t>
      </w:r>
      <w:r>
        <w:rPr>
          <w:rFonts w:ascii="Tahoma" w:eastAsia="Tahoma" w:hAnsi="Tahoma" w:cs="Tahoma"/>
          <w:b/>
          <w:sz w:val="20"/>
        </w:rPr>
        <w:t>nach</w:t>
      </w:r>
      <w:proofErr w:type="gramEnd"/>
      <w:r>
        <w:rPr>
          <w:rFonts w:ascii="Tahoma" w:eastAsia="Tahoma" w:hAnsi="Tahoma" w:cs="Tahoma"/>
          <w:b/>
          <w:sz w:val="20"/>
        </w:rPr>
        <w:t xml:space="preserve"> Steuern</w:t>
      </w:r>
      <w:r>
        <w:rPr>
          <w:sz w:val="20"/>
        </w:rPr>
        <w:t xml:space="preserve"> </w:t>
      </w:r>
    </w:p>
    <w:p w14:paraId="01852365" w14:textId="77777777" w:rsidR="00BB6497" w:rsidRDefault="00BB6497">
      <w:pPr>
        <w:spacing w:after="0" w:line="259" w:lineRule="auto"/>
        <w:ind w:left="368"/>
      </w:pPr>
      <w:r>
        <w:rPr>
          <w:sz w:val="20"/>
        </w:rPr>
        <w:t xml:space="preserve">  </w:t>
      </w:r>
      <w:r>
        <w:rPr>
          <w:sz w:val="20"/>
        </w:rPr>
        <w:tab/>
        <w:t xml:space="preserve"> </w:t>
      </w:r>
    </w:p>
    <w:p w14:paraId="6BAB9628" w14:textId="77777777" w:rsidR="00BB6497" w:rsidRDefault="00BB6497">
      <w:pPr>
        <w:tabs>
          <w:tab w:val="center" w:pos="4403"/>
        </w:tabs>
        <w:spacing w:after="0" w:line="259" w:lineRule="auto"/>
      </w:pPr>
      <w:r>
        <w:rPr>
          <w:sz w:val="20"/>
        </w:rPr>
        <w:t xml:space="preserve">-/+ Bildung/Auflösung von Rücklagen </w:t>
      </w:r>
      <w:r>
        <w:rPr>
          <w:sz w:val="20"/>
        </w:rPr>
        <w:tab/>
        <w:t xml:space="preserve"> </w:t>
      </w:r>
    </w:p>
    <w:p w14:paraId="30AC6CC7" w14:textId="77777777" w:rsidR="00BB6497" w:rsidRDefault="00BB6497">
      <w:pPr>
        <w:tabs>
          <w:tab w:val="center" w:pos="1790"/>
          <w:tab w:val="center" w:pos="4403"/>
        </w:tabs>
        <w:spacing w:line="248" w:lineRule="auto"/>
      </w:pPr>
      <w:r>
        <w:rPr>
          <w:rFonts w:ascii="Calibri" w:eastAsia="Calibri" w:hAnsi="Calibri" w:cs="Calibri"/>
          <w:sz w:val="22"/>
        </w:rPr>
        <w:tab/>
      </w:r>
      <w:r>
        <w:rPr>
          <w:sz w:val="20"/>
        </w:rPr>
        <w:t xml:space="preserve">= </w:t>
      </w:r>
      <w:r>
        <w:rPr>
          <w:rFonts w:ascii="Tahoma" w:eastAsia="Tahoma" w:hAnsi="Tahoma" w:cs="Tahoma"/>
          <w:b/>
          <w:sz w:val="20"/>
        </w:rPr>
        <w:t>Bilanzgewinn/Bilanzverlust</w:t>
      </w:r>
      <w:r>
        <w:rPr>
          <w:sz w:val="20"/>
        </w:rPr>
        <w:t xml:space="preserve"> </w:t>
      </w:r>
      <w:r>
        <w:rPr>
          <w:sz w:val="20"/>
        </w:rPr>
        <w:tab/>
        <w:t xml:space="preserve"> </w:t>
      </w:r>
    </w:p>
    <w:p w14:paraId="61D5D10D" w14:textId="77777777" w:rsidR="00BB6497" w:rsidRDefault="00BB6497">
      <w:pPr>
        <w:spacing w:after="0" w:line="259" w:lineRule="auto"/>
      </w:pPr>
      <w:r>
        <w:t xml:space="preserve"> </w:t>
      </w:r>
    </w:p>
    <w:p w14:paraId="62C1D9DB" w14:textId="77777777" w:rsidR="00BB6497" w:rsidRDefault="00BB6497">
      <w:pPr>
        <w:ind w:left="-5"/>
      </w:pPr>
      <w:r>
        <w:t xml:space="preserve">Das </w:t>
      </w:r>
      <w:r>
        <w:rPr>
          <w:rFonts w:ascii="Tahoma" w:eastAsia="Tahoma" w:hAnsi="Tahoma" w:cs="Tahoma"/>
          <w:b/>
        </w:rPr>
        <w:t>Betriebsergebnis</w:t>
      </w:r>
      <w:r>
        <w:t xml:space="preserve"> sagt aus, wie das </w:t>
      </w:r>
      <w:r>
        <w:rPr>
          <w:rFonts w:ascii="Tahoma" w:eastAsia="Tahoma" w:hAnsi="Tahoma" w:cs="Tahoma"/>
          <w:b/>
        </w:rPr>
        <w:t>Kerngeschäft</w:t>
      </w:r>
      <w:r>
        <w:t xml:space="preserve"> eines Unternehmens verlaufen ist. Ist das Betriebsergebnis über einen längeren Zeitraum negativ, besteht ein ernster Grund darüber nachzudenken, ob sich das Kerngeschäft noch rentiert. Das Betriebsergebnis wird oft auch </w:t>
      </w:r>
      <w:r>
        <w:rPr>
          <w:rFonts w:ascii="Tahoma" w:eastAsia="Tahoma" w:hAnsi="Tahoma" w:cs="Tahoma"/>
          <w:b/>
        </w:rPr>
        <w:t>operatives Ergebnis</w:t>
      </w:r>
      <w:r>
        <w:t xml:space="preserve"> oder </w:t>
      </w:r>
      <w:r>
        <w:rPr>
          <w:rFonts w:ascii="Tahoma" w:eastAsia="Tahoma" w:hAnsi="Tahoma" w:cs="Tahoma"/>
          <w:b/>
        </w:rPr>
        <w:t>technisches Ergebnis</w:t>
      </w:r>
      <w:r>
        <w:t xml:space="preserve"> genannt.  </w:t>
      </w:r>
    </w:p>
    <w:p w14:paraId="41CF833F" w14:textId="77777777" w:rsidR="00BB6497" w:rsidRDefault="00BB6497">
      <w:pPr>
        <w:spacing w:after="0" w:line="259" w:lineRule="auto"/>
      </w:pPr>
      <w:r>
        <w:t xml:space="preserve"> </w:t>
      </w:r>
    </w:p>
    <w:p w14:paraId="50EAD5D0" w14:textId="77777777" w:rsidR="00BB6497" w:rsidRDefault="00BB6497">
      <w:pPr>
        <w:ind w:left="-5"/>
      </w:pPr>
      <w:r>
        <w:t xml:space="preserve">Das </w:t>
      </w:r>
      <w:r>
        <w:rPr>
          <w:rFonts w:ascii="Tahoma" w:eastAsia="Tahoma" w:hAnsi="Tahoma" w:cs="Tahoma"/>
          <w:b/>
        </w:rPr>
        <w:t>Jahresergebnis vor Steuern</w:t>
      </w:r>
      <w:r>
        <w:t xml:space="preserve"> errechnet sich, indem man zum Betriebsergebnis das Finanzergebnis hinzurechnet. Dies wird von den Analysten gerne als Beurteilungsmaßstab herangezogen, da - natürlich mit Einschränkungen - eine Fortschreibung des Ergebnisses auch für nächstes Jahr angenommen werden kann. Ist es positiv, wird es </w:t>
      </w:r>
    </w:p>
    <w:p w14:paraId="5C1962CE" w14:textId="77777777" w:rsidR="00BB6497" w:rsidRDefault="00BB6497">
      <w:pPr>
        <w:spacing w:after="0" w:line="259" w:lineRule="auto"/>
      </w:pPr>
      <w:r>
        <w:rPr>
          <w:rFonts w:ascii="Tahoma" w:eastAsia="Tahoma" w:hAnsi="Tahoma" w:cs="Tahoma"/>
        </w:rPr>
        <w:t>„</w:t>
      </w:r>
      <w:r>
        <w:rPr>
          <w:rFonts w:ascii="Tahoma" w:eastAsia="Tahoma" w:hAnsi="Tahoma" w:cs="Tahoma"/>
          <w:b/>
        </w:rPr>
        <w:t>Jahresüberschuss</w:t>
      </w:r>
      <w:r>
        <w:rPr>
          <w:rFonts w:ascii="Tahoma" w:eastAsia="Tahoma" w:hAnsi="Tahoma" w:cs="Tahoma"/>
        </w:rPr>
        <w:t>“ genannt, wenn negativ dann als „</w:t>
      </w:r>
      <w:r>
        <w:rPr>
          <w:rFonts w:ascii="Tahoma" w:eastAsia="Tahoma" w:hAnsi="Tahoma" w:cs="Tahoma"/>
          <w:b/>
        </w:rPr>
        <w:t>Jahresfehlbetrag</w:t>
      </w:r>
      <w:r>
        <w:rPr>
          <w:rFonts w:ascii="Tahoma" w:eastAsia="Tahoma" w:hAnsi="Tahoma" w:cs="Tahoma"/>
        </w:rPr>
        <w:t>“ bezeichnet.</w:t>
      </w:r>
      <w:r>
        <w:t xml:space="preserve"> </w:t>
      </w:r>
    </w:p>
    <w:p w14:paraId="54F0554C" w14:textId="77777777" w:rsidR="00BB6497" w:rsidRDefault="00BB6497">
      <w:pPr>
        <w:spacing w:after="0" w:line="259" w:lineRule="auto"/>
      </w:pPr>
      <w:r>
        <w:t xml:space="preserve"> </w:t>
      </w:r>
    </w:p>
    <w:p w14:paraId="230523FF" w14:textId="77777777" w:rsidR="00BB6497" w:rsidRDefault="00BB6497">
      <w:pPr>
        <w:ind w:left="-5"/>
      </w:pPr>
      <w:r>
        <w:rPr>
          <w:rFonts w:ascii="Tahoma" w:eastAsia="Tahoma" w:hAnsi="Tahoma" w:cs="Tahoma"/>
          <w:b/>
        </w:rPr>
        <w:t>Rücklagen</w:t>
      </w:r>
      <w:r>
        <w:t xml:space="preserve"> werden von Unternehmen gebildet, um für zukünftige Investitionen oder für schlechtere Zeiten gerüstet zu sein. Sie sind am Ende einer GuV-Rechnung aufgelistet. </w:t>
      </w:r>
      <w:r>
        <w:rPr>
          <w:rFonts w:ascii="Tahoma" w:eastAsia="Tahoma" w:hAnsi="Tahoma" w:cs="Tahoma"/>
          <w:b/>
        </w:rPr>
        <w:t>Rücklagen</w:t>
      </w:r>
      <w:r>
        <w:t xml:space="preserve"> sind nicht mit </w:t>
      </w:r>
      <w:r>
        <w:rPr>
          <w:rFonts w:ascii="Tahoma" w:eastAsia="Tahoma" w:hAnsi="Tahoma" w:cs="Tahoma"/>
          <w:b/>
        </w:rPr>
        <w:t>Rückstellungen</w:t>
      </w:r>
      <w:r>
        <w:t xml:space="preserve"> zu verwechseln. Während man bei Rückstellungen für wahrscheinliche zukünftige Ansprüche Dritter (Unternehmensfremder) vorsorgt, dienen Rücklagen dem eigenen Unternehmen. In der Bilanz zählen </w:t>
      </w:r>
      <w:r>
        <w:rPr>
          <w:rFonts w:ascii="Tahoma" w:eastAsia="Tahoma" w:hAnsi="Tahoma" w:cs="Tahoma"/>
          <w:b/>
        </w:rPr>
        <w:t>Rücklagen</w:t>
      </w:r>
      <w:r>
        <w:t xml:space="preserve"> zum </w:t>
      </w:r>
      <w:r>
        <w:rPr>
          <w:rFonts w:ascii="Tahoma" w:eastAsia="Tahoma" w:hAnsi="Tahoma" w:cs="Tahoma"/>
          <w:b/>
        </w:rPr>
        <w:t>Eigenkapital</w:t>
      </w:r>
      <w:r>
        <w:t xml:space="preserve">, während </w:t>
      </w:r>
      <w:r>
        <w:rPr>
          <w:rFonts w:ascii="Tahoma" w:eastAsia="Tahoma" w:hAnsi="Tahoma" w:cs="Tahoma"/>
          <w:b/>
        </w:rPr>
        <w:t>Rückstellungen</w:t>
      </w:r>
      <w:r>
        <w:t xml:space="preserve"> zum </w:t>
      </w:r>
      <w:r>
        <w:rPr>
          <w:rFonts w:ascii="Tahoma" w:eastAsia="Tahoma" w:hAnsi="Tahoma" w:cs="Tahoma"/>
          <w:b/>
        </w:rPr>
        <w:t>Fremdkapital</w:t>
      </w:r>
      <w:r>
        <w:t xml:space="preserve"> gehören. </w:t>
      </w:r>
    </w:p>
    <w:p w14:paraId="1742A9E2" w14:textId="77777777" w:rsidR="00BB6497" w:rsidRDefault="00BB6497">
      <w:pPr>
        <w:spacing w:after="0" w:line="259" w:lineRule="auto"/>
      </w:pPr>
      <w:r>
        <w:t xml:space="preserve"> </w:t>
      </w:r>
    </w:p>
    <w:p w14:paraId="737BF813" w14:textId="77777777" w:rsidR="00BB6497" w:rsidRDefault="00BB6497">
      <w:pPr>
        <w:ind w:left="-5"/>
      </w:pPr>
      <w:r>
        <w:t xml:space="preserve">Zwei häufig genannte englische Begriffe sind: </w:t>
      </w:r>
    </w:p>
    <w:p w14:paraId="75E8DAD9" w14:textId="77777777" w:rsidR="00BB6497" w:rsidRDefault="00BB6497">
      <w:pPr>
        <w:tabs>
          <w:tab w:val="center" w:pos="4248"/>
          <w:tab w:val="center" w:pos="5761"/>
        </w:tabs>
        <w:ind w:left="-15"/>
      </w:pPr>
      <w:r>
        <w:rPr>
          <w:rFonts w:ascii="Tahoma" w:eastAsia="Tahoma" w:hAnsi="Tahoma" w:cs="Tahoma"/>
          <w:b/>
        </w:rPr>
        <w:t>EBIT</w:t>
      </w:r>
      <w:r>
        <w:t xml:space="preserve">: </w:t>
      </w:r>
      <w:proofErr w:type="spellStart"/>
      <w:r>
        <w:t>Earnings</w:t>
      </w:r>
      <w:proofErr w:type="spellEnd"/>
      <w:r>
        <w:t xml:space="preserve"> </w:t>
      </w:r>
      <w:proofErr w:type="spellStart"/>
      <w:r>
        <w:t>before</w:t>
      </w:r>
      <w:proofErr w:type="spellEnd"/>
      <w:r>
        <w:t xml:space="preserve"> </w:t>
      </w:r>
      <w:proofErr w:type="spellStart"/>
      <w:r>
        <w:t>interest</w:t>
      </w:r>
      <w:proofErr w:type="spellEnd"/>
      <w:r>
        <w:t xml:space="preserve"> and </w:t>
      </w:r>
      <w:proofErr w:type="spellStart"/>
      <w:r>
        <w:t>tax</w:t>
      </w:r>
      <w:proofErr w:type="spellEnd"/>
      <w:r>
        <w:t xml:space="preserve"> </w:t>
      </w:r>
      <w:r>
        <w:tab/>
        <w:t xml:space="preserve"> </w:t>
      </w:r>
      <w:r>
        <w:tab/>
        <w:t xml:space="preserve">Betriebsergebnis </w:t>
      </w:r>
    </w:p>
    <w:p w14:paraId="0120B10B" w14:textId="77777777" w:rsidR="00BB6497" w:rsidRDefault="00BB6497">
      <w:pPr>
        <w:tabs>
          <w:tab w:val="center" w:pos="3540"/>
          <w:tab w:val="center" w:pos="4248"/>
          <w:tab w:val="right" w:pos="9022"/>
        </w:tabs>
        <w:ind w:left="-15"/>
      </w:pPr>
      <w:r>
        <w:rPr>
          <w:rFonts w:ascii="Tahoma" w:eastAsia="Tahoma" w:hAnsi="Tahoma" w:cs="Tahoma"/>
          <w:b/>
        </w:rPr>
        <w:t>EBT</w:t>
      </w:r>
      <w:r>
        <w:t xml:space="preserve">:  </w:t>
      </w:r>
      <w:proofErr w:type="spellStart"/>
      <w:r>
        <w:t>Earnings</w:t>
      </w:r>
      <w:proofErr w:type="spellEnd"/>
      <w:r>
        <w:t xml:space="preserve"> </w:t>
      </w:r>
      <w:proofErr w:type="spellStart"/>
      <w:r>
        <w:t>before</w:t>
      </w:r>
      <w:proofErr w:type="spellEnd"/>
      <w:r>
        <w:t xml:space="preserve"> </w:t>
      </w:r>
      <w:proofErr w:type="spellStart"/>
      <w:r>
        <w:t>tax</w:t>
      </w:r>
      <w:proofErr w:type="spellEnd"/>
      <w:r>
        <w:t xml:space="preserve">   </w:t>
      </w:r>
      <w:r>
        <w:tab/>
        <w:t xml:space="preserve"> </w:t>
      </w:r>
      <w:r>
        <w:tab/>
        <w:t xml:space="preserve"> </w:t>
      </w:r>
      <w:r>
        <w:tab/>
        <w:t>Jahresüberschuss/-</w:t>
      </w:r>
      <w:proofErr w:type="spellStart"/>
      <w:r>
        <w:t>fehlbetrag</w:t>
      </w:r>
      <w:proofErr w:type="spellEnd"/>
      <w:r>
        <w:t xml:space="preserve"> vor Steuern </w:t>
      </w:r>
    </w:p>
    <w:p w14:paraId="5E34B05C" w14:textId="77777777" w:rsidR="00BB6497" w:rsidRDefault="00BB6497">
      <w:pPr>
        <w:spacing w:after="532"/>
        <w:ind w:left="-5"/>
      </w:pPr>
      <w:r>
        <w:t xml:space="preserve">Hinweis: Anstatt EBIT und EBT wird auch PBIT und PBT verwendet. Das P steht für Profit. </w:t>
      </w:r>
    </w:p>
    <w:p w14:paraId="1E3EDFD0" w14:textId="19A83BE9" w:rsidR="00BB6497" w:rsidRDefault="00BB6497">
      <w:pPr>
        <w:spacing w:after="4671" w:line="259" w:lineRule="auto"/>
      </w:pPr>
    </w:p>
    <w:p w14:paraId="0DBE0011" w14:textId="77777777" w:rsidR="00BB6497" w:rsidRDefault="00BB6497" w:rsidP="00BB6497">
      <w:pPr>
        <w:spacing w:after="5314"/>
        <w:ind w:left="-5"/>
      </w:pPr>
    </w:p>
    <w:p w14:paraId="02BB064F" w14:textId="77777777" w:rsidR="00BB6497" w:rsidRDefault="00BB6497" w:rsidP="00BB6497"/>
    <w:sectPr w:rsidR="00BB64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6807"/>
    <w:multiLevelType w:val="hybridMultilevel"/>
    <w:tmpl w:val="44C82640"/>
    <w:lvl w:ilvl="0" w:tplc="E82C806C">
      <w:start w:val="1"/>
      <w:numFmt w:val="bullet"/>
      <w:lvlText w:val="•"/>
      <w:lvlJc w:val="left"/>
      <w:pPr>
        <w:ind w:left="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BA6420">
      <w:start w:val="1"/>
      <w:numFmt w:val="bullet"/>
      <w:lvlText w:val="o"/>
      <w:lvlJc w:val="left"/>
      <w:pPr>
        <w:ind w:left="1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D2F978">
      <w:start w:val="1"/>
      <w:numFmt w:val="bullet"/>
      <w:lvlText w:val="▪"/>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46DFC8">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16AB78">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889E70">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F8AD96">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3268E8">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0A13D8">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F521484"/>
    <w:multiLevelType w:val="hybridMultilevel"/>
    <w:tmpl w:val="60BECB52"/>
    <w:lvl w:ilvl="0" w:tplc="B77A44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6C50F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5CFA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746A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6E05E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26E0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B8B6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EEA4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32E02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5B430A"/>
    <w:multiLevelType w:val="hybridMultilevel"/>
    <w:tmpl w:val="2176236E"/>
    <w:lvl w:ilvl="0" w:tplc="8A02E87A">
      <w:start w:val="1"/>
      <w:numFmt w:val="decimal"/>
      <w:lvlText w:val="%1."/>
      <w:lvlJc w:val="left"/>
      <w:pPr>
        <w:ind w:left="142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51F23056">
      <w:start w:val="1"/>
      <w:numFmt w:val="lowerLetter"/>
      <w:lvlText w:val="%2"/>
      <w:lvlJc w:val="left"/>
      <w:pPr>
        <w:ind w:left="214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A90EFBCA">
      <w:start w:val="1"/>
      <w:numFmt w:val="lowerRoman"/>
      <w:lvlText w:val="%3"/>
      <w:lvlJc w:val="left"/>
      <w:pPr>
        <w:ind w:left="286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0F244F7E">
      <w:start w:val="1"/>
      <w:numFmt w:val="decimal"/>
      <w:lvlText w:val="%4"/>
      <w:lvlJc w:val="left"/>
      <w:pPr>
        <w:ind w:left="358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2E3654D6">
      <w:start w:val="1"/>
      <w:numFmt w:val="lowerLetter"/>
      <w:lvlText w:val="%5"/>
      <w:lvlJc w:val="left"/>
      <w:pPr>
        <w:ind w:left="430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E9308E70">
      <w:start w:val="1"/>
      <w:numFmt w:val="lowerRoman"/>
      <w:lvlText w:val="%6"/>
      <w:lvlJc w:val="left"/>
      <w:pPr>
        <w:ind w:left="502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F2EE5A1C">
      <w:start w:val="1"/>
      <w:numFmt w:val="decimal"/>
      <w:lvlText w:val="%7"/>
      <w:lvlJc w:val="left"/>
      <w:pPr>
        <w:ind w:left="574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71BCAF4C">
      <w:start w:val="1"/>
      <w:numFmt w:val="lowerLetter"/>
      <w:lvlText w:val="%8"/>
      <w:lvlJc w:val="left"/>
      <w:pPr>
        <w:ind w:left="646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858827BA">
      <w:start w:val="1"/>
      <w:numFmt w:val="lowerRoman"/>
      <w:lvlText w:val="%9"/>
      <w:lvlJc w:val="left"/>
      <w:pPr>
        <w:ind w:left="718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D5220C4"/>
    <w:multiLevelType w:val="hybridMultilevel"/>
    <w:tmpl w:val="5630D800"/>
    <w:lvl w:ilvl="0" w:tplc="27D6A648">
      <w:start w:val="1"/>
      <w:numFmt w:val="bullet"/>
      <w:lvlText w:val="•"/>
      <w:lvlJc w:val="left"/>
      <w:pPr>
        <w:ind w:left="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B4F9D6">
      <w:start w:val="1"/>
      <w:numFmt w:val="bullet"/>
      <w:lvlText w:val="o"/>
      <w:lvlJc w:val="left"/>
      <w:pPr>
        <w:ind w:left="1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6AF22C">
      <w:start w:val="1"/>
      <w:numFmt w:val="bullet"/>
      <w:lvlText w:val="▪"/>
      <w:lvlJc w:val="left"/>
      <w:pPr>
        <w:ind w:left="1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48072C6">
      <w:start w:val="1"/>
      <w:numFmt w:val="bullet"/>
      <w:lvlText w:val="•"/>
      <w:lvlJc w:val="left"/>
      <w:pPr>
        <w:ind w:left="2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C6889A">
      <w:start w:val="1"/>
      <w:numFmt w:val="bullet"/>
      <w:lvlText w:val="o"/>
      <w:lvlJc w:val="left"/>
      <w:pPr>
        <w:ind w:left="3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287AD4">
      <w:start w:val="1"/>
      <w:numFmt w:val="bullet"/>
      <w:lvlText w:val="▪"/>
      <w:lvlJc w:val="left"/>
      <w:pPr>
        <w:ind w:left="4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8044F4">
      <w:start w:val="1"/>
      <w:numFmt w:val="bullet"/>
      <w:lvlText w:val="•"/>
      <w:lvlJc w:val="left"/>
      <w:pPr>
        <w:ind w:left="4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A86C4E">
      <w:start w:val="1"/>
      <w:numFmt w:val="bullet"/>
      <w:lvlText w:val="o"/>
      <w:lvlJc w:val="left"/>
      <w:pPr>
        <w:ind w:left="55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14026A">
      <w:start w:val="1"/>
      <w:numFmt w:val="bullet"/>
      <w:lvlText w:val="▪"/>
      <w:lvlJc w:val="left"/>
      <w:pPr>
        <w:ind w:left="62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30E269A"/>
    <w:multiLevelType w:val="hybridMultilevel"/>
    <w:tmpl w:val="48766CD4"/>
    <w:lvl w:ilvl="0" w:tplc="6208677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B48A8C">
      <w:start w:val="1"/>
      <w:numFmt w:val="bullet"/>
      <w:lvlText w:val="o"/>
      <w:lvlJc w:val="left"/>
      <w:pPr>
        <w:ind w:left="1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9839AA">
      <w:start w:val="1"/>
      <w:numFmt w:val="bullet"/>
      <w:lvlText w:val="▪"/>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AEFA7E">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8E1426">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52D39E">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36179A">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A85F6A">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4669BC">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54F0718"/>
    <w:multiLevelType w:val="hybridMultilevel"/>
    <w:tmpl w:val="A83EED7E"/>
    <w:lvl w:ilvl="0" w:tplc="B1A0D4C0">
      <w:start w:val="1"/>
      <w:numFmt w:val="bullet"/>
      <w:lvlText w:val="•"/>
      <w:lvlJc w:val="left"/>
      <w:pPr>
        <w:ind w:left="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D4F6B4">
      <w:start w:val="1"/>
      <w:numFmt w:val="bullet"/>
      <w:lvlText w:val="o"/>
      <w:lvlJc w:val="left"/>
      <w:pPr>
        <w:ind w:left="1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2E4F20">
      <w:start w:val="1"/>
      <w:numFmt w:val="bullet"/>
      <w:lvlText w:val="▪"/>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22624C">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02976C">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60CB7C">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2C1360">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38FC08">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9C10E0">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4F6FAB"/>
    <w:multiLevelType w:val="hybridMultilevel"/>
    <w:tmpl w:val="8BCA257A"/>
    <w:lvl w:ilvl="0" w:tplc="2E8AEA12">
      <w:start w:val="1"/>
      <w:numFmt w:val="bullet"/>
      <w:lvlText w:val="-"/>
      <w:lvlJc w:val="left"/>
      <w:pPr>
        <w:ind w:left="57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4100F776">
      <w:start w:val="1"/>
      <w:numFmt w:val="bullet"/>
      <w:lvlText w:val="o"/>
      <w:lvlJc w:val="left"/>
      <w:pPr>
        <w:ind w:left="137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EE0857CC">
      <w:start w:val="1"/>
      <w:numFmt w:val="bullet"/>
      <w:lvlText w:val="▪"/>
      <w:lvlJc w:val="left"/>
      <w:pPr>
        <w:ind w:left="209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A6688C06">
      <w:start w:val="1"/>
      <w:numFmt w:val="bullet"/>
      <w:lvlText w:val="•"/>
      <w:lvlJc w:val="left"/>
      <w:pPr>
        <w:ind w:left="281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58E6E0F0">
      <w:start w:val="1"/>
      <w:numFmt w:val="bullet"/>
      <w:lvlText w:val="o"/>
      <w:lvlJc w:val="left"/>
      <w:pPr>
        <w:ind w:left="353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E522FEBC">
      <w:start w:val="1"/>
      <w:numFmt w:val="bullet"/>
      <w:lvlText w:val="▪"/>
      <w:lvlJc w:val="left"/>
      <w:pPr>
        <w:ind w:left="425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27A2C1AA">
      <w:start w:val="1"/>
      <w:numFmt w:val="bullet"/>
      <w:lvlText w:val="•"/>
      <w:lvlJc w:val="left"/>
      <w:pPr>
        <w:ind w:left="497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3E046DDA">
      <w:start w:val="1"/>
      <w:numFmt w:val="bullet"/>
      <w:lvlText w:val="o"/>
      <w:lvlJc w:val="left"/>
      <w:pPr>
        <w:ind w:left="569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BD6C81F8">
      <w:start w:val="1"/>
      <w:numFmt w:val="bullet"/>
      <w:lvlText w:val="▪"/>
      <w:lvlJc w:val="left"/>
      <w:pPr>
        <w:ind w:left="6415"/>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AB0B38"/>
    <w:multiLevelType w:val="hybridMultilevel"/>
    <w:tmpl w:val="303A735E"/>
    <w:lvl w:ilvl="0" w:tplc="75165CD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147162">
      <w:start w:val="1"/>
      <w:numFmt w:val="bullet"/>
      <w:lvlText w:val="o"/>
      <w:lvlJc w:val="left"/>
      <w:pPr>
        <w:ind w:left="1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962EB4">
      <w:start w:val="1"/>
      <w:numFmt w:val="bullet"/>
      <w:lvlText w:val="▪"/>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123650">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3CD3D2">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CA4584">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D1E8F16">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1CD5C6">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6CF446">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543244578">
    <w:abstractNumId w:val="5"/>
  </w:num>
  <w:num w:numId="2" w16cid:durableId="771316171">
    <w:abstractNumId w:val="0"/>
  </w:num>
  <w:num w:numId="3" w16cid:durableId="1406997827">
    <w:abstractNumId w:val="2"/>
  </w:num>
  <w:num w:numId="4" w16cid:durableId="1851554867">
    <w:abstractNumId w:val="4"/>
  </w:num>
  <w:num w:numId="5" w16cid:durableId="918438573">
    <w:abstractNumId w:val="1"/>
  </w:num>
  <w:num w:numId="6" w16cid:durableId="1359545072">
    <w:abstractNumId w:val="3"/>
  </w:num>
  <w:num w:numId="7" w16cid:durableId="21711223">
    <w:abstractNumId w:val="7"/>
  </w:num>
  <w:num w:numId="8" w16cid:durableId="15492245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D4"/>
    <w:rsid w:val="00081054"/>
    <w:rsid w:val="00572DD4"/>
    <w:rsid w:val="00BB64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E700A"/>
  <w15:chartTrackingRefBased/>
  <w15:docId w15:val="{28CCA959-F488-4490-8E39-92FF139C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72D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2D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72DD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572DD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72DD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72DD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72DD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72DD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72DD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72DD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rsid w:val="00572DD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rsid w:val="00572DD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rsid w:val="00572DD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72DD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72DD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72DD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72DD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72DD4"/>
    <w:rPr>
      <w:rFonts w:eastAsiaTheme="majorEastAsia" w:cstheme="majorBidi"/>
      <w:color w:val="272727" w:themeColor="text1" w:themeTint="D8"/>
    </w:rPr>
  </w:style>
  <w:style w:type="paragraph" w:styleId="Titel">
    <w:name w:val="Title"/>
    <w:basedOn w:val="Standard"/>
    <w:next w:val="Standard"/>
    <w:link w:val="TitelZchn"/>
    <w:uiPriority w:val="10"/>
    <w:qFormat/>
    <w:rsid w:val="00572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2DD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72DD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72DD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72DD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72DD4"/>
    <w:rPr>
      <w:i/>
      <w:iCs/>
      <w:color w:val="404040" w:themeColor="text1" w:themeTint="BF"/>
    </w:rPr>
  </w:style>
  <w:style w:type="paragraph" w:styleId="Listenabsatz">
    <w:name w:val="List Paragraph"/>
    <w:basedOn w:val="Standard"/>
    <w:uiPriority w:val="34"/>
    <w:qFormat/>
    <w:rsid w:val="00572DD4"/>
    <w:pPr>
      <w:ind w:left="720"/>
      <w:contextualSpacing/>
    </w:pPr>
  </w:style>
  <w:style w:type="character" w:styleId="IntensiveHervorhebung">
    <w:name w:val="Intense Emphasis"/>
    <w:basedOn w:val="Absatz-Standardschriftart"/>
    <w:uiPriority w:val="21"/>
    <w:qFormat/>
    <w:rsid w:val="00572DD4"/>
    <w:rPr>
      <w:i/>
      <w:iCs/>
      <w:color w:val="0F4761" w:themeColor="accent1" w:themeShade="BF"/>
    </w:rPr>
  </w:style>
  <w:style w:type="paragraph" w:styleId="IntensivesZitat">
    <w:name w:val="Intense Quote"/>
    <w:basedOn w:val="Standard"/>
    <w:next w:val="Standard"/>
    <w:link w:val="IntensivesZitatZchn"/>
    <w:uiPriority w:val="30"/>
    <w:qFormat/>
    <w:rsid w:val="00572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72DD4"/>
    <w:rPr>
      <w:i/>
      <w:iCs/>
      <w:color w:val="0F4761" w:themeColor="accent1" w:themeShade="BF"/>
    </w:rPr>
  </w:style>
  <w:style w:type="character" w:styleId="IntensiverVerweis">
    <w:name w:val="Intense Reference"/>
    <w:basedOn w:val="Absatz-Standardschriftart"/>
    <w:uiPriority w:val="32"/>
    <w:qFormat/>
    <w:rsid w:val="00572DD4"/>
    <w:rPr>
      <w:b/>
      <w:bCs/>
      <w:smallCaps/>
      <w:color w:val="0F4761" w:themeColor="accent1" w:themeShade="BF"/>
      <w:spacing w:val="5"/>
    </w:rPr>
  </w:style>
  <w:style w:type="table" w:customStyle="1" w:styleId="TableGrid">
    <w:name w:val="TableGrid"/>
    <w:rsid w:val="00BB6497"/>
    <w:pPr>
      <w:spacing w:after="0" w:line="240" w:lineRule="auto"/>
    </w:pPr>
    <w:rPr>
      <w:rFonts w:eastAsiaTheme="minorEastAsia"/>
      <w:lang w:eastAsia="de-D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2186</Words>
  <Characters>13776</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Zoe Maus (lmaus1)</dc:creator>
  <cp:keywords/>
  <dc:description/>
  <cp:lastModifiedBy>Lena Zoe</cp:lastModifiedBy>
  <cp:revision>1</cp:revision>
  <dcterms:created xsi:type="dcterms:W3CDTF">2024-04-15T08:17:00Z</dcterms:created>
  <dcterms:modified xsi:type="dcterms:W3CDTF">2024-04-15T09:35:00Z</dcterms:modified>
</cp:coreProperties>
</file>