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0B833" w14:textId="03EF1ADD" w:rsidR="00BF4888" w:rsidRDefault="006B694C" w:rsidP="00BF4888">
      <w:r>
        <w:t>Lektion 2: Unternehmensziele und Kennzahlen</w:t>
      </w:r>
    </w:p>
    <w:p w14:paraId="1DBC16D7" w14:textId="63F8FE88" w:rsidR="00BF4888" w:rsidRDefault="006B694C" w:rsidP="00BF4888">
      <w:proofErr w:type="gramStart"/>
      <w:r>
        <w:t>List[</w:t>
      </w:r>
      <w:proofErr w:type="gramEnd"/>
      <w:r>
        <w:t xml:space="preserve">Cash Flow, Rentabilität, Liquidität, </w:t>
      </w:r>
      <w:proofErr w:type="spellStart"/>
      <w:r>
        <w:t>Eigenkapitalquote,Produktivität</w:t>
      </w:r>
      <w:proofErr w:type="spellEnd"/>
      <w:r>
        <w:t>]</w:t>
      </w:r>
    </w:p>
    <w:p w14:paraId="54956B33" w14:textId="77777777" w:rsidR="006B694C" w:rsidRDefault="006B694C">
      <w:pPr>
        <w:spacing w:after="480" w:line="265" w:lineRule="auto"/>
        <w:ind w:left="33" w:right="1"/>
        <w:jc w:val="center"/>
      </w:pPr>
      <w:proofErr w:type="spellStart"/>
      <w:r>
        <w:rPr>
          <w:sz w:val="20"/>
        </w:rPr>
        <w:t>EasyBusiness</w:t>
      </w:r>
      <w:proofErr w:type="spellEnd"/>
      <w:r>
        <w:rPr>
          <w:sz w:val="20"/>
        </w:rPr>
        <w:t xml:space="preserve"> </w:t>
      </w:r>
      <w:r>
        <w:rPr>
          <w:rFonts w:ascii="Tahoma" w:eastAsia="Tahoma" w:hAnsi="Tahoma" w:cs="Tahoma"/>
          <w:sz w:val="20"/>
        </w:rPr>
        <w:t>–</w:t>
      </w:r>
      <w:r>
        <w:rPr>
          <w:sz w:val="20"/>
        </w:rPr>
        <w:t xml:space="preserve"> Der leichte Weg zur Betriebswirtschaft </w:t>
      </w:r>
    </w:p>
    <w:p w14:paraId="033E6ADC" w14:textId="77777777" w:rsidR="006B694C" w:rsidRDefault="006B694C">
      <w:pPr>
        <w:spacing w:after="56" w:line="259" w:lineRule="auto"/>
      </w:pPr>
      <w:r>
        <w:t xml:space="preserve"> </w:t>
      </w:r>
    </w:p>
    <w:p w14:paraId="755EB5FF" w14:textId="28FB7CC5" w:rsidR="006B694C" w:rsidRDefault="006B694C">
      <w:pPr>
        <w:spacing w:after="15" w:line="259" w:lineRule="auto"/>
      </w:pPr>
    </w:p>
    <w:p w14:paraId="4D78F9ED" w14:textId="77777777" w:rsidR="006B694C" w:rsidRDefault="006B694C">
      <w:pPr>
        <w:pStyle w:val="berschrift2"/>
      </w:pPr>
      <w:proofErr w:type="gramStart"/>
      <w:r>
        <w:t>CASH FLOW</w:t>
      </w:r>
      <w:proofErr w:type="gramEnd"/>
      <w:r>
        <w:t xml:space="preserve"> </w:t>
      </w:r>
    </w:p>
    <w:p w14:paraId="3518E538" w14:textId="77777777" w:rsidR="006B694C" w:rsidRDefault="006B694C">
      <w:pPr>
        <w:spacing w:after="56" w:line="259" w:lineRule="auto"/>
        <w:ind w:left="-30" w:right="-54"/>
      </w:pPr>
      <w:r>
        <w:rPr>
          <w:rFonts w:ascii="Calibri" w:eastAsia="Calibri" w:hAnsi="Calibri" w:cs="Calibri"/>
          <w:noProof/>
        </w:rPr>
        <mc:AlternateContent>
          <mc:Choice Requires="wpg">
            <w:drawing>
              <wp:inline distT="0" distB="0" distL="0" distR="0" wp14:anchorId="53B8797A" wp14:editId="6719276B">
                <wp:extent cx="5799583" cy="19050"/>
                <wp:effectExtent l="0" t="0" r="0" b="0"/>
                <wp:docPr id="895" name="Group 895"/>
                <wp:cNvGraphicFramePr/>
                <a:graphic xmlns:a="http://schemas.openxmlformats.org/drawingml/2006/main">
                  <a:graphicData uri="http://schemas.microsoft.com/office/word/2010/wordprocessingGroup">
                    <wpg:wgp>
                      <wpg:cNvGrpSpPr/>
                      <wpg:grpSpPr>
                        <a:xfrm>
                          <a:off x="0" y="0"/>
                          <a:ext cx="5799583" cy="19050"/>
                          <a:chOff x="0" y="0"/>
                          <a:chExt cx="5799583" cy="19050"/>
                        </a:xfrm>
                      </wpg:grpSpPr>
                      <wps:wsp>
                        <wps:cNvPr id="1193" name="Shape 1193"/>
                        <wps:cNvSpPr/>
                        <wps:spPr>
                          <a:xfrm>
                            <a:off x="0" y="0"/>
                            <a:ext cx="5799583" cy="19050"/>
                          </a:xfrm>
                          <a:custGeom>
                            <a:avLst/>
                            <a:gdLst/>
                            <a:ahLst/>
                            <a:cxnLst/>
                            <a:rect l="0" t="0" r="0" b="0"/>
                            <a:pathLst>
                              <a:path w="5799583" h="19050">
                                <a:moveTo>
                                  <a:pt x="0" y="0"/>
                                </a:moveTo>
                                <a:lnTo>
                                  <a:pt x="5799583" y="0"/>
                                </a:lnTo>
                                <a:lnTo>
                                  <a:pt x="5799583" y="19050"/>
                                </a:lnTo>
                                <a:lnTo>
                                  <a:pt x="0" y="19050"/>
                                </a:lnTo>
                                <a:lnTo>
                                  <a:pt x="0" y="0"/>
                                </a:lnTo>
                              </a:path>
                            </a:pathLst>
                          </a:custGeom>
                          <a:ln w="0" cap="flat">
                            <a:miter lim="127000"/>
                          </a:ln>
                        </wps:spPr>
                        <wps:style>
                          <a:lnRef idx="0">
                            <a:srgbClr val="000000">
                              <a:alpha val="0"/>
                            </a:srgbClr>
                          </a:lnRef>
                          <a:fillRef idx="1">
                            <a:srgbClr val="CC0000"/>
                          </a:fillRef>
                          <a:effectRef idx="0">
                            <a:scrgbClr r="0" g="0" b="0"/>
                          </a:effectRef>
                          <a:fontRef idx="none"/>
                        </wps:style>
                        <wps:bodyPr/>
                      </wps:wsp>
                    </wpg:wgp>
                  </a:graphicData>
                </a:graphic>
              </wp:inline>
            </w:drawing>
          </mc:Choice>
          <mc:Fallback>
            <w:pict>
              <v:group w14:anchorId="1F5E67FE" id="Group 895" o:spid="_x0000_s1026" style="width:456.65pt;height:1.5pt;mso-position-horizontal-relative:char;mso-position-vertical-relative:line" coordsize="5799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">
                <v:shape id="Shape 1193" o:spid="_x0000_s1027" style="position:absolute;width:57995;height:190;visibility:visible;mso-wrap-style:square;v-text-anchor:top" coordsize="579958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" path="m,l5799583,r,19050l,19050,,e" fillcolor="#c00" stroked="f" strokeweight="0">
                  <v:stroke miterlimit="83231f" joinstyle="miter"/>
                  <v:path arrowok="t" textboxrect="0,0,5799583,19050"/>
                </v:shape>
                <w10:anchorlock/>
              </v:group>
            </w:pict>
          </mc:Fallback>
        </mc:AlternateContent>
      </w:r>
    </w:p>
    <w:p w14:paraId="171E734F" w14:textId="77777777" w:rsidR="006B694C" w:rsidRDefault="006B694C">
      <w:pPr>
        <w:spacing w:after="0" w:line="259" w:lineRule="auto"/>
      </w:pPr>
      <w:r>
        <w:t xml:space="preserve"> </w:t>
      </w:r>
    </w:p>
    <w:p w14:paraId="063A48A3" w14:textId="77777777" w:rsidR="006B694C" w:rsidRDefault="006B694C">
      <w:pPr>
        <w:spacing w:after="0" w:line="259" w:lineRule="auto"/>
      </w:pPr>
      <w:r>
        <w:t xml:space="preserve"> </w:t>
      </w:r>
    </w:p>
    <w:p w14:paraId="05014BC4" w14:textId="77777777" w:rsidR="006B694C" w:rsidRDefault="006B694C">
      <w:pPr>
        <w:ind w:left="-5"/>
      </w:pPr>
      <w:r>
        <w:t xml:space="preserve">Der </w:t>
      </w:r>
      <w:proofErr w:type="gramStart"/>
      <w:r>
        <w:t xml:space="preserve">Cash </w:t>
      </w:r>
      <w:proofErr w:type="spellStart"/>
      <w:r>
        <w:t>flow</w:t>
      </w:r>
      <w:proofErr w:type="spellEnd"/>
      <w:proofErr w:type="gramEnd"/>
      <w:r>
        <w:t xml:space="preserve"> ist der Überschuss der Einnahmen über die tatsächlichen Ausgaben.   </w:t>
      </w:r>
    </w:p>
    <w:p w14:paraId="1DC45AAC" w14:textId="77777777" w:rsidR="006B694C" w:rsidRDefault="006B694C">
      <w:pPr>
        <w:spacing w:after="0" w:line="259" w:lineRule="auto"/>
      </w:pPr>
      <w:r>
        <w:t xml:space="preserve"> </w:t>
      </w:r>
    </w:p>
    <w:p w14:paraId="10D7425E" w14:textId="77777777" w:rsidR="006B694C" w:rsidRDefault="006B694C">
      <w:pPr>
        <w:ind w:left="-5"/>
      </w:pPr>
      <w:r>
        <w:t xml:space="preserve">Er lässt jene Geschäftsfälle unberücksichtigt, die keinen tatsächlichen Geldfluss (= Zahlung) bewirkt haben. Die beiden wichtigsten Geschäftsfälle dieser Art sind die Abschreibungen und die Rückstellungen. </w:t>
      </w:r>
    </w:p>
    <w:p w14:paraId="2D19C75F" w14:textId="77777777" w:rsidR="006B694C" w:rsidRDefault="006B694C">
      <w:pPr>
        <w:spacing w:after="0" w:line="259" w:lineRule="auto"/>
      </w:pPr>
      <w:r>
        <w:t xml:space="preserve"> </w:t>
      </w:r>
    </w:p>
    <w:p w14:paraId="51025C54" w14:textId="77777777" w:rsidR="006B694C" w:rsidRDefault="006B694C">
      <w:pPr>
        <w:tabs>
          <w:tab w:val="center" w:pos="720"/>
          <w:tab w:val="center" w:pos="1409"/>
        </w:tabs>
        <w:spacing w:after="0" w:line="259" w:lineRule="auto"/>
      </w:pPr>
      <w:r>
        <w:rPr>
          <w:rFonts w:ascii="Calibri" w:eastAsia="Calibri" w:hAnsi="Calibri" w:cs="Calibri"/>
          <w:sz w:val="22"/>
        </w:rPr>
        <w:tab/>
      </w:r>
      <w:r>
        <w:rPr>
          <w:sz w:val="20"/>
        </w:rPr>
        <w:t xml:space="preserve"> </w:t>
      </w:r>
      <w:r>
        <w:rPr>
          <w:sz w:val="20"/>
        </w:rPr>
        <w:tab/>
        <w:t xml:space="preserve">Gewinn </w:t>
      </w:r>
    </w:p>
    <w:p w14:paraId="629CF408" w14:textId="77777777" w:rsidR="006B694C" w:rsidRDefault="006B694C">
      <w:pPr>
        <w:spacing w:after="0" w:line="259" w:lineRule="auto"/>
        <w:ind w:left="715"/>
      </w:pPr>
      <w:r>
        <w:rPr>
          <w:sz w:val="20"/>
        </w:rPr>
        <w:t xml:space="preserve">+ Abschreibungen </w:t>
      </w:r>
    </w:p>
    <w:p w14:paraId="3A4AB7DD" w14:textId="77777777" w:rsidR="006B694C" w:rsidRDefault="006B694C">
      <w:pPr>
        <w:spacing w:after="62" w:line="259" w:lineRule="auto"/>
        <w:ind w:left="715"/>
      </w:pPr>
      <w:r>
        <w:rPr>
          <w:sz w:val="20"/>
          <w:u w:val="single" w:color="000000"/>
        </w:rPr>
        <w:t xml:space="preserve">+ Rückstellungen </w:t>
      </w:r>
      <w:r>
        <w:rPr>
          <w:sz w:val="20"/>
        </w:rPr>
        <w:t xml:space="preserve"> </w:t>
      </w:r>
    </w:p>
    <w:p w14:paraId="5F7C74C5" w14:textId="77777777" w:rsidR="006B694C" w:rsidRDefault="006B694C">
      <w:pPr>
        <w:pStyle w:val="berschrift3"/>
        <w:ind w:left="715"/>
      </w:pPr>
      <w:r>
        <w:t xml:space="preserve">= </w:t>
      </w:r>
      <w:proofErr w:type="gramStart"/>
      <w:r>
        <w:t>Cash Flow</w:t>
      </w:r>
      <w:proofErr w:type="gramEnd"/>
      <w:r>
        <w:t xml:space="preserve"> </w:t>
      </w:r>
    </w:p>
    <w:p w14:paraId="4498A174" w14:textId="77777777" w:rsidR="006B694C" w:rsidRDefault="006B694C">
      <w:pPr>
        <w:spacing w:after="0" w:line="259" w:lineRule="auto"/>
      </w:pPr>
      <w:r>
        <w:t xml:space="preserve"> </w:t>
      </w:r>
    </w:p>
    <w:p w14:paraId="2E76AA98" w14:textId="77777777" w:rsidR="006B694C" w:rsidRDefault="006B694C">
      <w:pPr>
        <w:ind w:left="-5"/>
      </w:pPr>
      <w:r>
        <w:t xml:space="preserve">Der </w:t>
      </w:r>
      <w:proofErr w:type="gramStart"/>
      <w:r>
        <w:t xml:space="preserve">Cash </w:t>
      </w:r>
      <w:proofErr w:type="spellStart"/>
      <w:r>
        <w:t>flow</w:t>
      </w:r>
      <w:proofErr w:type="spellEnd"/>
      <w:proofErr w:type="gramEnd"/>
      <w:r>
        <w:t xml:space="preserve"> steht für Gewinnausschüttungen, Investitionen oder Kreditrückzahlungen zur </w:t>
      </w:r>
    </w:p>
    <w:p w14:paraId="197B5FB0" w14:textId="77777777" w:rsidR="006B694C" w:rsidRDefault="006B694C">
      <w:pPr>
        <w:ind w:left="-5"/>
      </w:pPr>
      <w:r>
        <w:t xml:space="preserve">Verfügung. Externe Analysten bedienen sich dieser Kennzahl gerne, um ein unverfälschteres </w:t>
      </w:r>
    </w:p>
    <w:p w14:paraId="2D12ADF1" w14:textId="77777777" w:rsidR="006B694C" w:rsidRDefault="006B694C">
      <w:pPr>
        <w:ind w:left="-5"/>
      </w:pPr>
      <w:r>
        <w:t xml:space="preserve">Bild von der Ertragskraft eines Unternehmens zu bekommen. Es werden nämlich jene </w:t>
      </w:r>
      <w:r>
        <w:rPr>
          <w:rFonts w:ascii="Tahoma" w:eastAsia="Tahoma" w:hAnsi="Tahoma" w:cs="Tahoma"/>
        </w:rPr>
        <w:t>Geschäftsfälle ausgeklammert, die besonders leicht „verfälscht“ werden können –</w:t>
      </w:r>
      <w:r>
        <w:t xml:space="preserve"> das sind die Abschreibungen und die Rückstellungen. </w:t>
      </w:r>
    </w:p>
    <w:p w14:paraId="40A7C992" w14:textId="77777777" w:rsidR="006B694C" w:rsidRDefault="006B694C">
      <w:pPr>
        <w:spacing w:after="0" w:line="259" w:lineRule="auto"/>
      </w:pPr>
      <w:r>
        <w:t xml:space="preserve"> </w:t>
      </w:r>
    </w:p>
    <w:p w14:paraId="7FECC9C4" w14:textId="77777777" w:rsidR="006B694C" w:rsidRDefault="006B694C">
      <w:pPr>
        <w:spacing w:after="0" w:line="259" w:lineRule="auto"/>
      </w:pPr>
      <w:r>
        <w:rPr>
          <w:rFonts w:ascii="Tahoma" w:eastAsia="Tahoma" w:hAnsi="Tahoma" w:cs="Tahoma"/>
          <w:b/>
        </w:rPr>
        <w:t xml:space="preserve">Für Fortgeschrittene: </w:t>
      </w:r>
    </w:p>
    <w:p w14:paraId="3A055B57" w14:textId="77777777" w:rsidR="006B694C" w:rsidRDefault="006B694C">
      <w:pPr>
        <w:spacing w:after="0" w:line="259" w:lineRule="auto"/>
      </w:pPr>
      <w:r>
        <w:t xml:space="preserve"> </w:t>
      </w:r>
    </w:p>
    <w:p w14:paraId="7A8DEB40" w14:textId="77777777" w:rsidR="006B694C" w:rsidRDefault="006B694C">
      <w:pPr>
        <w:ind w:left="-5"/>
      </w:pPr>
      <w:r>
        <w:t xml:space="preserve">Es werden nur jene </w:t>
      </w:r>
      <w:r>
        <w:rPr>
          <w:rFonts w:ascii="Tahoma" w:eastAsia="Tahoma" w:hAnsi="Tahoma" w:cs="Tahoma"/>
          <w:b/>
        </w:rPr>
        <w:t>Rückstellungen</w:t>
      </w:r>
      <w:r>
        <w:t xml:space="preserve"> zum Ergebnis </w:t>
      </w:r>
      <w:r>
        <w:rPr>
          <w:rFonts w:ascii="Tahoma" w:eastAsia="Tahoma" w:hAnsi="Tahoma" w:cs="Tahoma"/>
          <w:b/>
        </w:rPr>
        <w:t>hinzugezählt</w:t>
      </w:r>
      <w:r>
        <w:t xml:space="preserve">, die im Abschlussjahr </w:t>
      </w:r>
      <w:r>
        <w:rPr>
          <w:rFonts w:ascii="Tahoma" w:eastAsia="Tahoma" w:hAnsi="Tahoma" w:cs="Tahoma"/>
          <w:b/>
        </w:rPr>
        <w:t>neu gebildet</w:t>
      </w:r>
      <w:r>
        <w:t xml:space="preserve"> wurden. Sollten in einem Jahr Rückstellungen </w:t>
      </w:r>
      <w:r>
        <w:rPr>
          <w:rFonts w:ascii="Tahoma" w:eastAsia="Tahoma" w:hAnsi="Tahoma" w:cs="Tahoma"/>
          <w:b/>
        </w:rPr>
        <w:t>aufgelöst</w:t>
      </w:r>
      <w:r>
        <w:t xml:space="preserve"> worden </w:t>
      </w:r>
      <w:proofErr w:type="gramStart"/>
      <w:r>
        <w:t>sein  (</w:t>
      </w:r>
      <w:proofErr w:type="gramEnd"/>
      <w:r>
        <w:t xml:space="preserve">z.B. weil ein Prozess, für den man mit einer Rückstellung vorgesorgt hat, gewonnen wurde), werden diese vom Ergebnis abgezogen. Dies deshalb, weil sie den Gewinn erhöht </w:t>
      </w:r>
      <w:proofErr w:type="gramStart"/>
      <w:r>
        <w:t>haben</w:t>
      </w:r>
      <w:proofErr w:type="gramEnd"/>
      <w:r>
        <w:t xml:space="preserve"> ohne zu einem Zahlungsfluss geführt zu haben. </w:t>
      </w:r>
    </w:p>
    <w:p w14:paraId="3186DD81" w14:textId="77777777" w:rsidR="006B694C" w:rsidRDefault="006B694C">
      <w:pPr>
        <w:spacing w:after="0" w:line="259" w:lineRule="auto"/>
      </w:pPr>
      <w:r>
        <w:t xml:space="preserve"> </w:t>
      </w:r>
    </w:p>
    <w:p w14:paraId="1DEC5D08" w14:textId="77777777" w:rsidR="006B694C" w:rsidRDefault="006B694C">
      <w:pPr>
        <w:tabs>
          <w:tab w:val="center" w:pos="720"/>
          <w:tab w:val="center" w:pos="1409"/>
        </w:tabs>
        <w:spacing w:after="0" w:line="259" w:lineRule="auto"/>
      </w:pPr>
      <w:r>
        <w:rPr>
          <w:rFonts w:ascii="Calibri" w:eastAsia="Calibri" w:hAnsi="Calibri" w:cs="Calibri"/>
          <w:sz w:val="22"/>
        </w:rPr>
        <w:lastRenderedPageBreak/>
        <w:tab/>
      </w:r>
      <w:r>
        <w:rPr>
          <w:sz w:val="20"/>
        </w:rPr>
        <w:t xml:space="preserve"> </w:t>
      </w:r>
      <w:r>
        <w:rPr>
          <w:sz w:val="20"/>
        </w:rPr>
        <w:tab/>
        <w:t xml:space="preserve">Gewinn </w:t>
      </w:r>
    </w:p>
    <w:p w14:paraId="0FB9B41B" w14:textId="77777777" w:rsidR="006B694C" w:rsidRDefault="006B694C">
      <w:pPr>
        <w:spacing w:after="0" w:line="259" w:lineRule="auto"/>
        <w:ind w:left="715"/>
      </w:pPr>
      <w:r>
        <w:rPr>
          <w:sz w:val="20"/>
        </w:rPr>
        <w:t xml:space="preserve">+ Abschreibungen </w:t>
      </w:r>
    </w:p>
    <w:p w14:paraId="623F2C20" w14:textId="77777777" w:rsidR="006B694C" w:rsidRDefault="006B694C">
      <w:pPr>
        <w:spacing w:after="0" w:line="259" w:lineRule="auto"/>
        <w:ind w:left="715"/>
      </w:pPr>
      <w:r>
        <w:rPr>
          <w:sz w:val="20"/>
        </w:rPr>
        <w:t xml:space="preserve">+ Bildung von Rückstelllungen </w:t>
      </w:r>
    </w:p>
    <w:p w14:paraId="2C8CA9EF" w14:textId="77777777" w:rsidR="006B694C" w:rsidRDefault="006B694C">
      <w:pPr>
        <w:tabs>
          <w:tab w:val="center" w:pos="757"/>
          <w:tab w:val="center" w:pos="2404"/>
        </w:tabs>
        <w:spacing w:after="62" w:line="259" w:lineRule="auto"/>
      </w:pPr>
      <w:r>
        <w:rPr>
          <w:rFonts w:ascii="Calibri" w:eastAsia="Calibri" w:hAnsi="Calibri" w:cs="Calibri"/>
          <w:sz w:val="22"/>
        </w:rPr>
        <w:tab/>
      </w:r>
      <w:r>
        <w:rPr>
          <w:sz w:val="20"/>
          <w:u w:val="single" w:color="000000"/>
        </w:rPr>
        <w:t xml:space="preserve">- </w:t>
      </w:r>
      <w:r>
        <w:rPr>
          <w:sz w:val="20"/>
          <w:u w:val="single" w:color="000000"/>
        </w:rPr>
        <w:tab/>
        <w:t>Auflösung von Rückstellungen</w:t>
      </w:r>
      <w:r>
        <w:rPr>
          <w:sz w:val="20"/>
        </w:rPr>
        <w:t xml:space="preserve"> </w:t>
      </w:r>
    </w:p>
    <w:p w14:paraId="2B5FF54A" w14:textId="77777777" w:rsidR="006B694C" w:rsidRDefault="006B694C">
      <w:pPr>
        <w:pStyle w:val="berschrift3"/>
        <w:ind w:left="715"/>
      </w:pPr>
      <w:r>
        <w:t xml:space="preserve">= </w:t>
      </w:r>
      <w:proofErr w:type="gramStart"/>
      <w:r>
        <w:t>Cash Flow</w:t>
      </w:r>
      <w:proofErr w:type="gramEnd"/>
      <w:r>
        <w:t xml:space="preserve"> </w:t>
      </w:r>
    </w:p>
    <w:p w14:paraId="1B51EBF4" w14:textId="77777777" w:rsidR="006B694C" w:rsidRDefault="006B694C">
      <w:pPr>
        <w:spacing w:after="0" w:line="259" w:lineRule="auto"/>
      </w:pPr>
      <w:r>
        <w:t xml:space="preserve"> </w:t>
      </w:r>
    </w:p>
    <w:p w14:paraId="30D5C1D7" w14:textId="77777777" w:rsidR="006B694C" w:rsidRDefault="006B694C">
      <w:pPr>
        <w:spacing w:after="0" w:line="259" w:lineRule="auto"/>
      </w:pPr>
      <w:r>
        <w:t xml:space="preserve"> </w:t>
      </w:r>
    </w:p>
    <w:p w14:paraId="137A128D" w14:textId="77777777" w:rsidR="006B694C" w:rsidRDefault="006B694C">
      <w:pPr>
        <w:ind w:left="-5"/>
      </w:pPr>
      <w:r>
        <w:t xml:space="preserve">Es gibt verschiedene Stufen des Cash </w:t>
      </w:r>
      <w:proofErr w:type="spellStart"/>
      <w:r>
        <w:t>flows</w:t>
      </w:r>
      <w:proofErr w:type="spellEnd"/>
      <w:r>
        <w:t xml:space="preserve">, die im Rahmen des Cash </w:t>
      </w:r>
      <w:proofErr w:type="spellStart"/>
      <w:r>
        <w:t>flow</w:t>
      </w:r>
      <w:proofErr w:type="spellEnd"/>
      <w:r>
        <w:t xml:space="preserve">-Statements ermittelt werden können und eine detaillierte Aussage über die Ertrags- und Finanzkraft eines Unternehmens geben (mehr dazu in der betriebswirtschaftlichen Literatur). </w:t>
      </w:r>
    </w:p>
    <w:p w14:paraId="12EB9B0F" w14:textId="0BF0A3B5" w:rsidR="006B694C" w:rsidRDefault="006B694C">
      <w:pPr>
        <w:spacing w:after="15" w:line="259" w:lineRule="auto"/>
      </w:pPr>
    </w:p>
    <w:p w14:paraId="73A843A5" w14:textId="77777777" w:rsidR="006B694C" w:rsidRDefault="006B694C">
      <w:pPr>
        <w:pStyle w:val="berschrift2"/>
      </w:pPr>
      <w:r>
        <w:t xml:space="preserve">RENTABILITÄT </w:t>
      </w:r>
    </w:p>
    <w:p w14:paraId="19380FCC" w14:textId="77777777" w:rsidR="006B694C" w:rsidRDefault="006B694C">
      <w:pPr>
        <w:spacing w:after="56" w:line="259" w:lineRule="auto"/>
        <w:ind w:left="-30" w:right="-33"/>
      </w:pPr>
      <w:r>
        <w:rPr>
          <w:rFonts w:ascii="Calibri" w:eastAsia="Calibri" w:hAnsi="Calibri" w:cs="Calibri"/>
          <w:noProof/>
        </w:rPr>
        <mc:AlternateContent>
          <mc:Choice Requires="wpg">
            <w:drawing>
              <wp:inline distT="0" distB="0" distL="0" distR="0" wp14:anchorId="0A7E5EE3" wp14:editId="2D0AD89F">
                <wp:extent cx="5799583" cy="19050"/>
                <wp:effectExtent l="0" t="0" r="0" b="0"/>
                <wp:docPr id="898" name="Group 898"/>
                <wp:cNvGraphicFramePr/>
                <a:graphic xmlns:a="http://schemas.openxmlformats.org/drawingml/2006/main">
                  <a:graphicData uri="http://schemas.microsoft.com/office/word/2010/wordprocessingGroup">
                    <wpg:wgp>
                      <wpg:cNvGrpSpPr/>
                      <wpg:grpSpPr>
                        <a:xfrm>
                          <a:off x="0" y="0"/>
                          <a:ext cx="5799583" cy="19050"/>
                          <a:chOff x="0" y="0"/>
                          <a:chExt cx="5799583" cy="19050"/>
                        </a:xfrm>
                      </wpg:grpSpPr>
                      <wps:wsp>
                        <wps:cNvPr id="1216" name="Shape 1216"/>
                        <wps:cNvSpPr/>
                        <wps:spPr>
                          <a:xfrm>
                            <a:off x="0" y="0"/>
                            <a:ext cx="5799583" cy="19050"/>
                          </a:xfrm>
                          <a:custGeom>
                            <a:avLst/>
                            <a:gdLst/>
                            <a:ahLst/>
                            <a:cxnLst/>
                            <a:rect l="0" t="0" r="0" b="0"/>
                            <a:pathLst>
                              <a:path w="5799583" h="19050">
                                <a:moveTo>
                                  <a:pt x="0" y="0"/>
                                </a:moveTo>
                                <a:lnTo>
                                  <a:pt x="5799583" y="0"/>
                                </a:lnTo>
                                <a:lnTo>
                                  <a:pt x="5799583" y="19050"/>
                                </a:lnTo>
                                <a:lnTo>
                                  <a:pt x="0" y="19050"/>
                                </a:lnTo>
                                <a:lnTo>
                                  <a:pt x="0" y="0"/>
                                </a:lnTo>
                              </a:path>
                            </a:pathLst>
                          </a:custGeom>
                          <a:ln w="0" cap="flat">
                            <a:miter lim="127000"/>
                          </a:ln>
                        </wps:spPr>
                        <wps:style>
                          <a:lnRef idx="0">
                            <a:srgbClr val="000000">
                              <a:alpha val="0"/>
                            </a:srgbClr>
                          </a:lnRef>
                          <a:fillRef idx="1">
                            <a:srgbClr val="CC0000"/>
                          </a:fillRef>
                          <a:effectRef idx="0">
                            <a:scrgbClr r="0" g="0" b="0"/>
                          </a:effectRef>
                          <a:fontRef idx="none"/>
                        </wps:style>
                        <wps:bodyPr/>
                      </wps:wsp>
                    </wpg:wgp>
                  </a:graphicData>
                </a:graphic>
              </wp:inline>
            </w:drawing>
          </mc:Choice>
          <mc:Fallback>
            <w:pict>
              <v:group w14:anchorId="743ECD45" id="Group 898" o:spid="_x0000_s1026" style="width:456.65pt;height:1.5pt;mso-position-horizontal-relative:char;mso-position-vertical-relative:line" coordsize="5799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">
                <v:shape id="Shape 1216" o:spid="_x0000_s1027" style="position:absolute;width:57995;height:190;visibility:visible;mso-wrap-style:square;v-text-anchor:top" coordsize="579958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" path="m,l5799583,r,19050l,19050,,e" fillcolor="#c00" stroked="f" strokeweight="0">
                  <v:stroke miterlimit="83231f" joinstyle="miter"/>
                  <v:path arrowok="t" textboxrect="0,0,5799583,19050"/>
                </v:shape>
                <w10:anchorlock/>
              </v:group>
            </w:pict>
          </mc:Fallback>
        </mc:AlternateContent>
      </w:r>
    </w:p>
    <w:p w14:paraId="16C2CC85" w14:textId="77777777" w:rsidR="006B694C" w:rsidRDefault="006B694C">
      <w:pPr>
        <w:spacing w:after="0" w:line="259" w:lineRule="auto"/>
      </w:pPr>
      <w:r>
        <w:t xml:space="preserve"> </w:t>
      </w:r>
    </w:p>
    <w:p w14:paraId="4A2CC1C3" w14:textId="77777777" w:rsidR="006B694C" w:rsidRDefault="006B694C">
      <w:pPr>
        <w:spacing w:after="0" w:line="259" w:lineRule="auto"/>
      </w:pPr>
      <w:r>
        <w:t xml:space="preserve"> </w:t>
      </w:r>
    </w:p>
    <w:p w14:paraId="32123F91" w14:textId="77777777" w:rsidR="006B694C" w:rsidRDefault="006B694C">
      <w:pPr>
        <w:ind w:left="-5"/>
      </w:pPr>
      <w:r>
        <w:t xml:space="preserve">Auf die Grundsatzfrage eines Unternehmers, ob sich sein Unternehmen überhaupt auszahlt, gibt die </w:t>
      </w:r>
      <w:r>
        <w:rPr>
          <w:rFonts w:ascii="Tahoma" w:eastAsia="Tahoma" w:hAnsi="Tahoma" w:cs="Tahoma"/>
          <w:b/>
        </w:rPr>
        <w:t>Eigenkapitalrentabilität</w:t>
      </w:r>
      <w:r>
        <w:t xml:space="preserve"> eine Antwort. Sie entspricht der </w:t>
      </w:r>
      <w:r>
        <w:rPr>
          <w:rFonts w:ascii="Tahoma" w:eastAsia="Tahoma" w:hAnsi="Tahoma" w:cs="Tahoma"/>
          <w:b/>
        </w:rPr>
        <w:t>Verzinsung des eingesetzten eigenen Kapitals</w:t>
      </w:r>
      <w:r>
        <w:t xml:space="preserve"> und wird folgendermaßen berechnet: </w:t>
      </w:r>
    </w:p>
    <w:p w14:paraId="011D5C78" w14:textId="77777777" w:rsidR="006B694C" w:rsidRDefault="006B694C">
      <w:pPr>
        <w:spacing w:after="0" w:line="259" w:lineRule="auto"/>
      </w:pPr>
      <w:r>
        <w:t xml:space="preserve"> </w:t>
      </w:r>
    </w:p>
    <w:p w14:paraId="5E71234F" w14:textId="77777777" w:rsidR="006B694C" w:rsidRDefault="006B694C">
      <w:pPr>
        <w:pStyle w:val="berschrift3"/>
      </w:pPr>
      <w:r>
        <w:t xml:space="preserve">   Gewinn__</w:t>
      </w:r>
      <w:r>
        <w:rPr>
          <w:u w:color="000000"/>
        </w:rPr>
        <w:t xml:space="preserve">  </w:t>
      </w:r>
    </w:p>
    <w:p w14:paraId="356484FD" w14:textId="77777777" w:rsidR="006B694C" w:rsidRDefault="006B694C">
      <w:pPr>
        <w:tabs>
          <w:tab w:val="center" w:pos="2562"/>
          <w:tab w:val="center" w:pos="5414"/>
        </w:tabs>
        <w:spacing w:after="0" w:line="259" w:lineRule="auto"/>
      </w:pPr>
      <w:r>
        <w:rPr>
          <w:rFonts w:ascii="Calibri" w:eastAsia="Calibri" w:hAnsi="Calibri" w:cs="Calibri"/>
          <w:sz w:val="22"/>
        </w:rPr>
        <w:tab/>
      </w:r>
      <w:r>
        <w:rPr>
          <w:sz w:val="20"/>
        </w:rPr>
        <w:t xml:space="preserve">Eigenkapitalrentabilität </w:t>
      </w:r>
      <w:proofErr w:type="gramStart"/>
      <w:r>
        <w:rPr>
          <w:sz w:val="20"/>
        </w:rPr>
        <w:t xml:space="preserve">=  </w:t>
      </w:r>
      <w:r>
        <w:rPr>
          <w:sz w:val="20"/>
        </w:rPr>
        <w:tab/>
      </w:r>
      <w:proofErr w:type="gramEnd"/>
      <w:r>
        <w:rPr>
          <w:sz w:val="20"/>
        </w:rPr>
        <w:t xml:space="preserve">x 100 </w:t>
      </w:r>
    </w:p>
    <w:p w14:paraId="6C4EA371" w14:textId="77777777" w:rsidR="006B694C" w:rsidRDefault="006B694C">
      <w:pPr>
        <w:spacing w:after="3" w:line="265" w:lineRule="auto"/>
        <w:ind w:left="12" w:right="231"/>
        <w:jc w:val="center"/>
      </w:pPr>
      <w:r>
        <w:rPr>
          <w:sz w:val="20"/>
        </w:rPr>
        <w:t xml:space="preserve">Eigenkapital </w:t>
      </w:r>
    </w:p>
    <w:p w14:paraId="1FE11579" w14:textId="77777777" w:rsidR="006B694C" w:rsidRDefault="006B694C">
      <w:pPr>
        <w:spacing w:after="0" w:line="259" w:lineRule="auto"/>
      </w:pPr>
      <w:r>
        <w:t xml:space="preserve"> </w:t>
      </w:r>
    </w:p>
    <w:p w14:paraId="19017A55" w14:textId="77777777" w:rsidR="006B694C" w:rsidRDefault="006B694C">
      <w:pPr>
        <w:spacing w:after="0" w:line="259" w:lineRule="auto"/>
      </w:pPr>
      <w:r>
        <w:t xml:space="preserve"> </w:t>
      </w:r>
    </w:p>
    <w:p w14:paraId="68BECB45" w14:textId="77777777" w:rsidR="006B694C" w:rsidRDefault="006B694C">
      <w:pPr>
        <w:ind w:left="-5"/>
      </w:pPr>
      <w:r>
        <w:t xml:space="preserve">Entspricht die Eigenkapitalrentabilität auf Dauer nicht der Verzinsung durch eine andere Anlageform, stellt sich folgende Frage: Ist es nicht besser, das Unternehmen zu verkaufen und den Verkaufserlös in anderer Form anzulegen? </w:t>
      </w:r>
    </w:p>
    <w:p w14:paraId="7A88FF56" w14:textId="77777777" w:rsidR="006B694C" w:rsidRDefault="006B694C">
      <w:pPr>
        <w:spacing w:after="0" w:line="259" w:lineRule="auto"/>
      </w:pPr>
      <w:r>
        <w:t xml:space="preserve"> </w:t>
      </w:r>
    </w:p>
    <w:p w14:paraId="74B88E4F" w14:textId="77777777" w:rsidR="006B694C" w:rsidRDefault="006B694C">
      <w:pPr>
        <w:ind w:left="-5"/>
      </w:pPr>
      <w:r>
        <w:t xml:space="preserve">Bei dieser Überlegung sollte mit einkalkuliert werden, dass ein Unternehmen ein hohes Risiko darstellt, bei dem man nicht nur das ins Unternehmen investierte Kapital, sondern möglicherweise auch seine private wirtschaftliche Existenz aufs Spiel setzt. Dementsprechend höher sollte die Eigenkapitalrentabilität im Vergleich zur Verzinsung einer risikoarmen Veranlagung sein und einen Risikoaufschlag beinhalten. </w:t>
      </w:r>
    </w:p>
    <w:p w14:paraId="67386781" w14:textId="77777777" w:rsidR="006B694C" w:rsidRDefault="006B694C">
      <w:pPr>
        <w:spacing w:after="0" w:line="259" w:lineRule="auto"/>
      </w:pPr>
      <w:r>
        <w:t xml:space="preserve"> </w:t>
      </w:r>
    </w:p>
    <w:p w14:paraId="79E7B4F9" w14:textId="77777777" w:rsidR="006B694C" w:rsidRDefault="006B694C">
      <w:pPr>
        <w:spacing w:after="0" w:line="259" w:lineRule="auto"/>
      </w:pPr>
      <w:r>
        <w:t xml:space="preserve"> </w:t>
      </w:r>
    </w:p>
    <w:p w14:paraId="4916B0FD" w14:textId="77777777" w:rsidR="006B694C" w:rsidRDefault="006B694C">
      <w:pPr>
        <w:spacing w:after="0" w:line="259" w:lineRule="auto"/>
      </w:pPr>
      <w:r>
        <w:rPr>
          <w:rFonts w:ascii="Tahoma" w:eastAsia="Tahoma" w:hAnsi="Tahoma" w:cs="Tahoma"/>
          <w:b/>
        </w:rPr>
        <w:t xml:space="preserve">Gesamtkapitalrentabilität / Return on Investment (ROI) </w:t>
      </w:r>
    </w:p>
    <w:p w14:paraId="0690AF8F" w14:textId="77777777" w:rsidR="006B694C" w:rsidRDefault="006B694C">
      <w:pPr>
        <w:spacing w:after="0" w:line="259" w:lineRule="auto"/>
      </w:pPr>
      <w:r>
        <w:t xml:space="preserve"> </w:t>
      </w:r>
    </w:p>
    <w:p w14:paraId="77ABA5A9" w14:textId="77777777" w:rsidR="006B694C" w:rsidRDefault="006B694C">
      <w:pPr>
        <w:ind w:left="-5"/>
      </w:pPr>
      <w:r>
        <w:lastRenderedPageBreak/>
        <w:t xml:space="preserve">Wird der erwirtschaftete Gewinn nicht ins Verhältnis zum Eigenkapital gesetzt, sondern zum </w:t>
      </w:r>
    </w:p>
    <w:p w14:paraId="0EFF44C0" w14:textId="77777777" w:rsidR="006B694C" w:rsidRDefault="006B694C">
      <w:pPr>
        <w:ind w:left="-5"/>
      </w:pPr>
      <w:r>
        <w:t xml:space="preserve">gesamten Kapital, das in einem Unternehmen steckt, spricht man von </w:t>
      </w:r>
    </w:p>
    <w:p w14:paraId="71FD3311" w14:textId="77777777" w:rsidR="006B694C" w:rsidRDefault="006B694C">
      <w:pPr>
        <w:ind w:left="-5"/>
      </w:pPr>
      <w:r>
        <w:t xml:space="preserve">Gesamtkapitalrentabilität (englisch: Return on Investment, abgekürzt ROI) </w:t>
      </w:r>
    </w:p>
    <w:p w14:paraId="199D11A8" w14:textId="77777777" w:rsidR="006B694C" w:rsidRDefault="006B694C">
      <w:pPr>
        <w:spacing w:after="0" w:line="259" w:lineRule="auto"/>
      </w:pPr>
      <w:r>
        <w:t xml:space="preserve"> </w:t>
      </w:r>
    </w:p>
    <w:p w14:paraId="39BB24E3" w14:textId="77777777" w:rsidR="006B694C" w:rsidRDefault="006B694C">
      <w:pPr>
        <w:ind w:left="-5"/>
      </w:pPr>
      <w:r>
        <w:t xml:space="preserve">Die Gesamtkapitalrentabilität (bzw. der ROI) wird folgendermaßen berechnet: </w:t>
      </w:r>
    </w:p>
    <w:p w14:paraId="5B82DD8C" w14:textId="77777777" w:rsidR="006B694C" w:rsidRDefault="006B694C">
      <w:pPr>
        <w:spacing w:after="0" w:line="259" w:lineRule="auto"/>
      </w:pPr>
      <w:r>
        <w:t xml:space="preserve"> </w:t>
      </w:r>
    </w:p>
    <w:p w14:paraId="467A2FD5" w14:textId="77777777" w:rsidR="006B694C" w:rsidRDefault="006B694C">
      <w:pPr>
        <w:pStyle w:val="berschrift3"/>
        <w:ind w:right="112"/>
      </w:pPr>
      <w:r>
        <w:t xml:space="preserve">    Gewinn___</w:t>
      </w:r>
      <w:r>
        <w:rPr>
          <w:u w:color="000000"/>
        </w:rPr>
        <w:t xml:space="preserve">  </w:t>
      </w:r>
    </w:p>
    <w:p w14:paraId="5889CE67" w14:textId="77777777" w:rsidR="006B694C" w:rsidRDefault="006B694C">
      <w:pPr>
        <w:tabs>
          <w:tab w:val="center" w:pos="2440"/>
          <w:tab w:val="center" w:pos="5564"/>
        </w:tabs>
        <w:spacing w:after="0" w:line="259" w:lineRule="auto"/>
      </w:pPr>
      <w:r>
        <w:rPr>
          <w:rFonts w:ascii="Calibri" w:eastAsia="Calibri" w:hAnsi="Calibri" w:cs="Calibri"/>
          <w:sz w:val="22"/>
        </w:rPr>
        <w:tab/>
      </w:r>
      <w:r>
        <w:rPr>
          <w:sz w:val="20"/>
        </w:rPr>
        <w:t xml:space="preserve">Gesamtkapitalrentabilität </w:t>
      </w:r>
      <w:proofErr w:type="gramStart"/>
      <w:r>
        <w:rPr>
          <w:sz w:val="20"/>
        </w:rPr>
        <w:t xml:space="preserve">=  </w:t>
      </w:r>
      <w:r>
        <w:rPr>
          <w:sz w:val="20"/>
        </w:rPr>
        <w:tab/>
      </w:r>
      <w:proofErr w:type="gramEnd"/>
      <w:r>
        <w:rPr>
          <w:sz w:val="20"/>
        </w:rPr>
        <w:t xml:space="preserve">x 100 </w:t>
      </w:r>
    </w:p>
    <w:p w14:paraId="39C01EF5" w14:textId="77777777" w:rsidR="006B694C" w:rsidRDefault="006B694C">
      <w:pPr>
        <w:spacing w:after="3" w:line="265" w:lineRule="auto"/>
        <w:ind w:left="12" w:right="114"/>
        <w:jc w:val="center"/>
      </w:pPr>
      <w:r>
        <w:rPr>
          <w:sz w:val="20"/>
        </w:rPr>
        <w:t xml:space="preserve">Gesamtkapital </w:t>
      </w:r>
    </w:p>
    <w:p w14:paraId="1A70792B" w14:textId="77777777" w:rsidR="006B694C" w:rsidRDefault="006B694C">
      <w:pPr>
        <w:spacing w:after="0" w:line="259" w:lineRule="auto"/>
      </w:pPr>
      <w:r>
        <w:t xml:space="preserve"> </w:t>
      </w:r>
    </w:p>
    <w:p w14:paraId="67E52A21" w14:textId="77777777" w:rsidR="006B694C" w:rsidRDefault="006B694C">
      <w:pPr>
        <w:spacing w:after="0" w:line="259" w:lineRule="auto"/>
      </w:pPr>
      <w:r>
        <w:t xml:space="preserve"> </w:t>
      </w:r>
    </w:p>
    <w:p w14:paraId="5D8E2714" w14:textId="77777777" w:rsidR="006B694C" w:rsidRDefault="006B694C">
      <w:pPr>
        <w:ind w:left="-5"/>
      </w:pPr>
      <w:r>
        <w:t xml:space="preserve">Je höher die Gesamtkapitalrentabilität (bzw. der ROI), umso besser wird mit dem zur Verfügung stehenden Kapital (bzw. den Vermögenswerten) gewirtschaftet. </w:t>
      </w:r>
    </w:p>
    <w:p w14:paraId="317E041B" w14:textId="77777777" w:rsidR="006B694C" w:rsidRDefault="006B694C">
      <w:pPr>
        <w:spacing w:after="0" w:line="259" w:lineRule="auto"/>
      </w:pPr>
      <w:r>
        <w:t xml:space="preserve"> </w:t>
      </w:r>
    </w:p>
    <w:p w14:paraId="4A70517B" w14:textId="77777777" w:rsidR="006B694C" w:rsidRDefault="006B694C">
      <w:pPr>
        <w:ind w:left="-5"/>
      </w:pPr>
      <w:r>
        <w:t xml:space="preserve">ROIs werden auch zur Beurteilung von Investitionsvorhaben herangezogen. Dabei wird der erzielbare Gewinn aus einer Investition der Summe gegenübergestellt, die für die Finanzierung der Investition notwendig ist. </w:t>
      </w:r>
    </w:p>
    <w:p w14:paraId="51F2B513" w14:textId="77777777" w:rsidR="006B694C" w:rsidRDefault="006B694C">
      <w:pPr>
        <w:spacing w:after="0" w:line="259" w:lineRule="auto"/>
      </w:pPr>
      <w:r>
        <w:t xml:space="preserve"> </w:t>
      </w:r>
    </w:p>
    <w:p w14:paraId="6BECC5D0" w14:textId="4302FC13" w:rsidR="006B694C" w:rsidRDefault="006B694C">
      <w:pPr>
        <w:spacing w:after="15" w:line="259" w:lineRule="auto"/>
      </w:pPr>
    </w:p>
    <w:p w14:paraId="756DA60F" w14:textId="77777777" w:rsidR="006B694C" w:rsidRDefault="006B694C">
      <w:pPr>
        <w:pStyle w:val="berschrift2"/>
      </w:pPr>
      <w:r>
        <w:t xml:space="preserve">LIQUIDITÄT </w:t>
      </w:r>
    </w:p>
    <w:p w14:paraId="0A888410" w14:textId="77777777" w:rsidR="006B694C" w:rsidRDefault="006B694C">
      <w:pPr>
        <w:spacing w:after="56" w:line="259" w:lineRule="auto"/>
        <w:ind w:left="-30" w:right="-92"/>
      </w:pPr>
      <w:r>
        <w:rPr>
          <w:rFonts w:ascii="Calibri" w:eastAsia="Calibri" w:hAnsi="Calibri" w:cs="Calibri"/>
          <w:noProof/>
        </w:rPr>
        <mc:AlternateContent>
          <mc:Choice Requires="wpg">
            <w:drawing>
              <wp:inline distT="0" distB="0" distL="0" distR="0" wp14:anchorId="679509D5" wp14:editId="5BA7239E">
                <wp:extent cx="5799583" cy="19050"/>
                <wp:effectExtent l="0" t="0" r="0" b="0"/>
                <wp:docPr id="1633" name="Group 1633"/>
                <wp:cNvGraphicFramePr/>
                <a:graphic xmlns:a="http://schemas.openxmlformats.org/drawingml/2006/main">
                  <a:graphicData uri="http://schemas.microsoft.com/office/word/2010/wordprocessingGroup">
                    <wpg:wgp>
                      <wpg:cNvGrpSpPr/>
                      <wpg:grpSpPr>
                        <a:xfrm>
                          <a:off x="0" y="0"/>
                          <a:ext cx="5799583" cy="19050"/>
                          <a:chOff x="0" y="0"/>
                          <a:chExt cx="5799583" cy="19050"/>
                        </a:xfrm>
                      </wpg:grpSpPr>
                      <wps:wsp>
                        <wps:cNvPr id="2025" name="Shape 2025"/>
                        <wps:cNvSpPr/>
                        <wps:spPr>
                          <a:xfrm>
                            <a:off x="0" y="0"/>
                            <a:ext cx="5799583" cy="19050"/>
                          </a:xfrm>
                          <a:custGeom>
                            <a:avLst/>
                            <a:gdLst/>
                            <a:ahLst/>
                            <a:cxnLst/>
                            <a:rect l="0" t="0" r="0" b="0"/>
                            <a:pathLst>
                              <a:path w="5799583" h="19050">
                                <a:moveTo>
                                  <a:pt x="0" y="0"/>
                                </a:moveTo>
                                <a:lnTo>
                                  <a:pt x="5799583" y="0"/>
                                </a:lnTo>
                                <a:lnTo>
                                  <a:pt x="5799583" y="19050"/>
                                </a:lnTo>
                                <a:lnTo>
                                  <a:pt x="0" y="19050"/>
                                </a:lnTo>
                                <a:lnTo>
                                  <a:pt x="0" y="0"/>
                                </a:lnTo>
                              </a:path>
                            </a:pathLst>
                          </a:custGeom>
                          <a:ln w="0" cap="flat">
                            <a:miter lim="127000"/>
                          </a:ln>
                        </wps:spPr>
                        <wps:style>
                          <a:lnRef idx="0">
                            <a:srgbClr val="000000">
                              <a:alpha val="0"/>
                            </a:srgbClr>
                          </a:lnRef>
                          <a:fillRef idx="1">
                            <a:srgbClr val="CC0000"/>
                          </a:fillRef>
                          <a:effectRef idx="0">
                            <a:scrgbClr r="0" g="0" b="0"/>
                          </a:effectRef>
                          <a:fontRef idx="none"/>
                        </wps:style>
                        <wps:bodyPr/>
                      </wps:wsp>
                    </wpg:wgp>
                  </a:graphicData>
                </a:graphic>
              </wp:inline>
            </w:drawing>
          </mc:Choice>
          <mc:Fallback>
            <w:pict>
              <v:group w14:anchorId="05CEE8BC" id="Group 1633" o:spid="_x0000_s1026" style="width:456.65pt;height:1.5pt;mso-position-horizontal-relative:char;mso-position-vertical-relative:line" coordsize="5799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">
                <v:shape id="Shape 2025" o:spid="_x0000_s1027" style="position:absolute;width:57995;height:190;visibility:visible;mso-wrap-style:square;v-text-anchor:top" coordsize="579958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" path="m,l5799583,r,19050l,19050,,e" fillcolor="#c00" stroked="f" strokeweight="0">
                  <v:stroke miterlimit="83231f" joinstyle="miter"/>
                  <v:path arrowok="t" textboxrect="0,0,5799583,19050"/>
                </v:shape>
                <w10:anchorlock/>
              </v:group>
            </w:pict>
          </mc:Fallback>
        </mc:AlternateContent>
      </w:r>
    </w:p>
    <w:p w14:paraId="323F21F8" w14:textId="77777777" w:rsidR="006B694C" w:rsidRDefault="006B694C">
      <w:pPr>
        <w:spacing w:after="0" w:line="259" w:lineRule="auto"/>
      </w:pPr>
      <w:r>
        <w:t xml:space="preserve"> </w:t>
      </w:r>
    </w:p>
    <w:p w14:paraId="3B06FDDD" w14:textId="77777777" w:rsidR="006B694C" w:rsidRDefault="006B694C">
      <w:pPr>
        <w:spacing w:after="0" w:line="259" w:lineRule="auto"/>
      </w:pPr>
      <w:r>
        <w:t xml:space="preserve"> </w:t>
      </w:r>
    </w:p>
    <w:p w14:paraId="1645C7CD" w14:textId="77777777" w:rsidR="006B694C" w:rsidRDefault="006B694C">
      <w:pPr>
        <w:ind w:left="-5"/>
      </w:pPr>
      <w:r>
        <w:t xml:space="preserve">Unter </w:t>
      </w:r>
      <w:r>
        <w:rPr>
          <w:rFonts w:ascii="Tahoma" w:eastAsia="Tahoma" w:hAnsi="Tahoma" w:cs="Tahoma"/>
          <w:b/>
        </w:rPr>
        <w:t>Liquidität</w:t>
      </w:r>
      <w:r>
        <w:t xml:space="preserve"> versteht man die Fähigkeit eines Unternehmens, </w:t>
      </w:r>
      <w:r>
        <w:rPr>
          <w:rFonts w:ascii="Tahoma" w:eastAsia="Tahoma" w:hAnsi="Tahoma" w:cs="Tahoma"/>
          <w:b/>
        </w:rPr>
        <w:t>jederzeit</w:t>
      </w:r>
      <w:r>
        <w:t xml:space="preserve"> seinen Zahlungsverpflichtungen nachkommen zu können. Ist dies nicht der Fall, ist der Bestand des Unternehmens gefährdet. </w:t>
      </w:r>
    </w:p>
    <w:p w14:paraId="0E0EC603" w14:textId="77777777" w:rsidR="006B694C" w:rsidRDefault="006B694C">
      <w:pPr>
        <w:spacing w:after="0" w:line="259" w:lineRule="auto"/>
      </w:pPr>
      <w:r>
        <w:t xml:space="preserve"> </w:t>
      </w:r>
    </w:p>
    <w:p w14:paraId="67CF1FF4" w14:textId="77777777" w:rsidR="006B694C" w:rsidRDefault="006B694C">
      <w:pPr>
        <w:ind w:left="-5"/>
      </w:pPr>
      <w:r>
        <w:t xml:space="preserve">Die </w:t>
      </w:r>
      <w:r>
        <w:rPr>
          <w:rFonts w:ascii="Tahoma" w:eastAsia="Tahoma" w:hAnsi="Tahoma" w:cs="Tahoma"/>
          <w:b/>
        </w:rPr>
        <w:t>Kennzahl Liquidität 1. Grades</w:t>
      </w:r>
      <w:r>
        <w:t xml:space="preserve"> (auch </w:t>
      </w:r>
      <w:r>
        <w:rPr>
          <w:rFonts w:ascii="Tahoma" w:eastAsia="Tahoma" w:hAnsi="Tahoma" w:cs="Tahoma"/>
          <w:b/>
        </w:rPr>
        <w:t>Barliquidität</w:t>
      </w:r>
      <w:r>
        <w:t xml:space="preserve"> genannt) gibt eine erste Antwort auf die Frage: Ist der Bestand eines Unternehmens gesichert? Die Formel zur Berechnung der Liquidität 1. Grades lautet: </w:t>
      </w:r>
    </w:p>
    <w:p w14:paraId="1009BCB1" w14:textId="77777777" w:rsidR="006B694C" w:rsidRDefault="006B694C">
      <w:pPr>
        <w:spacing w:after="0" w:line="259" w:lineRule="auto"/>
      </w:pPr>
      <w:r>
        <w:t xml:space="preserve"> </w:t>
      </w:r>
    </w:p>
    <w:p w14:paraId="60989F1A" w14:textId="77777777" w:rsidR="006B694C" w:rsidRDefault="006B694C">
      <w:pPr>
        <w:pStyle w:val="berschrift3"/>
        <w:ind w:left="2671"/>
      </w:pPr>
      <w:r>
        <w:t xml:space="preserve">           liquide Mittel_______</w:t>
      </w:r>
      <w:r>
        <w:rPr>
          <w:u w:color="000000"/>
        </w:rPr>
        <w:t xml:space="preserve">  </w:t>
      </w:r>
    </w:p>
    <w:p w14:paraId="5A1C8940" w14:textId="77777777" w:rsidR="006B694C" w:rsidRDefault="006B694C">
      <w:pPr>
        <w:tabs>
          <w:tab w:val="center" w:pos="1448"/>
          <w:tab w:val="center" w:pos="5754"/>
        </w:tabs>
        <w:spacing w:after="0" w:line="259" w:lineRule="auto"/>
      </w:pPr>
      <w:r>
        <w:rPr>
          <w:rFonts w:ascii="Calibri" w:eastAsia="Calibri" w:hAnsi="Calibri" w:cs="Calibri"/>
          <w:sz w:val="22"/>
        </w:rPr>
        <w:tab/>
      </w:r>
      <w:r>
        <w:rPr>
          <w:sz w:val="20"/>
        </w:rPr>
        <w:t xml:space="preserve">Liquidität 1. Grades </w:t>
      </w:r>
      <w:proofErr w:type="gramStart"/>
      <w:r>
        <w:rPr>
          <w:sz w:val="20"/>
        </w:rPr>
        <w:t xml:space="preserve">=  </w:t>
      </w:r>
      <w:r>
        <w:rPr>
          <w:sz w:val="20"/>
        </w:rPr>
        <w:tab/>
      </w:r>
      <w:proofErr w:type="gramEnd"/>
      <w:r>
        <w:rPr>
          <w:sz w:val="20"/>
        </w:rPr>
        <w:t xml:space="preserve">x 100 </w:t>
      </w:r>
    </w:p>
    <w:p w14:paraId="13CA502B" w14:textId="77777777" w:rsidR="006B694C" w:rsidRDefault="006B694C">
      <w:pPr>
        <w:spacing w:after="0" w:line="259" w:lineRule="auto"/>
        <w:ind w:left="2701"/>
      </w:pPr>
      <w:r>
        <w:rPr>
          <w:sz w:val="20"/>
        </w:rPr>
        <w:t xml:space="preserve">kurzfristige Verbindlichkeiten </w:t>
      </w:r>
    </w:p>
    <w:p w14:paraId="53723505" w14:textId="77777777" w:rsidR="006B694C" w:rsidRDefault="006B694C">
      <w:pPr>
        <w:spacing w:after="0" w:line="259" w:lineRule="auto"/>
      </w:pPr>
      <w:r>
        <w:t xml:space="preserve"> </w:t>
      </w:r>
    </w:p>
    <w:p w14:paraId="5F68F1E2" w14:textId="77777777" w:rsidR="006B694C" w:rsidRDefault="006B694C">
      <w:pPr>
        <w:ind w:left="-5"/>
      </w:pPr>
      <w:r>
        <w:rPr>
          <w:rFonts w:ascii="Tahoma" w:eastAsia="Tahoma" w:hAnsi="Tahoma" w:cs="Tahoma"/>
          <w:b/>
        </w:rPr>
        <w:lastRenderedPageBreak/>
        <w:t>Liquide Mittel</w:t>
      </w:r>
      <w:r>
        <w:t xml:space="preserve"> sind die Barmittel des Unternehmens, also jene Mittel, die sofort flüssig gemacht werden können. Sie finden sich auf der </w:t>
      </w:r>
      <w:proofErr w:type="spellStart"/>
      <w:r>
        <w:t>Aktivaseite</w:t>
      </w:r>
      <w:proofErr w:type="spellEnd"/>
      <w:r>
        <w:t xml:space="preserve"> der Bilanz.   </w:t>
      </w:r>
    </w:p>
    <w:p w14:paraId="5814489C" w14:textId="77777777" w:rsidR="006B694C" w:rsidRDefault="006B694C">
      <w:pPr>
        <w:ind w:left="-5"/>
      </w:pPr>
      <w:r>
        <w:rPr>
          <w:rFonts w:ascii="Tahoma" w:eastAsia="Tahoma" w:hAnsi="Tahoma" w:cs="Tahoma"/>
          <w:b/>
        </w:rPr>
        <w:t>Kurzfristige Verbindlichkeiten</w:t>
      </w:r>
      <w:r>
        <w:t xml:space="preserve"> sind in Kürze zu bezahlende Zahlungsverpflichtungen. Sie werden auf der </w:t>
      </w:r>
      <w:proofErr w:type="spellStart"/>
      <w:r>
        <w:rPr>
          <w:rFonts w:ascii="Tahoma" w:eastAsia="Tahoma" w:hAnsi="Tahoma" w:cs="Tahoma"/>
          <w:b/>
        </w:rPr>
        <w:t>Passivaseite</w:t>
      </w:r>
      <w:proofErr w:type="spellEnd"/>
      <w:r>
        <w:t xml:space="preserve"> der Bilanz ausgewiesen. </w:t>
      </w:r>
    </w:p>
    <w:p w14:paraId="1D327CE3" w14:textId="77777777" w:rsidR="006B694C" w:rsidRDefault="006B694C">
      <w:pPr>
        <w:spacing w:after="0" w:line="259" w:lineRule="auto"/>
      </w:pPr>
      <w:r>
        <w:t xml:space="preserve"> </w:t>
      </w:r>
    </w:p>
    <w:p w14:paraId="34EDDFBD" w14:textId="77777777" w:rsidR="006B694C" w:rsidRDefault="006B694C">
      <w:pPr>
        <w:ind w:left="-5"/>
      </w:pPr>
      <w:r>
        <w:t xml:space="preserve">Die Liquidität 1. Grades sollte stets über 100 % betragen. Diese Regel gilt allerdings nur dann, wenn es sich bei den kurzfristigen Verbindlichkeiten tatsächlich um Zahlungsverpflichtungen handelt, die in kürzester Zeit zu bezahlen sind. Letzteres ist jedoch aus einer externen Analyse der Bilanz nicht ersichtlich. </w:t>
      </w:r>
    </w:p>
    <w:p w14:paraId="24AD363F" w14:textId="77777777" w:rsidR="006B694C" w:rsidRDefault="006B694C">
      <w:pPr>
        <w:spacing w:after="0" w:line="259" w:lineRule="auto"/>
      </w:pPr>
      <w:r>
        <w:t xml:space="preserve"> </w:t>
      </w:r>
    </w:p>
    <w:p w14:paraId="2406C789" w14:textId="77777777" w:rsidR="006B694C" w:rsidRDefault="006B694C">
      <w:pPr>
        <w:ind w:left="-5"/>
      </w:pPr>
      <w:r>
        <w:t xml:space="preserve">Da man annehmen kann, dass nicht alle kurzfristigen Verbindlichkeiten sofort zu bezahlen sind, wird in der Praxis oft eine Größe von 30 % als ausreichend für die Liquidität 1. Grades genannt. Über die tatsächliche Liquiditätslage des Unternehmens kann nur ein genauer Finanzplan Aufschluss geben. </w:t>
      </w:r>
    </w:p>
    <w:p w14:paraId="33219289" w14:textId="77777777" w:rsidR="006B694C" w:rsidRDefault="006B694C">
      <w:pPr>
        <w:spacing w:after="0" w:line="259" w:lineRule="auto"/>
      </w:pPr>
      <w:r>
        <w:t xml:space="preserve"> </w:t>
      </w:r>
    </w:p>
    <w:p w14:paraId="29FF5B5A" w14:textId="77777777" w:rsidR="006B694C" w:rsidRDefault="006B694C">
      <w:pPr>
        <w:spacing w:after="0" w:line="259" w:lineRule="auto"/>
        <w:ind w:left="-5"/>
      </w:pPr>
      <w:r>
        <w:rPr>
          <w:rFonts w:ascii="Tahoma" w:eastAsia="Tahoma" w:hAnsi="Tahoma" w:cs="Tahoma"/>
          <w:b/>
        </w:rPr>
        <w:t xml:space="preserve">Weitere Liquiditätsgrade </w:t>
      </w:r>
    </w:p>
    <w:p w14:paraId="44604D68" w14:textId="77777777" w:rsidR="006B694C" w:rsidRDefault="006B694C">
      <w:pPr>
        <w:spacing w:after="0" w:line="259" w:lineRule="auto"/>
      </w:pPr>
      <w:r>
        <w:t xml:space="preserve"> </w:t>
      </w:r>
    </w:p>
    <w:p w14:paraId="3D867416" w14:textId="77777777" w:rsidR="006B694C" w:rsidRDefault="006B694C">
      <w:pPr>
        <w:ind w:left="-5"/>
      </w:pPr>
      <w:r>
        <w:t xml:space="preserve">Nicht nur Kassen- und Bankguthaben sind </w:t>
      </w:r>
      <w:proofErr w:type="spellStart"/>
      <w:r>
        <w:t>schell</w:t>
      </w:r>
      <w:proofErr w:type="spellEnd"/>
      <w:r>
        <w:t xml:space="preserve"> liquidierbar, sondern auch andere Vermögenswerte können unter Umständen schnell zu einem Geldfluss führen.  </w:t>
      </w:r>
    </w:p>
    <w:p w14:paraId="6A2039A5" w14:textId="77777777" w:rsidR="006B694C" w:rsidRDefault="006B694C">
      <w:pPr>
        <w:spacing w:after="0" w:line="259" w:lineRule="auto"/>
      </w:pPr>
      <w:r>
        <w:t xml:space="preserve"> </w:t>
      </w:r>
    </w:p>
    <w:p w14:paraId="71505DFC" w14:textId="77777777" w:rsidR="006B694C" w:rsidRDefault="006B694C">
      <w:pPr>
        <w:ind w:left="-5"/>
      </w:pPr>
      <w:r>
        <w:t xml:space="preserve">Bei der </w:t>
      </w:r>
      <w:r>
        <w:rPr>
          <w:rFonts w:ascii="Tahoma" w:eastAsia="Tahoma" w:hAnsi="Tahoma" w:cs="Tahoma"/>
          <w:b/>
        </w:rPr>
        <w:t>Liquidität 2. Grades</w:t>
      </w:r>
      <w:r>
        <w:t xml:space="preserve"> (oder "Quick </w:t>
      </w:r>
      <w:proofErr w:type="spellStart"/>
      <w:r>
        <w:t>ratio</w:t>
      </w:r>
      <w:proofErr w:type="spellEnd"/>
      <w:r>
        <w:t xml:space="preserve">") werden den kurzfristigen </w:t>
      </w:r>
    </w:p>
    <w:p w14:paraId="33326DBB" w14:textId="77777777" w:rsidR="006B694C" w:rsidRDefault="006B694C">
      <w:pPr>
        <w:ind w:left="-5"/>
      </w:pPr>
      <w:r>
        <w:t xml:space="preserve">Verbindlichkeiten nicht nur die liquiden Mittel, sondern auch die kurzfristigen Forderungen gegenübergestellt. </w:t>
      </w:r>
    </w:p>
    <w:p w14:paraId="30A8690A" w14:textId="77777777" w:rsidR="006B694C" w:rsidRDefault="006B694C">
      <w:pPr>
        <w:spacing w:after="0" w:line="259" w:lineRule="auto"/>
      </w:pPr>
      <w:r>
        <w:t xml:space="preserve"> </w:t>
      </w:r>
    </w:p>
    <w:p w14:paraId="47D270C3" w14:textId="77777777" w:rsidR="006B694C" w:rsidRDefault="006B694C">
      <w:pPr>
        <w:pStyle w:val="berschrift3"/>
        <w:ind w:right="189"/>
        <w:jc w:val="center"/>
      </w:pPr>
      <w:r>
        <w:t>liquide Mittel + kurzfristige Forderungen</w:t>
      </w:r>
      <w:r>
        <w:rPr>
          <w:u w:color="000000"/>
        </w:rPr>
        <w:t xml:space="preserve"> </w:t>
      </w:r>
    </w:p>
    <w:p w14:paraId="6F3CB14B" w14:textId="77777777" w:rsidR="006B694C" w:rsidRDefault="006B694C">
      <w:pPr>
        <w:tabs>
          <w:tab w:val="center" w:pos="1448"/>
          <w:tab w:val="center" w:pos="6654"/>
        </w:tabs>
        <w:spacing w:after="0" w:line="259" w:lineRule="auto"/>
      </w:pPr>
      <w:r>
        <w:rPr>
          <w:rFonts w:ascii="Calibri" w:eastAsia="Calibri" w:hAnsi="Calibri" w:cs="Calibri"/>
          <w:sz w:val="22"/>
        </w:rPr>
        <w:tab/>
      </w:r>
      <w:r>
        <w:rPr>
          <w:sz w:val="20"/>
        </w:rPr>
        <w:t xml:space="preserve">Liquidität 2. Grades </w:t>
      </w:r>
      <w:proofErr w:type="gramStart"/>
      <w:r>
        <w:rPr>
          <w:sz w:val="20"/>
        </w:rPr>
        <w:t xml:space="preserve">=  </w:t>
      </w:r>
      <w:r>
        <w:rPr>
          <w:sz w:val="20"/>
        </w:rPr>
        <w:tab/>
      </w:r>
      <w:proofErr w:type="gramEnd"/>
      <w:r>
        <w:rPr>
          <w:sz w:val="20"/>
        </w:rPr>
        <w:t xml:space="preserve">x 100 </w:t>
      </w:r>
    </w:p>
    <w:p w14:paraId="066A7CE4" w14:textId="77777777" w:rsidR="006B694C" w:rsidRDefault="006B694C">
      <w:pPr>
        <w:spacing w:after="3" w:line="265" w:lineRule="auto"/>
        <w:ind w:left="71" w:right="252"/>
        <w:jc w:val="center"/>
      </w:pPr>
      <w:r>
        <w:rPr>
          <w:sz w:val="20"/>
        </w:rPr>
        <w:t xml:space="preserve">kurzfristige Verbindlichkeiten </w:t>
      </w:r>
    </w:p>
    <w:p w14:paraId="3E45E702" w14:textId="77777777" w:rsidR="006B694C" w:rsidRDefault="006B694C">
      <w:pPr>
        <w:spacing w:after="0" w:line="259" w:lineRule="auto"/>
      </w:pPr>
      <w:r>
        <w:t xml:space="preserve"> </w:t>
      </w:r>
    </w:p>
    <w:p w14:paraId="1ABC09B3" w14:textId="77777777" w:rsidR="006B694C" w:rsidRDefault="006B694C">
      <w:pPr>
        <w:spacing w:after="0" w:line="259" w:lineRule="auto"/>
      </w:pPr>
      <w:r>
        <w:t xml:space="preserve"> </w:t>
      </w:r>
    </w:p>
    <w:p w14:paraId="3ACCE6ED" w14:textId="77777777" w:rsidR="006B694C" w:rsidRDefault="006B694C">
      <w:pPr>
        <w:spacing w:after="1598"/>
        <w:ind w:left="-5"/>
      </w:pPr>
      <w:r>
        <w:t xml:space="preserve">Die Liquidität 2. Grades sollte deutlich über 100% sein. Ein Wert um 120% kann als gut bezeichnet werden. </w:t>
      </w:r>
    </w:p>
    <w:p w14:paraId="7997A754" w14:textId="77777777" w:rsidR="006B694C" w:rsidRDefault="006B694C">
      <w:pPr>
        <w:ind w:left="-5"/>
      </w:pPr>
      <w:r>
        <w:t xml:space="preserve">Bei der </w:t>
      </w:r>
      <w:r>
        <w:rPr>
          <w:rFonts w:ascii="Tahoma" w:eastAsia="Tahoma" w:hAnsi="Tahoma" w:cs="Tahoma"/>
          <w:b/>
        </w:rPr>
        <w:t>Liquidität 3. Grades</w:t>
      </w:r>
      <w:r>
        <w:t xml:space="preserve"> (oder "</w:t>
      </w:r>
      <w:proofErr w:type="spellStart"/>
      <w:r>
        <w:t>Current</w:t>
      </w:r>
      <w:proofErr w:type="spellEnd"/>
      <w:r>
        <w:t xml:space="preserve"> </w:t>
      </w:r>
      <w:proofErr w:type="spellStart"/>
      <w:r>
        <w:t>ratio</w:t>
      </w:r>
      <w:proofErr w:type="spellEnd"/>
      <w:r>
        <w:t xml:space="preserve">) wird das gesamte Umlaufvermögen - also auch die Warenbestände - den kurzfristigen Verbindlichkeiten gegenübergestellt.  </w:t>
      </w:r>
    </w:p>
    <w:p w14:paraId="49FB4311" w14:textId="77777777" w:rsidR="006B694C" w:rsidRDefault="006B694C">
      <w:pPr>
        <w:spacing w:after="0" w:line="259" w:lineRule="auto"/>
      </w:pPr>
      <w:r>
        <w:lastRenderedPageBreak/>
        <w:t xml:space="preserve"> </w:t>
      </w:r>
    </w:p>
    <w:p w14:paraId="4748BF43" w14:textId="77777777" w:rsidR="006B694C" w:rsidRDefault="006B694C">
      <w:pPr>
        <w:pStyle w:val="berschrift3"/>
        <w:ind w:left="2671"/>
      </w:pPr>
      <w:r>
        <w:t xml:space="preserve">          Umlaufvermögen____</w:t>
      </w:r>
      <w:r>
        <w:rPr>
          <w:u w:color="000000"/>
        </w:rPr>
        <w:t xml:space="preserve"> </w:t>
      </w:r>
    </w:p>
    <w:p w14:paraId="4CDE503F" w14:textId="77777777" w:rsidR="006B694C" w:rsidRDefault="006B694C">
      <w:pPr>
        <w:tabs>
          <w:tab w:val="center" w:pos="1448"/>
          <w:tab w:val="center" w:pos="5754"/>
        </w:tabs>
        <w:spacing w:after="0" w:line="259" w:lineRule="auto"/>
      </w:pPr>
      <w:r>
        <w:rPr>
          <w:rFonts w:ascii="Calibri" w:eastAsia="Calibri" w:hAnsi="Calibri" w:cs="Calibri"/>
          <w:sz w:val="22"/>
        </w:rPr>
        <w:tab/>
      </w:r>
      <w:r>
        <w:rPr>
          <w:sz w:val="20"/>
        </w:rPr>
        <w:t xml:space="preserve">Liquidität 3. Grades </w:t>
      </w:r>
      <w:proofErr w:type="gramStart"/>
      <w:r>
        <w:rPr>
          <w:sz w:val="20"/>
        </w:rPr>
        <w:t xml:space="preserve">=  </w:t>
      </w:r>
      <w:r>
        <w:rPr>
          <w:sz w:val="20"/>
        </w:rPr>
        <w:tab/>
      </w:r>
      <w:proofErr w:type="gramEnd"/>
      <w:r>
        <w:rPr>
          <w:sz w:val="20"/>
        </w:rPr>
        <w:t xml:space="preserve">x 100 </w:t>
      </w:r>
    </w:p>
    <w:p w14:paraId="07B951BD" w14:textId="77777777" w:rsidR="006B694C" w:rsidRDefault="006B694C">
      <w:pPr>
        <w:spacing w:after="0" w:line="259" w:lineRule="auto"/>
        <w:ind w:left="2701"/>
      </w:pPr>
      <w:r>
        <w:rPr>
          <w:sz w:val="20"/>
        </w:rPr>
        <w:t xml:space="preserve">kurzfristige Verbindlichkeiten </w:t>
      </w:r>
    </w:p>
    <w:p w14:paraId="6B8172C2" w14:textId="77777777" w:rsidR="006B694C" w:rsidRDefault="006B694C">
      <w:pPr>
        <w:spacing w:after="0" w:line="259" w:lineRule="auto"/>
      </w:pPr>
      <w:r>
        <w:t xml:space="preserve"> </w:t>
      </w:r>
    </w:p>
    <w:p w14:paraId="601C7808" w14:textId="77777777" w:rsidR="006B694C" w:rsidRDefault="006B694C">
      <w:pPr>
        <w:ind w:left="-5"/>
      </w:pPr>
      <w:r>
        <w:t xml:space="preserve">Hier wird ein Wert um 150% als gut angesehen. </w:t>
      </w:r>
    </w:p>
    <w:p w14:paraId="3F35B8FA" w14:textId="77777777" w:rsidR="006B694C" w:rsidRDefault="006B694C">
      <w:pPr>
        <w:spacing w:after="0" w:line="259" w:lineRule="auto"/>
      </w:pPr>
      <w:r>
        <w:t xml:space="preserve"> </w:t>
      </w:r>
    </w:p>
    <w:p w14:paraId="0B062225" w14:textId="77777777" w:rsidR="006B694C" w:rsidRDefault="006B694C">
      <w:pPr>
        <w:spacing w:after="0" w:line="259" w:lineRule="auto"/>
      </w:pPr>
      <w:r>
        <w:t xml:space="preserve"> </w:t>
      </w:r>
    </w:p>
    <w:p w14:paraId="05589852" w14:textId="77777777" w:rsidR="006B694C" w:rsidRDefault="006B694C">
      <w:pPr>
        <w:ind w:left="-5"/>
      </w:pPr>
      <w:r>
        <w:t xml:space="preserve">Ein </w:t>
      </w:r>
      <w:r>
        <w:rPr>
          <w:rFonts w:ascii="Tahoma" w:eastAsia="Tahoma" w:hAnsi="Tahoma" w:cs="Tahoma"/>
          <w:b/>
        </w:rPr>
        <w:t>Liquiditätsengpass</w:t>
      </w:r>
      <w:r>
        <w:t xml:space="preserve"> kann schnell zum Untergang eines Unternehmens (zum Konkurs) führen; auch dann, wenn dieses hoch rentabel ist und über gute Zukunftsaussichten verfügt. Dies ist für die Betroffenen dann doppelt tragisch. Man sieht die Schatztruhe unmittelbar vor sich, kann sie aber nicht erreichen. Man scheitert nur wenige Meter davor.  </w:t>
      </w:r>
    </w:p>
    <w:p w14:paraId="32D84214" w14:textId="77777777" w:rsidR="006B694C" w:rsidRDefault="006B694C">
      <w:pPr>
        <w:spacing w:after="0" w:line="259" w:lineRule="auto"/>
      </w:pPr>
      <w:r>
        <w:t xml:space="preserve"> </w:t>
      </w:r>
    </w:p>
    <w:p w14:paraId="2D6BCD43" w14:textId="77777777" w:rsidR="006B694C" w:rsidRDefault="006B694C">
      <w:pPr>
        <w:ind w:left="-5"/>
      </w:pPr>
      <w:r>
        <w:t xml:space="preserve">Daher gilt als einer der obersten Grundsätze der Betriebswirtschaft:  </w:t>
      </w:r>
    </w:p>
    <w:p w14:paraId="1BAE4E92" w14:textId="77777777" w:rsidR="006B694C" w:rsidRDefault="006B694C">
      <w:pPr>
        <w:spacing w:after="0" w:line="259" w:lineRule="auto"/>
        <w:ind w:left="-5"/>
      </w:pPr>
      <w:r>
        <w:rPr>
          <w:rFonts w:ascii="Tahoma" w:eastAsia="Tahoma" w:hAnsi="Tahoma" w:cs="Tahoma"/>
          <w:b/>
        </w:rPr>
        <w:t xml:space="preserve">Liquidität geht vor Rentabilität </w:t>
      </w:r>
    </w:p>
    <w:p w14:paraId="0908F89B" w14:textId="77777777" w:rsidR="006B694C" w:rsidRDefault="006B694C">
      <w:pPr>
        <w:spacing w:after="0" w:line="259" w:lineRule="auto"/>
      </w:pPr>
      <w:r>
        <w:t xml:space="preserve"> </w:t>
      </w:r>
    </w:p>
    <w:p w14:paraId="3B8FF212" w14:textId="0DEE15F4" w:rsidR="006B694C" w:rsidRDefault="006B694C" w:rsidP="006B694C">
      <w:pPr>
        <w:spacing w:after="56" w:line="259" w:lineRule="auto"/>
      </w:pPr>
    </w:p>
    <w:p w14:paraId="1C467BDA" w14:textId="77777777" w:rsidR="006B694C" w:rsidRDefault="006B694C">
      <w:pPr>
        <w:pStyle w:val="berschrift2"/>
      </w:pPr>
      <w:r>
        <w:t xml:space="preserve">EIGENKAPITALQUOTE </w:t>
      </w:r>
    </w:p>
    <w:p w14:paraId="570A0F78" w14:textId="77777777" w:rsidR="006B694C" w:rsidRDefault="006B694C">
      <w:pPr>
        <w:spacing w:after="56" w:line="259" w:lineRule="auto"/>
        <w:ind w:left="-30" w:right="-182"/>
      </w:pPr>
      <w:r>
        <w:rPr>
          <w:rFonts w:ascii="Calibri" w:eastAsia="Calibri" w:hAnsi="Calibri" w:cs="Calibri"/>
          <w:noProof/>
        </w:rPr>
        <mc:AlternateContent>
          <mc:Choice Requires="wpg">
            <w:drawing>
              <wp:inline distT="0" distB="0" distL="0" distR="0" wp14:anchorId="471F0428" wp14:editId="0BEF5225">
                <wp:extent cx="5799583" cy="19050"/>
                <wp:effectExtent l="0" t="0" r="0" b="0"/>
                <wp:docPr id="1254" name="Group 1254"/>
                <wp:cNvGraphicFramePr/>
                <a:graphic xmlns:a="http://schemas.openxmlformats.org/drawingml/2006/main">
                  <a:graphicData uri="http://schemas.microsoft.com/office/word/2010/wordprocessingGroup">
                    <wpg:wgp>
                      <wpg:cNvGrpSpPr/>
                      <wpg:grpSpPr>
                        <a:xfrm>
                          <a:off x="0" y="0"/>
                          <a:ext cx="5799583" cy="19050"/>
                          <a:chOff x="0" y="0"/>
                          <a:chExt cx="5799583" cy="19050"/>
                        </a:xfrm>
                      </wpg:grpSpPr>
                      <wps:wsp>
                        <wps:cNvPr id="1626" name="Shape 1626"/>
                        <wps:cNvSpPr/>
                        <wps:spPr>
                          <a:xfrm>
                            <a:off x="0" y="0"/>
                            <a:ext cx="5799583" cy="19050"/>
                          </a:xfrm>
                          <a:custGeom>
                            <a:avLst/>
                            <a:gdLst/>
                            <a:ahLst/>
                            <a:cxnLst/>
                            <a:rect l="0" t="0" r="0" b="0"/>
                            <a:pathLst>
                              <a:path w="5799583" h="19050">
                                <a:moveTo>
                                  <a:pt x="0" y="0"/>
                                </a:moveTo>
                                <a:lnTo>
                                  <a:pt x="5799583" y="0"/>
                                </a:lnTo>
                                <a:lnTo>
                                  <a:pt x="5799583" y="19050"/>
                                </a:lnTo>
                                <a:lnTo>
                                  <a:pt x="0" y="19050"/>
                                </a:lnTo>
                                <a:lnTo>
                                  <a:pt x="0" y="0"/>
                                </a:lnTo>
                              </a:path>
                            </a:pathLst>
                          </a:custGeom>
                          <a:ln w="0" cap="flat">
                            <a:miter lim="127000"/>
                          </a:ln>
                        </wps:spPr>
                        <wps:style>
                          <a:lnRef idx="0">
                            <a:srgbClr val="000000">
                              <a:alpha val="0"/>
                            </a:srgbClr>
                          </a:lnRef>
                          <a:fillRef idx="1">
                            <a:srgbClr val="CC0000"/>
                          </a:fillRef>
                          <a:effectRef idx="0">
                            <a:scrgbClr r="0" g="0" b="0"/>
                          </a:effectRef>
                          <a:fontRef idx="none"/>
                        </wps:style>
                        <wps:bodyPr/>
                      </wps:wsp>
                    </wpg:wgp>
                  </a:graphicData>
                </a:graphic>
              </wp:inline>
            </w:drawing>
          </mc:Choice>
          <mc:Fallback>
            <w:pict>
              <v:group w14:anchorId="57230C8B" id="Group 1254" o:spid="_x0000_s1026" style="width:456.65pt;height:1.5pt;mso-position-horizontal-relative:char;mso-position-vertical-relative:line" coordsize="5799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">
                <v:shape id="Shape 1626" o:spid="_x0000_s1027" style="position:absolute;width:57995;height:190;visibility:visible;mso-wrap-style:square;v-text-anchor:top" coordsize="579958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" path="m,l5799583,r,19050l,19050,,e" fillcolor="#c00" stroked="f" strokeweight="0">
                  <v:stroke miterlimit="83231f" joinstyle="miter"/>
                  <v:path arrowok="t" textboxrect="0,0,5799583,19050"/>
                </v:shape>
                <w10:anchorlock/>
              </v:group>
            </w:pict>
          </mc:Fallback>
        </mc:AlternateContent>
      </w:r>
    </w:p>
    <w:p w14:paraId="38004E0E" w14:textId="77777777" w:rsidR="006B694C" w:rsidRDefault="006B694C">
      <w:pPr>
        <w:spacing w:after="0" w:line="259" w:lineRule="auto"/>
      </w:pPr>
      <w:r>
        <w:t xml:space="preserve"> </w:t>
      </w:r>
    </w:p>
    <w:p w14:paraId="7EBF324B" w14:textId="77777777" w:rsidR="006B694C" w:rsidRDefault="006B694C">
      <w:pPr>
        <w:spacing w:after="0" w:line="259" w:lineRule="auto"/>
      </w:pPr>
      <w:r>
        <w:t xml:space="preserve"> </w:t>
      </w:r>
    </w:p>
    <w:p w14:paraId="07F964D4" w14:textId="77777777" w:rsidR="006B694C" w:rsidRDefault="006B694C">
      <w:pPr>
        <w:ind w:left="-5"/>
      </w:pPr>
      <w:r>
        <w:t xml:space="preserve">Benötigt ein Unternehmen einen Kredit von einer Bank, dann wird diese Einsicht in die </w:t>
      </w:r>
    </w:p>
    <w:p w14:paraId="059DDCFB" w14:textId="77777777" w:rsidR="006B694C" w:rsidRDefault="006B694C">
      <w:pPr>
        <w:ind w:left="-5"/>
      </w:pPr>
      <w:r>
        <w:t xml:space="preserve">Bücher des Unternehmens (Bilanz, GuV-Rechnung) nehmen wollen. Dabei ist die Kennzahl </w:t>
      </w:r>
      <w:r>
        <w:rPr>
          <w:rFonts w:ascii="Tahoma" w:eastAsia="Tahoma" w:hAnsi="Tahoma" w:cs="Tahoma"/>
        </w:rPr>
        <w:t>„</w:t>
      </w:r>
      <w:r>
        <w:rPr>
          <w:rFonts w:ascii="Tahoma" w:eastAsia="Tahoma" w:hAnsi="Tahoma" w:cs="Tahoma"/>
          <w:b/>
        </w:rPr>
        <w:t>Eigenkapitalquote</w:t>
      </w:r>
      <w:r>
        <w:rPr>
          <w:rFonts w:ascii="Tahoma" w:eastAsia="Tahoma" w:hAnsi="Tahoma" w:cs="Tahoma"/>
        </w:rPr>
        <w:t>” (auch Eigenkapitalanteil o</w:t>
      </w:r>
      <w:r>
        <w:t xml:space="preserve">der Eigenkapitalausstattung genannt) ein wichtiges Kriterium zur Beurteilung der </w:t>
      </w:r>
      <w:r>
        <w:rPr>
          <w:rFonts w:ascii="Tahoma" w:eastAsia="Tahoma" w:hAnsi="Tahoma" w:cs="Tahoma"/>
          <w:b/>
        </w:rPr>
        <w:t>Kreditwürdigkeit</w:t>
      </w:r>
      <w:r>
        <w:t xml:space="preserve"> eines Unternehmens. </w:t>
      </w:r>
    </w:p>
    <w:p w14:paraId="143332FF" w14:textId="77777777" w:rsidR="006B694C" w:rsidRDefault="006B694C">
      <w:pPr>
        <w:spacing w:after="0" w:line="259" w:lineRule="auto"/>
      </w:pPr>
      <w:r>
        <w:t xml:space="preserve"> </w:t>
      </w:r>
    </w:p>
    <w:p w14:paraId="0B3821C1" w14:textId="77777777" w:rsidR="006B694C" w:rsidRDefault="006B694C">
      <w:pPr>
        <w:ind w:left="-5"/>
      </w:pPr>
      <w:r>
        <w:t xml:space="preserve">Die </w:t>
      </w:r>
      <w:r>
        <w:rPr>
          <w:rFonts w:ascii="Tahoma" w:eastAsia="Tahoma" w:hAnsi="Tahoma" w:cs="Tahoma"/>
          <w:b/>
        </w:rPr>
        <w:t>Eigenkapitalquote</w:t>
      </w:r>
      <w:r>
        <w:t xml:space="preserve"> drückt aus, wie hoch der Anteil des Kapitals ist, der dem Unternehmen von den Eigentümern selbst zur Verfügung gestellt wird, bzw. anders ausgedrückt: wie viel Prozent des Gesamtkapitals dem Unternehmen bzw. den Unternehmern gehören und nicht durch Fremdkapital abgedeckt werden. Die Formel zur Berechnung der Eigenkapitalquote lautet: </w:t>
      </w:r>
    </w:p>
    <w:p w14:paraId="037396AC" w14:textId="77777777" w:rsidR="006B694C" w:rsidRDefault="006B694C">
      <w:pPr>
        <w:spacing w:after="25" w:line="259" w:lineRule="auto"/>
      </w:pPr>
      <w:r>
        <w:t xml:space="preserve"> </w:t>
      </w:r>
    </w:p>
    <w:p w14:paraId="046808BF" w14:textId="77777777" w:rsidR="006B694C" w:rsidRDefault="006B694C">
      <w:pPr>
        <w:pStyle w:val="berschrift3"/>
        <w:ind w:left="2586"/>
      </w:pPr>
      <w:r>
        <w:t xml:space="preserve">  Eigenkapital_</w:t>
      </w:r>
      <w:r>
        <w:rPr>
          <w:u w:color="000000"/>
        </w:rPr>
        <w:t xml:space="preserve"> </w:t>
      </w:r>
    </w:p>
    <w:p w14:paraId="26244D12" w14:textId="77777777" w:rsidR="006B694C" w:rsidRDefault="006B694C">
      <w:pPr>
        <w:tabs>
          <w:tab w:val="center" w:pos="1345"/>
          <w:tab w:val="center" w:pos="4493"/>
        </w:tabs>
        <w:spacing w:after="0" w:line="265" w:lineRule="auto"/>
      </w:pPr>
      <w:r>
        <w:rPr>
          <w:rFonts w:ascii="Calibri" w:eastAsia="Calibri" w:hAnsi="Calibri" w:cs="Calibri"/>
          <w:sz w:val="22"/>
        </w:rPr>
        <w:tab/>
      </w:r>
      <w:r>
        <w:rPr>
          <w:sz w:val="20"/>
        </w:rPr>
        <w:t xml:space="preserve">Eigenkapitalquote </w:t>
      </w:r>
      <w:proofErr w:type="gramStart"/>
      <w:r>
        <w:rPr>
          <w:sz w:val="20"/>
        </w:rPr>
        <w:t xml:space="preserve">=  </w:t>
      </w:r>
      <w:r>
        <w:rPr>
          <w:sz w:val="20"/>
        </w:rPr>
        <w:tab/>
      </w:r>
      <w:proofErr w:type="gramEnd"/>
      <w:r>
        <w:rPr>
          <w:sz w:val="20"/>
        </w:rPr>
        <w:t xml:space="preserve">x 100 </w:t>
      </w:r>
    </w:p>
    <w:p w14:paraId="59AD8288" w14:textId="77777777" w:rsidR="006B694C" w:rsidRDefault="006B694C">
      <w:pPr>
        <w:spacing w:after="0" w:line="265" w:lineRule="auto"/>
        <w:ind w:left="2628"/>
      </w:pPr>
      <w:r>
        <w:rPr>
          <w:sz w:val="20"/>
        </w:rPr>
        <w:t xml:space="preserve">Gesamtkapital </w:t>
      </w:r>
    </w:p>
    <w:p w14:paraId="707570D2" w14:textId="77777777" w:rsidR="006B694C" w:rsidRDefault="006B694C">
      <w:pPr>
        <w:spacing w:after="0" w:line="259" w:lineRule="auto"/>
      </w:pPr>
      <w:r>
        <w:t xml:space="preserve"> </w:t>
      </w:r>
    </w:p>
    <w:p w14:paraId="64762B30" w14:textId="77777777" w:rsidR="006B694C" w:rsidRDefault="006B694C">
      <w:pPr>
        <w:ind w:left="-5"/>
      </w:pPr>
      <w:r>
        <w:lastRenderedPageBreak/>
        <w:t xml:space="preserve">Je höher die Eigenkapitalquote ist, umso besser ist die Kreditwürdigkeit (Bonität) des Unternehmens. </w:t>
      </w:r>
    </w:p>
    <w:p w14:paraId="2463B6DE" w14:textId="77777777" w:rsidR="006B694C" w:rsidRDefault="006B694C">
      <w:pPr>
        <w:spacing w:after="0" w:line="259" w:lineRule="auto"/>
      </w:pPr>
      <w:r>
        <w:t xml:space="preserve"> </w:t>
      </w:r>
    </w:p>
    <w:p w14:paraId="206B21BE" w14:textId="77777777" w:rsidR="006B694C" w:rsidRDefault="006B694C">
      <w:pPr>
        <w:spacing w:after="0" w:line="259" w:lineRule="auto"/>
        <w:ind w:left="-5"/>
      </w:pPr>
      <w:r>
        <w:t xml:space="preserve">Exkurs: </w:t>
      </w:r>
      <w:r>
        <w:rPr>
          <w:rFonts w:ascii="Tahoma" w:eastAsia="Tahoma" w:hAnsi="Tahoma" w:cs="Tahoma"/>
          <w:b/>
        </w:rPr>
        <w:t>Verschuldungsgrad</w:t>
      </w:r>
      <w:r>
        <w:t xml:space="preserve">   </w:t>
      </w:r>
    </w:p>
    <w:p w14:paraId="48FA2740" w14:textId="77777777" w:rsidR="006B694C" w:rsidRDefault="006B694C">
      <w:pPr>
        <w:spacing w:after="0" w:line="259" w:lineRule="auto"/>
      </w:pPr>
      <w:r>
        <w:t xml:space="preserve"> </w:t>
      </w:r>
    </w:p>
    <w:p w14:paraId="3FC0A90D" w14:textId="77777777" w:rsidR="006B694C" w:rsidRDefault="006B694C">
      <w:pPr>
        <w:ind w:left="-5"/>
      </w:pPr>
      <w:r>
        <w:t>Stellt man statt des Eigenkapitals das Fremdkapital ins Verhältnis zum Gesamtkapital, so erhält man d</w:t>
      </w:r>
      <w:r>
        <w:rPr>
          <w:rFonts w:ascii="Tahoma" w:eastAsia="Tahoma" w:hAnsi="Tahoma" w:cs="Tahoma"/>
        </w:rPr>
        <w:t>ie Kennzahl ”Verschuldungsgrad” des Unternehmens.</w:t>
      </w:r>
      <w:r>
        <w:t xml:space="preserve"> </w:t>
      </w:r>
    </w:p>
    <w:p w14:paraId="5D2239A7" w14:textId="77777777" w:rsidR="006B694C" w:rsidRDefault="006B694C">
      <w:pPr>
        <w:spacing w:after="25" w:line="259" w:lineRule="auto"/>
      </w:pPr>
      <w:r>
        <w:t xml:space="preserve"> </w:t>
      </w:r>
    </w:p>
    <w:p w14:paraId="050AA505" w14:textId="77777777" w:rsidR="006B694C" w:rsidRDefault="006B694C">
      <w:pPr>
        <w:pStyle w:val="berschrift3"/>
        <w:ind w:left="2586"/>
      </w:pPr>
      <w:r>
        <w:t xml:space="preserve"> Fremdkapital_</w:t>
      </w:r>
      <w:r>
        <w:rPr>
          <w:u w:color="000000"/>
        </w:rPr>
        <w:t xml:space="preserve"> </w:t>
      </w:r>
    </w:p>
    <w:p w14:paraId="04697322" w14:textId="77777777" w:rsidR="006B694C" w:rsidRDefault="006B694C">
      <w:pPr>
        <w:tabs>
          <w:tab w:val="center" w:pos="1288"/>
          <w:tab w:val="center" w:pos="4493"/>
        </w:tabs>
        <w:spacing w:after="0" w:line="265" w:lineRule="auto"/>
      </w:pPr>
      <w:r>
        <w:rPr>
          <w:rFonts w:ascii="Calibri" w:eastAsia="Calibri" w:hAnsi="Calibri" w:cs="Calibri"/>
          <w:sz w:val="22"/>
        </w:rPr>
        <w:tab/>
      </w:r>
      <w:r>
        <w:rPr>
          <w:sz w:val="20"/>
        </w:rPr>
        <w:t xml:space="preserve">Verschuldungsgrad </w:t>
      </w:r>
      <w:proofErr w:type="gramStart"/>
      <w:r>
        <w:rPr>
          <w:sz w:val="20"/>
        </w:rPr>
        <w:t xml:space="preserve">=  </w:t>
      </w:r>
      <w:r>
        <w:rPr>
          <w:sz w:val="20"/>
        </w:rPr>
        <w:tab/>
      </w:r>
      <w:proofErr w:type="gramEnd"/>
      <w:r>
        <w:rPr>
          <w:sz w:val="20"/>
        </w:rPr>
        <w:t xml:space="preserve">x 100 </w:t>
      </w:r>
    </w:p>
    <w:p w14:paraId="5C72894F" w14:textId="77777777" w:rsidR="006B694C" w:rsidRDefault="006B694C">
      <w:pPr>
        <w:spacing w:after="0" w:line="265" w:lineRule="auto"/>
        <w:ind w:left="2628"/>
      </w:pPr>
      <w:r>
        <w:rPr>
          <w:sz w:val="20"/>
        </w:rPr>
        <w:t xml:space="preserve">Gesamtkapital </w:t>
      </w:r>
    </w:p>
    <w:p w14:paraId="310A911D" w14:textId="77777777" w:rsidR="006B694C" w:rsidRDefault="006B694C">
      <w:pPr>
        <w:spacing w:after="0" w:line="259" w:lineRule="auto"/>
      </w:pPr>
      <w:r>
        <w:t xml:space="preserve"> </w:t>
      </w:r>
    </w:p>
    <w:p w14:paraId="7D6DD136" w14:textId="77777777" w:rsidR="006B694C" w:rsidRDefault="006B694C">
      <w:pPr>
        <w:ind w:left="-5"/>
      </w:pPr>
      <w:r>
        <w:t xml:space="preserve">Hier gilt: Je niedriger der Verschuldungsgrad ist, umso besser ist die Kreditwürdigkeit (Bonität) des Unternehmens.   </w:t>
      </w:r>
    </w:p>
    <w:p w14:paraId="78FFEFFC" w14:textId="77777777" w:rsidR="006B694C" w:rsidRDefault="006B694C">
      <w:pPr>
        <w:spacing w:after="0" w:line="259" w:lineRule="auto"/>
      </w:pPr>
      <w:r>
        <w:t xml:space="preserve"> </w:t>
      </w:r>
    </w:p>
    <w:p w14:paraId="0DA6A1FE" w14:textId="77777777" w:rsidR="006B694C" w:rsidRDefault="006B694C">
      <w:pPr>
        <w:ind w:left="-5"/>
      </w:pPr>
      <w:r>
        <w:t xml:space="preserve">In der Literatur wird der Verschuldungsgrad auch manchmal folgendermaßen berechnet: </w:t>
      </w:r>
    </w:p>
    <w:p w14:paraId="4CA14219" w14:textId="77777777" w:rsidR="006B694C" w:rsidRDefault="006B694C">
      <w:pPr>
        <w:spacing w:after="25" w:line="259" w:lineRule="auto"/>
      </w:pPr>
      <w:r>
        <w:t xml:space="preserve"> </w:t>
      </w:r>
    </w:p>
    <w:p w14:paraId="61719518" w14:textId="77777777" w:rsidR="006B694C" w:rsidRDefault="006B694C">
      <w:pPr>
        <w:pStyle w:val="berschrift3"/>
        <w:ind w:left="2500"/>
      </w:pPr>
      <w:r>
        <w:t>Fremdkapital</w:t>
      </w:r>
      <w:r>
        <w:rPr>
          <w:u w:color="000000"/>
        </w:rPr>
        <w:t xml:space="preserve"> </w:t>
      </w:r>
    </w:p>
    <w:p w14:paraId="5D7195A7" w14:textId="77777777" w:rsidR="006B694C" w:rsidRDefault="006B694C">
      <w:pPr>
        <w:tabs>
          <w:tab w:val="center" w:pos="1288"/>
          <w:tab w:val="center" w:pos="4133"/>
        </w:tabs>
        <w:spacing w:after="0" w:line="265" w:lineRule="auto"/>
      </w:pPr>
      <w:r>
        <w:rPr>
          <w:rFonts w:ascii="Calibri" w:eastAsia="Calibri" w:hAnsi="Calibri" w:cs="Calibri"/>
          <w:sz w:val="22"/>
        </w:rPr>
        <w:tab/>
      </w:r>
      <w:r>
        <w:rPr>
          <w:sz w:val="20"/>
        </w:rPr>
        <w:t xml:space="preserve">Verschuldungsgrad </w:t>
      </w:r>
      <w:proofErr w:type="gramStart"/>
      <w:r>
        <w:rPr>
          <w:sz w:val="20"/>
        </w:rPr>
        <w:t xml:space="preserve">=  </w:t>
      </w:r>
      <w:r>
        <w:rPr>
          <w:sz w:val="20"/>
        </w:rPr>
        <w:tab/>
      </w:r>
      <w:proofErr w:type="gramEnd"/>
      <w:r>
        <w:rPr>
          <w:sz w:val="20"/>
        </w:rPr>
        <w:t xml:space="preserve">x 100 </w:t>
      </w:r>
    </w:p>
    <w:p w14:paraId="698722FF" w14:textId="77777777" w:rsidR="006B694C" w:rsidRDefault="006B694C">
      <w:pPr>
        <w:spacing w:after="0" w:line="265" w:lineRule="auto"/>
        <w:ind w:left="2539"/>
      </w:pPr>
      <w:r>
        <w:rPr>
          <w:sz w:val="20"/>
        </w:rPr>
        <w:t xml:space="preserve">Eigenkapital </w:t>
      </w:r>
    </w:p>
    <w:p w14:paraId="00569018" w14:textId="77777777" w:rsidR="006B694C" w:rsidRDefault="006B694C">
      <w:pPr>
        <w:spacing w:after="0" w:line="259" w:lineRule="auto"/>
      </w:pPr>
      <w:r>
        <w:t xml:space="preserve"> </w:t>
      </w:r>
    </w:p>
    <w:p w14:paraId="13E29B13" w14:textId="77777777" w:rsidR="006B694C" w:rsidRDefault="006B694C">
      <w:pPr>
        <w:ind w:left="-5"/>
      </w:pPr>
      <w:r>
        <w:t xml:space="preserve">Auch hier gilt: Je niedriger der Wert, umso besser ist die Kreditwürdigkeit des Unternehmens. </w:t>
      </w:r>
    </w:p>
    <w:p w14:paraId="7763DDC6" w14:textId="77777777" w:rsidR="006B694C" w:rsidRDefault="006B694C">
      <w:pPr>
        <w:spacing w:after="0" w:line="259" w:lineRule="auto"/>
      </w:pPr>
      <w:r>
        <w:t xml:space="preserve"> </w:t>
      </w:r>
    </w:p>
    <w:p w14:paraId="4D3FF424" w14:textId="77777777" w:rsidR="006B694C" w:rsidRDefault="006B694C">
      <w:pPr>
        <w:spacing w:after="0" w:line="259" w:lineRule="auto"/>
        <w:ind w:left="-5"/>
      </w:pPr>
      <w:r>
        <w:rPr>
          <w:rFonts w:ascii="Tahoma" w:eastAsia="Tahoma" w:hAnsi="Tahoma" w:cs="Tahoma"/>
          <w:b/>
        </w:rPr>
        <w:t>Weitere Faktoren zur Beurteilung der Kreditwürdigkeit eines Unternehmens</w:t>
      </w:r>
      <w:r>
        <w:t xml:space="preserve"> </w:t>
      </w:r>
    </w:p>
    <w:p w14:paraId="2985D4D5" w14:textId="77777777" w:rsidR="006B694C" w:rsidRDefault="006B694C" w:rsidP="006B694C">
      <w:pPr>
        <w:numPr>
          <w:ilvl w:val="0"/>
          <w:numId w:val="3"/>
        </w:numPr>
        <w:spacing w:after="0" w:line="240" w:lineRule="auto"/>
        <w:ind w:hanging="360"/>
      </w:pPr>
      <w:r>
        <w:t>die Ertragskraft: Dazu wird insbesondere die Ertragsentwicklung der letzten Jahre (</w:t>
      </w:r>
      <w:proofErr w:type="spellStart"/>
      <w:r>
        <w:t>GuVRechnung</w:t>
      </w:r>
      <w:proofErr w:type="spellEnd"/>
      <w:r>
        <w:t xml:space="preserve">), die Wettbewerbsfähigkeit, die Branche und der Ruf des Unternehmens geprüft  </w:t>
      </w:r>
    </w:p>
    <w:p w14:paraId="0E42BB5C" w14:textId="77777777" w:rsidR="006B694C" w:rsidRDefault="006B694C" w:rsidP="006B694C">
      <w:pPr>
        <w:numPr>
          <w:ilvl w:val="0"/>
          <w:numId w:val="3"/>
        </w:numPr>
        <w:spacing w:after="5" w:line="249" w:lineRule="auto"/>
        <w:ind w:hanging="360"/>
      </w:pPr>
      <w:r>
        <w:t xml:space="preserve">die persönliche fachliche und kaufmännische Qualifikation des Unternehmers bzw. der Geschäftsleitung  </w:t>
      </w:r>
    </w:p>
    <w:p w14:paraId="311A72F1" w14:textId="77777777" w:rsidR="006B694C" w:rsidRDefault="006B694C" w:rsidP="006B694C">
      <w:pPr>
        <w:numPr>
          <w:ilvl w:val="0"/>
          <w:numId w:val="3"/>
        </w:numPr>
        <w:spacing w:after="5" w:line="249" w:lineRule="auto"/>
        <w:ind w:hanging="360"/>
      </w:pPr>
      <w:r>
        <w:t xml:space="preserve">mögliche Sicherheiten, die bei der Vergabe eines Kredites verlangt werden, z.B. Pfandrechte auf Grundstücke, Gebäude etc.  </w:t>
      </w:r>
    </w:p>
    <w:p w14:paraId="5EB85C11" w14:textId="77777777" w:rsidR="006B694C" w:rsidRDefault="006B694C" w:rsidP="006B694C">
      <w:pPr>
        <w:numPr>
          <w:ilvl w:val="0"/>
          <w:numId w:val="3"/>
        </w:numPr>
        <w:spacing w:after="351" w:line="249" w:lineRule="auto"/>
        <w:ind w:hanging="360"/>
      </w:pPr>
      <w:r>
        <w:t xml:space="preserve">die Vermögensverhältnisse des Unternehmers bzw. der Eigentümer </w:t>
      </w:r>
    </w:p>
    <w:p w14:paraId="0B29E5F6" w14:textId="5C947A27" w:rsidR="006B694C" w:rsidRDefault="006B694C" w:rsidP="006B694C">
      <w:pPr>
        <w:spacing w:after="9697" w:line="259" w:lineRule="auto"/>
      </w:pPr>
    </w:p>
    <w:p w14:paraId="25F78CD8" w14:textId="77777777" w:rsidR="006B694C" w:rsidRDefault="006B694C">
      <w:pPr>
        <w:spacing w:after="480" w:line="265" w:lineRule="auto"/>
        <w:ind w:left="102"/>
        <w:jc w:val="center"/>
      </w:pPr>
      <w:proofErr w:type="spellStart"/>
      <w:r>
        <w:rPr>
          <w:sz w:val="20"/>
        </w:rPr>
        <w:lastRenderedPageBreak/>
        <w:t>EasyBusiness</w:t>
      </w:r>
      <w:proofErr w:type="spellEnd"/>
      <w:r>
        <w:rPr>
          <w:sz w:val="20"/>
        </w:rPr>
        <w:t xml:space="preserve"> </w:t>
      </w:r>
      <w:r>
        <w:rPr>
          <w:rFonts w:ascii="Tahoma" w:eastAsia="Tahoma" w:hAnsi="Tahoma" w:cs="Tahoma"/>
          <w:sz w:val="20"/>
        </w:rPr>
        <w:t>–</w:t>
      </w:r>
      <w:r>
        <w:rPr>
          <w:sz w:val="20"/>
        </w:rPr>
        <w:t xml:space="preserve"> Der leichte Weg zur Betriebswirtschaft </w:t>
      </w:r>
    </w:p>
    <w:p w14:paraId="2C6510CD" w14:textId="3448CFD1" w:rsidR="006B694C" w:rsidRDefault="006B694C" w:rsidP="006B694C">
      <w:pPr>
        <w:spacing w:after="56" w:line="259" w:lineRule="auto"/>
      </w:pPr>
      <w:r>
        <w:t xml:space="preserve"> </w:t>
      </w:r>
    </w:p>
    <w:p w14:paraId="3C424743" w14:textId="77777777" w:rsidR="006B694C" w:rsidRDefault="006B694C">
      <w:pPr>
        <w:pStyle w:val="berschrift2"/>
      </w:pPr>
      <w:r>
        <w:t xml:space="preserve">PRODUKTIVITÄT </w:t>
      </w:r>
    </w:p>
    <w:p w14:paraId="55B4B76C" w14:textId="77777777" w:rsidR="006B694C" w:rsidRDefault="006B694C">
      <w:pPr>
        <w:spacing w:after="56" w:line="259" w:lineRule="auto"/>
        <w:ind w:left="-30" w:right="-123"/>
      </w:pPr>
      <w:r>
        <w:rPr>
          <w:rFonts w:ascii="Calibri" w:eastAsia="Calibri" w:hAnsi="Calibri" w:cs="Calibri"/>
          <w:noProof/>
        </w:rPr>
        <mc:AlternateContent>
          <mc:Choice Requires="wpg">
            <w:drawing>
              <wp:inline distT="0" distB="0" distL="0" distR="0" wp14:anchorId="18DECFEE" wp14:editId="36DBA7F1">
                <wp:extent cx="5799583" cy="19050"/>
                <wp:effectExtent l="0" t="0" r="0" b="0"/>
                <wp:docPr id="1772" name="Group 1772"/>
                <wp:cNvGraphicFramePr/>
                <a:graphic xmlns:a="http://schemas.openxmlformats.org/drawingml/2006/main">
                  <a:graphicData uri="http://schemas.microsoft.com/office/word/2010/wordprocessingGroup">
                    <wpg:wgp>
                      <wpg:cNvGrpSpPr/>
                      <wpg:grpSpPr>
                        <a:xfrm>
                          <a:off x="0" y="0"/>
                          <a:ext cx="5799583" cy="19050"/>
                          <a:chOff x="0" y="0"/>
                          <a:chExt cx="5799583" cy="19050"/>
                        </a:xfrm>
                      </wpg:grpSpPr>
                      <wps:wsp>
                        <wps:cNvPr id="2192" name="Shape 2192"/>
                        <wps:cNvSpPr/>
                        <wps:spPr>
                          <a:xfrm>
                            <a:off x="0" y="0"/>
                            <a:ext cx="5799583" cy="19050"/>
                          </a:xfrm>
                          <a:custGeom>
                            <a:avLst/>
                            <a:gdLst/>
                            <a:ahLst/>
                            <a:cxnLst/>
                            <a:rect l="0" t="0" r="0" b="0"/>
                            <a:pathLst>
                              <a:path w="5799583" h="19050">
                                <a:moveTo>
                                  <a:pt x="0" y="0"/>
                                </a:moveTo>
                                <a:lnTo>
                                  <a:pt x="5799583" y="0"/>
                                </a:lnTo>
                                <a:lnTo>
                                  <a:pt x="5799583" y="19050"/>
                                </a:lnTo>
                                <a:lnTo>
                                  <a:pt x="0" y="19050"/>
                                </a:lnTo>
                                <a:lnTo>
                                  <a:pt x="0" y="0"/>
                                </a:lnTo>
                              </a:path>
                            </a:pathLst>
                          </a:custGeom>
                          <a:ln w="0" cap="flat">
                            <a:miter lim="127000"/>
                          </a:ln>
                        </wps:spPr>
                        <wps:style>
                          <a:lnRef idx="0">
                            <a:srgbClr val="000000">
                              <a:alpha val="0"/>
                            </a:srgbClr>
                          </a:lnRef>
                          <a:fillRef idx="1">
                            <a:srgbClr val="CC0000"/>
                          </a:fillRef>
                          <a:effectRef idx="0">
                            <a:scrgbClr r="0" g="0" b="0"/>
                          </a:effectRef>
                          <a:fontRef idx="none"/>
                        </wps:style>
                        <wps:bodyPr/>
                      </wps:wsp>
                    </wpg:wgp>
                  </a:graphicData>
                </a:graphic>
              </wp:inline>
            </w:drawing>
          </mc:Choice>
          <mc:Fallback>
            <w:pict>
              <v:group w14:anchorId="2E3F56E8" id="Group 1772" o:spid="_x0000_s1026" style="width:456.65pt;height:1.5pt;mso-position-horizontal-relative:char;mso-position-vertical-relative:line" coordsize="5799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">
                <v:shape id="Shape 2192" o:spid="_x0000_s1027" style="position:absolute;width:57995;height:190;visibility:visible;mso-wrap-style:square;v-text-anchor:top" coordsize="5799583,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" path="m,l5799583,r,19050l,19050,,e" fillcolor="#c00" stroked="f" strokeweight="0">
                  <v:stroke miterlimit="83231f" joinstyle="miter"/>
                  <v:path arrowok="t" textboxrect="0,0,5799583,19050"/>
                </v:shape>
                <w10:anchorlock/>
              </v:group>
            </w:pict>
          </mc:Fallback>
        </mc:AlternateContent>
      </w:r>
    </w:p>
    <w:p w14:paraId="10ED7B29" w14:textId="77777777" w:rsidR="006B694C" w:rsidRDefault="006B694C">
      <w:pPr>
        <w:spacing w:after="0" w:line="259" w:lineRule="auto"/>
      </w:pPr>
      <w:r>
        <w:t xml:space="preserve"> </w:t>
      </w:r>
    </w:p>
    <w:p w14:paraId="019A8DF8" w14:textId="77777777" w:rsidR="006B694C" w:rsidRDefault="006B694C">
      <w:pPr>
        <w:spacing w:after="0" w:line="259" w:lineRule="auto"/>
      </w:pPr>
      <w:r>
        <w:t xml:space="preserve"> </w:t>
      </w:r>
    </w:p>
    <w:p w14:paraId="21450DCE" w14:textId="77777777" w:rsidR="006B694C" w:rsidRDefault="006B694C">
      <w:pPr>
        <w:ind w:left="-5"/>
      </w:pPr>
      <w:r>
        <w:t xml:space="preserve">Ob ein Unternehmen im Wettbewerb bestehen kann, hängt insbesondere davon ab, wie produktiv es im Vergleich zu anderen Unternehmen ist.  </w:t>
      </w:r>
    </w:p>
    <w:p w14:paraId="712F5FD7" w14:textId="77777777" w:rsidR="006B694C" w:rsidRDefault="006B694C">
      <w:pPr>
        <w:spacing w:after="0" w:line="259" w:lineRule="auto"/>
      </w:pPr>
      <w:r>
        <w:t xml:space="preserve"> </w:t>
      </w:r>
    </w:p>
    <w:p w14:paraId="417CB5CD" w14:textId="77777777" w:rsidR="006B694C" w:rsidRDefault="006B694C">
      <w:pPr>
        <w:ind w:left="-5"/>
      </w:pPr>
      <w:r>
        <w:t xml:space="preserve">Ein wichtiger Vergleichsmaßstab ist die </w:t>
      </w:r>
      <w:r>
        <w:rPr>
          <w:rFonts w:ascii="Tahoma" w:eastAsia="Tahoma" w:hAnsi="Tahoma" w:cs="Tahoma"/>
          <w:b/>
        </w:rPr>
        <w:t>Umsatzrentabilität</w:t>
      </w:r>
      <w:r>
        <w:t xml:space="preserve">: Diese wird ermittelt, indem man den Gewinn ins Verhältnis zum erwirtschafteten Umsatz setzt.  </w:t>
      </w:r>
    </w:p>
    <w:p w14:paraId="685750E9" w14:textId="77777777" w:rsidR="006B694C" w:rsidRDefault="006B694C">
      <w:pPr>
        <w:spacing w:after="25" w:line="259" w:lineRule="auto"/>
      </w:pPr>
      <w:r>
        <w:t xml:space="preserve"> </w:t>
      </w:r>
    </w:p>
    <w:p w14:paraId="78C7F9DF" w14:textId="77777777" w:rsidR="006B694C" w:rsidRDefault="006B694C">
      <w:pPr>
        <w:pStyle w:val="berschrift3"/>
        <w:spacing w:after="0" w:line="259" w:lineRule="auto"/>
        <w:ind w:left="2532"/>
      </w:pPr>
      <w:r>
        <w:rPr>
          <w:rFonts w:ascii="Tahoma" w:eastAsia="Tahoma" w:hAnsi="Tahoma" w:cs="Tahoma"/>
          <w:sz w:val="20"/>
          <w:u w:val="single" w:color="000000"/>
        </w:rPr>
        <w:t xml:space="preserve">  Gewinn_</w:t>
      </w:r>
      <w:r>
        <w:rPr>
          <w:rFonts w:ascii="Tahoma" w:eastAsia="Tahoma" w:hAnsi="Tahoma" w:cs="Tahoma"/>
          <w:sz w:val="20"/>
        </w:rPr>
        <w:t xml:space="preserve"> </w:t>
      </w:r>
    </w:p>
    <w:p w14:paraId="2AC9CA30" w14:textId="77777777" w:rsidR="006B694C" w:rsidRDefault="006B694C">
      <w:pPr>
        <w:tabs>
          <w:tab w:val="center" w:pos="1329"/>
          <w:tab w:val="center" w:pos="3953"/>
        </w:tabs>
        <w:spacing w:after="0" w:line="265" w:lineRule="auto"/>
      </w:pPr>
      <w:r>
        <w:rPr>
          <w:rFonts w:ascii="Calibri" w:eastAsia="Calibri" w:hAnsi="Calibri" w:cs="Calibri"/>
          <w:sz w:val="22"/>
        </w:rPr>
        <w:tab/>
      </w:r>
      <w:r>
        <w:rPr>
          <w:sz w:val="20"/>
        </w:rPr>
        <w:t xml:space="preserve">Umsatzrentabilität </w:t>
      </w:r>
      <w:proofErr w:type="gramStart"/>
      <w:r>
        <w:rPr>
          <w:sz w:val="20"/>
        </w:rPr>
        <w:t xml:space="preserve">=  </w:t>
      </w:r>
      <w:r>
        <w:rPr>
          <w:sz w:val="20"/>
        </w:rPr>
        <w:tab/>
      </w:r>
      <w:proofErr w:type="gramEnd"/>
      <w:r>
        <w:rPr>
          <w:sz w:val="20"/>
        </w:rPr>
        <w:t xml:space="preserve">x 100 </w:t>
      </w:r>
    </w:p>
    <w:p w14:paraId="1A5E55C0" w14:textId="77777777" w:rsidR="006B694C" w:rsidRDefault="006B694C">
      <w:pPr>
        <w:spacing w:after="0" w:line="265" w:lineRule="auto"/>
        <w:ind w:left="2655"/>
      </w:pPr>
      <w:r>
        <w:rPr>
          <w:sz w:val="20"/>
        </w:rPr>
        <w:t xml:space="preserve">Umsatz </w:t>
      </w:r>
    </w:p>
    <w:p w14:paraId="300C7713" w14:textId="77777777" w:rsidR="006B694C" w:rsidRDefault="006B694C">
      <w:pPr>
        <w:spacing w:after="0" w:line="259" w:lineRule="auto"/>
      </w:pPr>
      <w:r>
        <w:t xml:space="preserve"> </w:t>
      </w:r>
    </w:p>
    <w:p w14:paraId="6940E2F3" w14:textId="77777777" w:rsidR="006B694C" w:rsidRDefault="006B694C">
      <w:pPr>
        <w:spacing w:after="0" w:line="259" w:lineRule="auto"/>
      </w:pPr>
      <w:r>
        <w:t xml:space="preserve"> </w:t>
      </w:r>
    </w:p>
    <w:p w14:paraId="794F7651" w14:textId="77777777" w:rsidR="006B694C" w:rsidRDefault="006B694C">
      <w:pPr>
        <w:ind w:left="-5"/>
      </w:pPr>
      <w:r>
        <w:t xml:space="preserve">Der dadurch ermittelte Wert drückt aus: Wie viele Euro Gewinn bleibt dem Unternehmen bei einem Umsatz von 100 Euro übrig.  </w:t>
      </w:r>
    </w:p>
    <w:p w14:paraId="787AECCB" w14:textId="77777777" w:rsidR="006B694C" w:rsidRDefault="006B694C">
      <w:pPr>
        <w:spacing w:after="0" w:line="259" w:lineRule="auto"/>
      </w:pPr>
      <w:r>
        <w:t xml:space="preserve"> </w:t>
      </w:r>
    </w:p>
    <w:p w14:paraId="1EDB3331" w14:textId="77777777" w:rsidR="006B694C" w:rsidRDefault="006B694C">
      <w:pPr>
        <w:ind w:left="-5"/>
      </w:pPr>
      <w:r>
        <w:t xml:space="preserve">Je produktiver ein Unternehmen ist, um so günstiger produziert es und </w:t>
      </w:r>
      <w:proofErr w:type="spellStart"/>
      <w:r>
        <w:t>um so</w:t>
      </w:r>
      <w:proofErr w:type="spellEnd"/>
      <w:r>
        <w:t xml:space="preserve"> aggressiver kann es am Markt auftreten. Hat ein Unternehmen gegenüber der Konkurrenz einen Produktivitätsvorteil, dann hat es z.B. auch einen Spielraum, den Preis zu senken. </w:t>
      </w:r>
    </w:p>
    <w:p w14:paraId="5A4793A0" w14:textId="77777777" w:rsidR="006B694C" w:rsidRDefault="006B694C">
      <w:pPr>
        <w:spacing w:after="0" w:line="259" w:lineRule="auto"/>
      </w:pPr>
      <w:r>
        <w:t xml:space="preserve"> </w:t>
      </w:r>
    </w:p>
    <w:p w14:paraId="06F73D24" w14:textId="77777777" w:rsidR="006B694C" w:rsidRDefault="006B694C">
      <w:pPr>
        <w:spacing w:after="0" w:line="259" w:lineRule="auto"/>
      </w:pPr>
      <w:r>
        <w:t xml:space="preserve"> </w:t>
      </w:r>
    </w:p>
    <w:p w14:paraId="55F143A7" w14:textId="77777777" w:rsidR="006B694C" w:rsidRDefault="006B694C">
      <w:pPr>
        <w:pStyle w:val="berschrift3"/>
        <w:ind w:left="-5"/>
      </w:pPr>
      <w:r>
        <w:t>Umsatzproduktivität des Personals</w:t>
      </w:r>
      <w:r>
        <w:rPr>
          <w:rFonts w:ascii="Tahoma" w:eastAsia="Tahoma" w:hAnsi="Tahoma" w:cs="Tahoma"/>
        </w:rPr>
        <w:t xml:space="preserve">   </w:t>
      </w:r>
    </w:p>
    <w:p w14:paraId="23BD32A4" w14:textId="77777777" w:rsidR="006B694C" w:rsidRDefault="006B694C">
      <w:pPr>
        <w:spacing w:after="0" w:line="259" w:lineRule="auto"/>
      </w:pPr>
      <w:r>
        <w:t xml:space="preserve"> </w:t>
      </w:r>
    </w:p>
    <w:p w14:paraId="2C4C704E" w14:textId="77777777" w:rsidR="006B694C" w:rsidRDefault="006B694C">
      <w:pPr>
        <w:ind w:left="-5"/>
      </w:pPr>
      <w:r>
        <w:rPr>
          <w:rFonts w:ascii="Tahoma" w:eastAsia="Tahoma" w:hAnsi="Tahoma" w:cs="Tahoma"/>
        </w:rPr>
        <w:t xml:space="preserve">Einen ersten Hinweis, wie „gut“ (= produktiv) die Mitarbeiter des Unternehmens arbeiten, </w:t>
      </w:r>
      <w:r>
        <w:t xml:space="preserve">bekommt man, indem man den </w:t>
      </w:r>
      <w:r>
        <w:rPr>
          <w:rFonts w:ascii="Tahoma" w:eastAsia="Tahoma" w:hAnsi="Tahoma" w:cs="Tahoma"/>
          <w:b/>
        </w:rPr>
        <w:t>Umsatz durch die Anzahl der Mitarbeiter dividiert</w:t>
      </w:r>
      <w:r>
        <w:t xml:space="preserve">. Dadurch errechnet man, wie viel Umsatz jeder einzelne Mitarbeiter im Durchschnitt erwirtschaftet. </w:t>
      </w:r>
    </w:p>
    <w:p w14:paraId="0B7D390E" w14:textId="77777777" w:rsidR="006B694C" w:rsidRDefault="006B694C">
      <w:pPr>
        <w:spacing w:after="25" w:line="259" w:lineRule="auto"/>
      </w:pPr>
      <w:r>
        <w:t xml:space="preserve"> </w:t>
      </w:r>
    </w:p>
    <w:p w14:paraId="5E0283F5" w14:textId="77777777" w:rsidR="006B694C" w:rsidRDefault="006B694C">
      <w:pPr>
        <w:pStyle w:val="berschrift4"/>
        <w:ind w:left="2532"/>
      </w:pPr>
      <w:r>
        <w:t xml:space="preserve">        Umsatz____</w:t>
      </w:r>
      <w:r>
        <w:rPr>
          <w:u w:color="000000"/>
        </w:rPr>
        <w:t xml:space="preserve"> </w:t>
      </w:r>
    </w:p>
    <w:p w14:paraId="218D3ED9" w14:textId="77777777" w:rsidR="006B694C" w:rsidRDefault="006B694C">
      <w:pPr>
        <w:tabs>
          <w:tab w:val="center" w:pos="4428"/>
        </w:tabs>
        <w:spacing w:after="0" w:line="265" w:lineRule="auto"/>
        <w:ind w:left="-7"/>
      </w:pPr>
      <w:r>
        <w:rPr>
          <w:sz w:val="20"/>
        </w:rPr>
        <w:t xml:space="preserve">Umsatz pro Mitarbeiter =  </w:t>
      </w:r>
      <w:r>
        <w:rPr>
          <w:sz w:val="20"/>
        </w:rPr>
        <w:tab/>
        <w:t xml:space="preserve"> </w:t>
      </w:r>
    </w:p>
    <w:p w14:paraId="42B0D370" w14:textId="77777777" w:rsidR="006B694C" w:rsidRDefault="006B694C">
      <w:pPr>
        <w:spacing w:after="0" w:line="265" w:lineRule="auto"/>
        <w:ind w:left="2544"/>
      </w:pPr>
      <w:r>
        <w:rPr>
          <w:sz w:val="20"/>
        </w:rPr>
        <w:t xml:space="preserve">Anzahl Mitarbeiter </w:t>
      </w:r>
    </w:p>
    <w:p w14:paraId="14AC49E7" w14:textId="77777777" w:rsidR="006B694C" w:rsidRDefault="006B694C">
      <w:pPr>
        <w:spacing w:after="0" w:line="259" w:lineRule="auto"/>
      </w:pPr>
      <w:r>
        <w:t xml:space="preserve"> </w:t>
      </w:r>
    </w:p>
    <w:p w14:paraId="309BF112" w14:textId="77777777" w:rsidR="006B694C" w:rsidRDefault="006B694C">
      <w:pPr>
        <w:ind w:left="-5"/>
      </w:pPr>
      <w:r>
        <w:lastRenderedPageBreak/>
        <w:t xml:space="preserve">Erzielen vergleichbare Unternehmen einen höheren Wert, dann sollte man Ursachenforschung betreiben. Die Gründe können einerseits bei den Mitarbeitern selbst liegen, andererseits aber auch völlig andere Ursachen haben; z.B. könnte die Konkurrenz mit viel moderneren Maschinen arbeiten. </w:t>
      </w:r>
    </w:p>
    <w:p w14:paraId="697C0452" w14:textId="77777777" w:rsidR="006B694C" w:rsidRDefault="006B694C">
      <w:pPr>
        <w:spacing w:after="0" w:line="259" w:lineRule="auto"/>
      </w:pPr>
      <w:r>
        <w:t xml:space="preserve"> </w:t>
      </w:r>
    </w:p>
    <w:p w14:paraId="55BEB440" w14:textId="77777777" w:rsidR="006B694C" w:rsidRDefault="006B694C">
      <w:pPr>
        <w:ind w:left="-5"/>
      </w:pPr>
      <w:r>
        <w:t xml:space="preserve">Prinzipiell gibt es zwei Möglichkeiten, den Umsatz pro Mitarbeiter zu erhöhen:  </w:t>
      </w:r>
    </w:p>
    <w:p w14:paraId="1015DBC3" w14:textId="77777777" w:rsidR="006B694C" w:rsidRDefault="006B694C">
      <w:pPr>
        <w:spacing w:after="0" w:line="259" w:lineRule="auto"/>
      </w:pPr>
      <w:r>
        <w:t xml:space="preserve"> </w:t>
      </w:r>
    </w:p>
    <w:p w14:paraId="319C7985" w14:textId="77777777" w:rsidR="006B694C" w:rsidRDefault="006B694C">
      <w:pPr>
        <w:pStyle w:val="berschrift3"/>
        <w:ind w:left="1440" w:hanging="360"/>
      </w:pPr>
      <w:r>
        <w:rPr>
          <w:rFonts w:ascii="Segoe UI Symbol" w:eastAsia="Segoe UI Symbol" w:hAnsi="Segoe UI Symbol" w:cs="Segoe UI Symbol"/>
        </w:rPr>
        <w:t>•</w:t>
      </w:r>
      <w:r>
        <w:rPr>
          <w:rFonts w:ascii="Arial" w:eastAsia="Arial" w:hAnsi="Arial" w:cs="Arial"/>
        </w:rPr>
        <w:t xml:space="preserve"> </w:t>
      </w:r>
      <w:r>
        <w:rPr>
          <w:rFonts w:ascii="Tahoma" w:eastAsia="Tahoma" w:hAnsi="Tahoma" w:cs="Tahoma"/>
        </w:rPr>
        <w:t xml:space="preserve">Man versucht, den </w:t>
      </w:r>
      <w:r>
        <w:t>gleich hohen Umsatz mit weniger Mitarbeitern</w:t>
      </w:r>
      <w:r>
        <w:rPr>
          <w:rFonts w:ascii="Tahoma" w:eastAsia="Tahoma" w:hAnsi="Tahoma" w:cs="Tahoma"/>
        </w:rPr>
        <w:t xml:space="preserve"> zu erzielen oder  </w:t>
      </w:r>
    </w:p>
    <w:p w14:paraId="5AEEA733" w14:textId="77777777" w:rsidR="006B694C" w:rsidRDefault="006B694C">
      <w:pPr>
        <w:spacing w:after="4" w:line="250" w:lineRule="auto"/>
        <w:ind w:left="1440" w:hanging="360"/>
      </w:pPr>
      <w:r>
        <w:rPr>
          <w:rFonts w:ascii="Segoe UI Symbol" w:eastAsia="Segoe UI Symbol" w:hAnsi="Segoe UI Symbol" w:cs="Segoe UI Symbol"/>
        </w:rPr>
        <w:t>•</w:t>
      </w:r>
      <w:r>
        <w:rPr>
          <w:rFonts w:ascii="Arial" w:eastAsia="Arial" w:hAnsi="Arial" w:cs="Arial"/>
        </w:rPr>
        <w:t xml:space="preserve"> </w:t>
      </w:r>
      <w:r>
        <w:t xml:space="preserve">man versucht, einen </w:t>
      </w:r>
      <w:r>
        <w:rPr>
          <w:rFonts w:ascii="Tahoma" w:eastAsia="Tahoma" w:hAnsi="Tahoma" w:cs="Tahoma"/>
          <w:b/>
        </w:rPr>
        <w:t>höheren Umsatz mit der gleichbleibenden Mitarbeiteranzahl</w:t>
      </w:r>
      <w:r>
        <w:t xml:space="preserve"> zu erzielen. </w:t>
      </w:r>
    </w:p>
    <w:p w14:paraId="223E61F9" w14:textId="0779807D" w:rsidR="006B694C" w:rsidRDefault="006B694C" w:rsidP="006B694C">
      <w:pPr>
        <w:spacing w:after="1714" w:line="259" w:lineRule="auto"/>
      </w:pPr>
      <w:r>
        <w:t xml:space="preserve"> </w:t>
      </w:r>
    </w:p>
    <w:p w14:paraId="4E41553D" w14:textId="77777777" w:rsidR="006B694C" w:rsidRDefault="006B694C">
      <w:pPr>
        <w:pStyle w:val="berschrift3"/>
        <w:ind w:left="-5"/>
      </w:pPr>
      <w:r>
        <w:t>Benchmarking</w:t>
      </w:r>
      <w:r>
        <w:rPr>
          <w:rFonts w:ascii="Tahoma" w:eastAsia="Tahoma" w:hAnsi="Tahoma" w:cs="Tahoma"/>
        </w:rPr>
        <w:t xml:space="preserve"> </w:t>
      </w:r>
    </w:p>
    <w:p w14:paraId="3B6FDF73" w14:textId="77777777" w:rsidR="006B694C" w:rsidRDefault="006B694C">
      <w:pPr>
        <w:spacing w:after="0" w:line="259" w:lineRule="auto"/>
      </w:pPr>
      <w:r>
        <w:t xml:space="preserve"> </w:t>
      </w:r>
    </w:p>
    <w:p w14:paraId="4DDC13E5" w14:textId="77777777" w:rsidR="006B694C" w:rsidRDefault="006B694C">
      <w:pPr>
        <w:ind w:left="-5"/>
      </w:pPr>
      <w:r>
        <w:t xml:space="preserve">Darunter versteht man kurz gesagt Folgendes: </w:t>
      </w:r>
      <w:r>
        <w:rPr>
          <w:rFonts w:ascii="Tahoma" w:eastAsia="Tahoma" w:hAnsi="Tahoma" w:cs="Tahoma"/>
          <w:b/>
        </w:rPr>
        <w:t>Orientierung an den Besten</w:t>
      </w:r>
      <w:r>
        <w:t xml:space="preserve">. Die Besten sind der Maßstab (= die </w:t>
      </w:r>
      <w:r>
        <w:rPr>
          <w:rFonts w:ascii="Tahoma" w:eastAsia="Tahoma" w:hAnsi="Tahoma" w:cs="Tahoma"/>
        </w:rPr>
        <w:t>„</w:t>
      </w:r>
      <w:r>
        <w:rPr>
          <w:rFonts w:ascii="Tahoma" w:eastAsia="Tahoma" w:hAnsi="Tahoma" w:cs="Tahoma"/>
          <w:b/>
        </w:rPr>
        <w:t>Benchmark</w:t>
      </w:r>
      <w:r>
        <w:rPr>
          <w:rFonts w:ascii="Tahoma" w:eastAsia="Tahoma" w:hAnsi="Tahoma" w:cs="Tahoma"/>
        </w:rPr>
        <w:t xml:space="preserve">“), an dem sich ein Unternehmen messen sollte.  </w:t>
      </w:r>
      <w:r>
        <w:t xml:space="preserve"> </w:t>
      </w:r>
    </w:p>
    <w:p w14:paraId="0EF41F39" w14:textId="77777777" w:rsidR="006B694C" w:rsidRDefault="006B694C">
      <w:pPr>
        <w:spacing w:after="0" w:line="259" w:lineRule="auto"/>
      </w:pPr>
      <w:r>
        <w:t xml:space="preserve"> </w:t>
      </w:r>
    </w:p>
    <w:p w14:paraId="465E77D1" w14:textId="77777777" w:rsidR="006B694C" w:rsidRDefault="006B694C">
      <w:pPr>
        <w:ind w:left="-5"/>
      </w:pPr>
      <w:r>
        <w:t>Gibt es Unternehmen mit besseren Werten (Kennzahlen), sollte es vorerst Ursachenforschung betreibe</w:t>
      </w:r>
      <w:r>
        <w:rPr>
          <w:rFonts w:ascii="Tahoma" w:eastAsia="Tahoma" w:hAnsi="Tahoma" w:cs="Tahoma"/>
        </w:rPr>
        <w:t xml:space="preserve">n und nach dem „Warum“ fragen. </w:t>
      </w:r>
      <w:r>
        <w:t xml:space="preserve">In weiterer Folge sollte es sich Maßnahmen überlegen, die dazu führen, dass es bald selbst zu den Besten gehört. </w:t>
      </w:r>
    </w:p>
    <w:p w14:paraId="312769EA" w14:textId="77777777" w:rsidR="006B694C" w:rsidRDefault="006B694C">
      <w:pPr>
        <w:spacing w:after="0" w:line="259" w:lineRule="auto"/>
      </w:pPr>
      <w:r>
        <w:t xml:space="preserve"> </w:t>
      </w:r>
    </w:p>
    <w:p w14:paraId="5016F971" w14:textId="77777777" w:rsidR="006B694C" w:rsidRDefault="006B694C">
      <w:pPr>
        <w:spacing w:after="0" w:line="259" w:lineRule="auto"/>
      </w:pPr>
      <w:r>
        <w:t xml:space="preserve"> </w:t>
      </w:r>
    </w:p>
    <w:p w14:paraId="1C6C502D" w14:textId="77777777" w:rsidR="006B694C" w:rsidRDefault="006B694C">
      <w:pPr>
        <w:pStyle w:val="berschrift3"/>
        <w:ind w:left="-5"/>
      </w:pPr>
      <w:r>
        <w:t>Weitere Produktivitätskennzahlen</w:t>
      </w:r>
      <w:r>
        <w:rPr>
          <w:rFonts w:ascii="Tahoma" w:eastAsia="Tahoma" w:hAnsi="Tahoma" w:cs="Tahoma"/>
        </w:rPr>
        <w:t xml:space="preserve"> </w:t>
      </w:r>
    </w:p>
    <w:p w14:paraId="024C85F3" w14:textId="77777777" w:rsidR="006B694C" w:rsidRDefault="006B694C">
      <w:pPr>
        <w:spacing w:after="0" w:line="259" w:lineRule="auto"/>
      </w:pPr>
      <w:r>
        <w:t xml:space="preserve"> </w:t>
      </w:r>
    </w:p>
    <w:p w14:paraId="4CBB6636" w14:textId="77777777" w:rsidR="006B694C" w:rsidRDefault="006B694C">
      <w:pPr>
        <w:ind w:left="-5"/>
      </w:pPr>
      <w:r>
        <w:t xml:space="preserve">Man kann nicht nur die Produktivität der Mitarbeiter, sondern auch die Produktivität des Wareneinsatzes, des Lagers, der Buchhaltung etc. berechnen und somit eine </w:t>
      </w:r>
      <w:proofErr w:type="spellStart"/>
      <w:r>
        <w:t>StärkenSchwächen</w:t>
      </w:r>
      <w:proofErr w:type="spellEnd"/>
      <w:r>
        <w:t xml:space="preserve">-Analyse des Unternehmens erstellen. </w:t>
      </w:r>
    </w:p>
    <w:p w14:paraId="4C4D0288" w14:textId="77777777" w:rsidR="006B694C" w:rsidRDefault="006B694C">
      <w:pPr>
        <w:spacing w:after="0" w:line="259" w:lineRule="auto"/>
      </w:pPr>
      <w:r>
        <w:t xml:space="preserve"> </w:t>
      </w:r>
    </w:p>
    <w:p w14:paraId="4166EEE0" w14:textId="77777777" w:rsidR="006B694C" w:rsidRDefault="006B694C">
      <w:pPr>
        <w:ind w:left="-5"/>
      </w:pPr>
      <w:r>
        <w:t xml:space="preserve">Dabei gilt stets folgende Regel:   </w:t>
      </w:r>
    </w:p>
    <w:p w14:paraId="24E6EE8E" w14:textId="77777777" w:rsidR="006B694C" w:rsidRDefault="006B694C">
      <w:pPr>
        <w:ind w:left="-5"/>
      </w:pPr>
      <w:r>
        <w:lastRenderedPageBreak/>
        <w:t xml:space="preserve">Mit möglichst wenig Einsatz (Input) soll man einen möglichst hohen Ausstoß (Output) erzielen. Anders ausgedrückt: Das Input / Output </w:t>
      </w:r>
      <w:r>
        <w:rPr>
          <w:rFonts w:ascii="Tahoma" w:eastAsia="Tahoma" w:hAnsi="Tahoma" w:cs="Tahoma"/>
        </w:rPr>
        <w:t>–</w:t>
      </w:r>
      <w:r>
        <w:t xml:space="preserve"> Verhältnis sollte möglichst gut sein. </w:t>
      </w:r>
    </w:p>
    <w:p w14:paraId="4A5A75A2" w14:textId="77777777" w:rsidR="006B694C" w:rsidRDefault="006B694C">
      <w:pPr>
        <w:spacing w:after="25" w:line="259" w:lineRule="auto"/>
      </w:pPr>
      <w:r>
        <w:t xml:space="preserve"> </w:t>
      </w:r>
    </w:p>
    <w:p w14:paraId="0B5F9C99" w14:textId="77777777" w:rsidR="006B694C" w:rsidRDefault="006B694C">
      <w:pPr>
        <w:pStyle w:val="berschrift4"/>
        <w:ind w:left="2532"/>
      </w:pPr>
      <w:r>
        <w:t xml:space="preserve">  Input_</w:t>
      </w:r>
      <w:r>
        <w:rPr>
          <w:u w:color="000000"/>
        </w:rPr>
        <w:t xml:space="preserve"> </w:t>
      </w:r>
    </w:p>
    <w:p w14:paraId="6E075DC4" w14:textId="77777777" w:rsidR="006B694C" w:rsidRDefault="006B694C">
      <w:pPr>
        <w:tabs>
          <w:tab w:val="center" w:pos="1573"/>
          <w:tab w:val="center" w:pos="3528"/>
        </w:tabs>
        <w:spacing w:after="0" w:line="265" w:lineRule="auto"/>
      </w:pPr>
      <w:r>
        <w:rPr>
          <w:rFonts w:ascii="Calibri" w:eastAsia="Calibri" w:hAnsi="Calibri" w:cs="Calibri"/>
          <w:sz w:val="22"/>
        </w:rPr>
        <w:tab/>
      </w:r>
      <w:r>
        <w:rPr>
          <w:sz w:val="20"/>
        </w:rPr>
        <w:t xml:space="preserve">Produktivität =  </w:t>
      </w:r>
      <w:r>
        <w:rPr>
          <w:sz w:val="20"/>
        </w:rPr>
        <w:tab/>
        <w:t xml:space="preserve"> </w:t>
      </w:r>
    </w:p>
    <w:p w14:paraId="2BA50D48" w14:textId="77777777" w:rsidR="006B694C" w:rsidRDefault="006B694C">
      <w:pPr>
        <w:spacing w:after="0" w:line="265" w:lineRule="auto"/>
        <w:ind w:left="2586"/>
      </w:pPr>
      <w:r>
        <w:rPr>
          <w:sz w:val="20"/>
        </w:rPr>
        <w:t xml:space="preserve">Output </w:t>
      </w:r>
    </w:p>
    <w:p w14:paraId="75FB5E57" w14:textId="77777777" w:rsidR="006B694C" w:rsidRDefault="006B694C">
      <w:pPr>
        <w:spacing w:after="0" w:line="259" w:lineRule="auto"/>
      </w:pPr>
      <w:r>
        <w:t xml:space="preserve"> </w:t>
      </w:r>
    </w:p>
    <w:p w14:paraId="475F31FB" w14:textId="77777777" w:rsidR="006B694C" w:rsidRDefault="006B694C">
      <w:pPr>
        <w:spacing w:after="0" w:line="259" w:lineRule="auto"/>
      </w:pPr>
      <w:r>
        <w:t xml:space="preserve"> </w:t>
      </w:r>
    </w:p>
    <w:p w14:paraId="2A0D461F" w14:textId="77777777" w:rsidR="006B694C" w:rsidRDefault="006B694C">
      <w:pPr>
        <w:ind w:left="-5"/>
      </w:pPr>
      <w:r>
        <w:rPr>
          <w:rFonts w:ascii="Tahoma" w:eastAsia="Tahoma" w:hAnsi="Tahoma" w:cs="Tahoma"/>
        </w:rPr>
        <w:t>In diesem Zusammenhang spricht man auch von der „</w:t>
      </w:r>
      <w:r>
        <w:rPr>
          <w:rFonts w:ascii="Tahoma" w:eastAsia="Tahoma" w:hAnsi="Tahoma" w:cs="Tahoma"/>
          <w:b/>
        </w:rPr>
        <w:t>Wirtschaftlichkeit</w:t>
      </w:r>
      <w:r>
        <w:rPr>
          <w:rFonts w:ascii="Tahoma" w:eastAsia="Tahoma" w:hAnsi="Tahoma" w:cs="Tahoma"/>
        </w:rPr>
        <w:t xml:space="preserve">“ eines </w:t>
      </w:r>
      <w:r>
        <w:t xml:space="preserve">Unternehmens: Je besser das Verhältnis der Erträge gegenüber den Aufwänden ist, desto wirtschaftlicher agiert ein Unternehmen. </w:t>
      </w:r>
    </w:p>
    <w:p w14:paraId="5A47E83B" w14:textId="77777777" w:rsidR="006B694C" w:rsidRDefault="006B694C">
      <w:pPr>
        <w:spacing w:after="0" w:line="259" w:lineRule="auto"/>
      </w:pPr>
      <w:r>
        <w:t xml:space="preserve"> </w:t>
      </w:r>
    </w:p>
    <w:p w14:paraId="13A4F887" w14:textId="77777777" w:rsidR="006B694C" w:rsidRDefault="006B694C">
      <w:pPr>
        <w:spacing w:after="6709" w:line="259" w:lineRule="auto"/>
      </w:pPr>
      <w:r>
        <w:t xml:space="preserve"> </w:t>
      </w:r>
    </w:p>
    <w:p w14:paraId="54BC85BD" w14:textId="6167D64C" w:rsidR="006B694C" w:rsidRDefault="006B694C" w:rsidP="006B694C">
      <w:pPr>
        <w:spacing w:after="2115" w:line="259" w:lineRule="auto"/>
      </w:pPr>
    </w:p>
    <w:p w14:paraId="53BB4E52" w14:textId="5F639600" w:rsidR="006B694C" w:rsidRDefault="006B694C" w:rsidP="006B694C">
      <w:pPr>
        <w:spacing w:after="2873" w:line="259" w:lineRule="auto"/>
      </w:pPr>
    </w:p>
    <w:p w14:paraId="1B5CB757" w14:textId="77777777" w:rsidR="006B694C" w:rsidRDefault="006B694C" w:rsidP="006B694C">
      <w:pPr>
        <w:spacing w:after="2873" w:line="259" w:lineRule="auto"/>
      </w:pPr>
    </w:p>
    <w:p w14:paraId="5B832914" w14:textId="77777777" w:rsidR="006B694C" w:rsidRPr="00BF4888" w:rsidRDefault="006B694C" w:rsidP="00BF4888">
      <w:pPr>
        <w:rPr>
          <w:rFonts w:ascii="Segoe UI" w:hAnsi="Segoe UI" w:cs="Segoe UI"/>
          <w:color w:val="1D2125"/>
          <w:sz w:val="23"/>
          <w:szCs w:val="23"/>
          <w:shd w:val="clear" w:color="auto" w:fill="FFFFFF"/>
        </w:rPr>
      </w:pPr>
    </w:p>
    <w:p w14:paraId="77841E60" w14:textId="77777777" w:rsidR="00BF4888" w:rsidRDefault="00BF4888" w:rsidP="00BF4888">
      <w:pPr>
        <w:pStyle w:val="Listenabsatz"/>
        <w:rPr>
          <w:rFonts w:ascii="Segoe UI" w:hAnsi="Segoe UI" w:cs="Segoe UI"/>
          <w:color w:val="1D2125"/>
          <w:sz w:val="23"/>
          <w:szCs w:val="23"/>
          <w:shd w:val="clear" w:color="auto" w:fill="FFFFFF"/>
        </w:rPr>
      </w:pPr>
    </w:p>
    <w:p w14:paraId="45D5EA30" w14:textId="77777777" w:rsidR="00BF4888" w:rsidRPr="00BF4888" w:rsidRDefault="00BF4888" w:rsidP="00BF4888">
      <w:pPr>
        <w:pStyle w:val="Listenabsatz"/>
      </w:pPr>
    </w:p>
    <w:sectPr w:rsidR="00BF4888" w:rsidRPr="00BF48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1815"/>
    <w:multiLevelType w:val="hybridMultilevel"/>
    <w:tmpl w:val="0F5448A8"/>
    <w:lvl w:ilvl="0" w:tplc="BA6C366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88266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2E2237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74AD2F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5CA47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C1EADF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C9AC0D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A66E8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8A271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C59009A"/>
    <w:multiLevelType w:val="hybridMultilevel"/>
    <w:tmpl w:val="624C68D0"/>
    <w:lvl w:ilvl="0" w:tplc="64B87C0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8417E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EFC9CF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8E04AA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E8D8B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6D845E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F21B1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AC2A4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7AB41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CC40D2C"/>
    <w:multiLevelType w:val="hybridMultilevel"/>
    <w:tmpl w:val="91F620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55089034">
    <w:abstractNumId w:val="2"/>
  </w:num>
  <w:num w:numId="2" w16cid:durableId="1160846761">
    <w:abstractNumId w:val="1"/>
  </w:num>
  <w:num w:numId="3" w16cid:durableId="1197886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888"/>
    <w:rsid w:val="00535E7E"/>
    <w:rsid w:val="006B694C"/>
    <w:rsid w:val="00BF48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D5A96"/>
  <w15:chartTrackingRefBased/>
  <w15:docId w15:val="{D7E36296-A414-47B9-8875-ABEEA728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F48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F48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F488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BF488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F488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F488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F488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F488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F488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BF488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rsid w:val="00BF488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rsid w:val="00BF488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rsid w:val="00BF488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F488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F488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F488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F488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F4888"/>
    <w:rPr>
      <w:rFonts w:eastAsiaTheme="majorEastAsia" w:cstheme="majorBidi"/>
      <w:color w:val="272727" w:themeColor="text1" w:themeTint="D8"/>
    </w:rPr>
  </w:style>
  <w:style w:type="paragraph" w:styleId="Titel">
    <w:name w:val="Title"/>
    <w:basedOn w:val="Standard"/>
    <w:next w:val="Standard"/>
    <w:link w:val="TitelZchn"/>
    <w:uiPriority w:val="10"/>
    <w:qFormat/>
    <w:rsid w:val="00BF48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488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F488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F488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F488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F4888"/>
    <w:rPr>
      <w:i/>
      <w:iCs/>
      <w:color w:val="404040" w:themeColor="text1" w:themeTint="BF"/>
    </w:rPr>
  </w:style>
  <w:style w:type="paragraph" w:styleId="Listenabsatz">
    <w:name w:val="List Paragraph"/>
    <w:basedOn w:val="Standard"/>
    <w:uiPriority w:val="34"/>
    <w:qFormat/>
    <w:rsid w:val="00BF4888"/>
    <w:pPr>
      <w:ind w:left="720"/>
      <w:contextualSpacing/>
    </w:pPr>
  </w:style>
  <w:style w:type="character" w:styleId="IntensiveHervorhebung">
    <w:name w:val="Intense Emphasis"/>
    <w:basedOn w:val="Absatz-Standardschriftart"/>
    <w:uiPriority w:val="21"/>
    <w:qFormat/>
    <w:rsid w:val="00BF4888"/>
    <w:rPr>
      <w:i/>
      <w:iCs/>
      <w:color w:val="0F4761" w:themeColor="accent1" w:themeShade="BF"/>
    </w:rPr>
  </w:style>
  <w:style w:type="paragraph" w:styleId="IntensivesZitat">
    <w:name w:val="Intense Quote"/>
    <w:basedOn w:val="Standard"/>
    <w:next w:val="Standard"/>
    <w:link w:val="IntensivesZitatZchn"/>
    <w:uiPriority w:val="30"/>
    <w:qFormat/>
    <w:rsid w:val="00BF48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F4888"/>
    <w:rPr>
      <w:i/>
      <w:iCs/>
      <w:color w:val="0F4761" w:themeColor="accent1" w:themeShade="BF"/>
    </w:rPr>
  </w:style>
  <w:style w:type="character" w:styleId="IntensiverVerweis">
    <w:name w:val="Intense Reference"/>
    <w:basedOn w:val="Absatz-Standardschriftart"/>
    <w:uiPriority w:val="32"/>
    <w:qFormat/>
    <w:rsid w:val="00BF4888"/>
    <w:rPr>
      <w:b/>
      <w:bCs/>
      <w:smallCaps/>
      <w:color w:val="0F4761" w:themeColor="accent1" w:themeShade="BF"/>
      <w:spacing w:val="5"/>
    </w:rPr>
  </w:style>
  <w:style w:type="paragraph" w:styleId="StandardWeb">
    <w:name w:val="Normal (Web)"/>
    <w:basedOn w:val="Standard"/>
    <w:uiPriority w:val="99"/>
    <w:semiHidden/>
    <w:unhideWhenUsed/>
    <w:rsid w:val="00BF4888"/>
    <w:pPr>
      <w:spacing w:before="100" w:beforeAutospacing="1" w:after="100" w:afterAutospacing="1" w:line="240" w:lineRule="auto"/>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26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1546</Words>
  <Characters>9740</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Zoe Maus (lmaus1)</dc:creator>
  <cp:keywords/>
  <dc:description/>
  <cp:lastModifiedBy>Lena Zoe</cp:lastModifiedBy>
  <cp:revision>1</cp:revision>
  <dcterms:created xsi:type="dcterms:W3CDTF">2024-04-15T08:11:00Z</dcterms:created>
  <dcterms:modified xsi:type="dcterms:W3CDTF">2024-04-15T09:57:00Z</dcterms:modified>
</cp:coreProperties>
</file>