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B86B8">
      <w:pPr>
        <w:spacing w:line="240" w:lineRule="auto"/>
        <w:jc w:val="left"/>
        <w:rPr>
          <w:rFonts w:hint="default" w:ascii="Arial" w:hAnsi="Arial" w:cs="Arial"/>
          <w:b/>
          <w:bCs/>
          <w:sz w:val="20"/>
          <w:szCs w:val="20"/>
          <w:lang w:val="en-US" w:eastAsia="zh-CN"/>
        </w:rPr>
      </w:pPr>
      <w:r>
        <w:rPr>
          <w:rFonts w:hint="eastAsia" w:ascii="Arial" w:hAnsi="Arial" w:cs="Arial"/>
          <w:b/>
          <w:bCs/>
          <w:sz w:val="20"/>
          <w:szCs w:val="20"/>
          <w:lang w:val="en-US" w:eastAsia="zh-CN"/>
        </w:rPr>
        <w:t xml:space="preserve">Table S2. </w:t>
      </w:r>
      <w:r>
        <w:rPr>
          <w:rFonts w:hint="default" w:ascii="Arial" w:hAnsi="Arial" w:cs="Arial"/>
          <w:b/>
          <w:bCs/>
          <w:sz w:val="20"/>
          <w:szCs w:val="20"/>
          <w:lang w:val="en-US" w:eastAsia="zh-CN"/>
        </w:rPr>
        <w:t xml:space="preserve">User </w:t>
      </w:r>
      <w:r>
        <w:rPr>
          <w:rFonts w:hint="eastAsia" w:ascii="Arial" w:hAnsi="Arial" w:cs="Arial"/>
          <w:b/>
          <w:bCs/>
          <w:sz w:val="20"/>
          <w:szCs w:val="20"/>
          <w:lang w:val="en-US" w:eastAsia="zh-CN"/>
        </w:rPr>
        <w:t>G</w:t>
      </w:r>
      <w:r>
        <w:rPr>
          <w:rFonts w:hint="default" w:ascii="Arial" w:hAnsi="Arial" w:cs="Arial"/>
          <w:b/>
          <w:bCs/>
          <w:sz w:val="20"/>
          <w:szCs w:val="20"/>
          <w:lang w:val="en-US" w:eastAsia="zh-CN"/>
        </w:rPr>
        <w:t>uide for dxpwr</w:t>
      </w:r>
      <w:r>
        <w:rPr>
          <w:rFonts w:hint="eastAsia" w:ascii="Arial" w:hAnsi="Arial" w:cs="Arial"/>
          <w:b/>
          <w:bCs/>
          <w:sz w:val="20"/>
          <w:szCs w:val="20"/>
          <w:lang w:val="en-US" w:eastAsia="zh-CN"/>
        </w:rPr>
        <w:t xml:space="preserve"> packages</w:t>
      </w:r>
    </w:p>
    <w:tbl>
      <w:tblPr>
        <w:tblStyle w:val="3"/>
        <w:tblW w:w="0" w:type="auto"/>
        <w:tblInd w:w="0" w:type="dxa"/>
        <w:tblBorders>
          <w:top w:val="single" w:color="A4A4A4" w:sz="4" w:space="0"/>
          <w:left w:val="single" w:color="A4A4A4" w:sz="4" w:space="0"/>
          <w:bottom w:val="single" w:color="A4A4A4" w:sz="4" w:space="0"/>
          <w:right w:val="single" w:color="A4A4A4" w:sz="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2787"/>
        <w:gridCol w:w="2992"/>
        <w:gridCol w:w="3767"/>
        <w:gridCol w:w="2917"/>
      </w:tblGrid>
      <w:tr w14:paraId="41BB75DC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tcBorders>
              <w:tl2br w:val="nil"/>
            </w:tcBorders>
            <w:shd w:val="clear" w:color="auto" w:fill="7E7E7E" w:themeFill="background1" w:themeFillShade="7F"/>
          </w:tcPr>
          <w:p w14:paraId="05EFD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FFFFFF" w:themeColor="background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FFFFFF" w:themeColor="background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Study design</w:t>
            </w:r>
          </w:p>
        </w:tc>
        <w:tc>
          <w:tcPr>
            <w:tcW w:w="2787" w:type="dxa"/>
            <w:shd w:val="clear" w:color="auto" w:fill="7E7E7E" w:themeFill="background1" w:themeFillShade="7F"/>
          </w:tcPr>
          <w:p w14:paraId="788E1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FFFFFF" w:themeColor="background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5"/>
                <w:rFonts w:hint="default" w:ascii="Arial" w:hAnsi="Arial" w:cs="Arial"/>
                <w:b/>
                <w:bCs w:val="0"/>
                <w:i w:val="0"/>
                <w:color w:val="FFFFFF" w:themeColor="background1"/>
                <w:sz w:val="20"/>
                <w:szCs w:val="20"/>
                <w:shd w:val="clear" w:color="auto" w:fill="FFFFFF"/>
                <w14:textFill>
                  <w14:solidFill>
                    <w14:schemeClr w14:val="bg1"/>
                  </w14:solidFill>
                </w14:textFill>
              </w:rPr>
              <w:t>Study Objective</w:t>
            </w:r>
          </w:p>
        </w:tc>
        <w:tc>
          <w:tcPr>
            <w:tcW w:w="2992" w:type="dxa"/>
            <w:shd w:val="clear" w:color="auto" w:fill="7E7E7E" w:themeFill="background1" w:themeFillShade="7F"/>
          </w:tcPr>
          <w:p w14:paraId="5FB0B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FFFFFF" w:themeColor="background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5"/>
                <w:rFonts w:hint="default" w:ascii="Arial" w:hAnsi="Arial" w:cs="Arial"/>
                <w:b/>
                <w:bCs w:val="0"/>
                <w:i w:val="0"/>
                <w:color w:val="FFFFFF" w:themeColor="background1"/>
                <w:sz w:val="20"/>
                <w:szCs w:val="20"/>
                <w:shd w:val="clear" w:color="auto" w:fill="FFFFFF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Target</w:t>
            </w:r>
            <w:r>
              <w:rPr>
                <w:rStyle w:val="5"/>
                <w:rFonts w:hint="default" w:ascii="Arial" w:hAnsi="Arial" w:cs="Arial"/>
                <w:b/>
                <w:bCs w:val="0"/>
                <w:i w:val="0"/>
                <w:color w:val="FFFFFF" w:themeColor="background1"/>
                <w:sz w:val="20"/>
                <w:szCs w:val="20"/>
                <w:shd w:val="clear" w:color="auto" w:fill="FFFFFF"/>
                <w14:textFill>
                  <w14:solidFill>
                    <w14:schemeClr w14:val="bg1"/>
                  </w14:solidFill>
                </w14:textFill>
              </w:rPr>
              <w:t xml:space="preserve"> Metric</w:t>
            </w:r>
          </w:p>
        </w:tc>
        <w:tc>
          <w:tcPr>
            <w:tcW w:w="3767" w:type="dxa"/>
            <w:shd w:val="clear" w:color="auto" w:fill="7E7E7E" w:themeFill="background1" w:themeFillShade="7F"/>
          </w:tcPr>
          <w:p w14:paraId="7ADF8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FFFFFF" w:themeColor="background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5"/>
                <w:rFonts w:hint="default" w:ascii="Arial" w:hAnsi="Arial" w:cs="Arial"/>
                <w:b/>
                <w:bCs w:val="0"/>
                <w:i w:val="0"/>
                <w:color w:val="FFFFFF" w:themeColor="background1"/>
                <w:sz w:val="20"/>
                <w:szCs w:val="20"/>
                <w:shd w:val="clear" w:color="auto" w:fill="FFFFFF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Key Variable Type</w:t>
            </w:r>
          </w:p>
        </w:tc>
        <w:tc>
          <w:tcPr>
            <w:tcW w:w="2917" w:type="dxa"/>
            <w:shd w:val="clear" w:color="auto" w:fill="7E7E7E" w:themeFill="background1" w:themeFillShade="7F"/>
          </w:tcPr>
          <w:p w14:paraId="7B51C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FFFFFF" w:themeColor="background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FFFFFF" w:themeColor="background1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 xml:space="preserve">Function </w:t>
            </w:r>
          </w:p>
        </w:tc>
      </w:tr>
      <w:tr w14:paraId="4452D41D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restart"/>
            <w:shd w:val="clear" w:color="auto" w:fill="E2EFDA" w:themeFill="accent6" w:themeFillTint="32"/>
            <w:vAlign w:val="center"/>
          </w:tcPr>
          <w:p w14:paraId="4103D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  <w:t>Single-test design</w:t>
            </w:r>
          </w:p>
        </w:tc>
        <w:tc>
          <w:tcPr>
            <w:tcW w:w="2787" w:type="dxa"/>
            <w:shd w:val="clear" w:color="auto" w:fill="C5E0B3" w:themeFill="accent6" w:themeFillTint="66"/>
            <w:vAlign w:val="center"/>
          </w:tcPr>
          <w:p w14:paraId="3088F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kern w:val="0"/>
                <w:sz w:val="16"/>
                <w:szCs w:val="16"/>
                <w:lang w:bidi="ar"/>
              </w:rPr>
              <w:t>Determine the optimal decision threshold for a diagnostic test</w:t>
            </w:r>
            <w:r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412B8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</w:rPr>
              <w:t>—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69E57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1A70A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  <w:t>optimize_for_threshold</w:t>
            </w:r>
          </w:p>
        </w:tc>
      </w:tr>
      <w:tr w14:paraId="2A18B812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029BE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restart"/>
            <w:shd w:val="clear" w:color="auto" w:fill="FFFFFF"/>
            <w:vAlign w:val="center"/>
          </w:tcPr>
          <w:p w14:paraId="23F4D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Test null hypothesis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on diagnostic accuracy</w:t>
            </w:r>
          </w:p>
        </w:tc>
        <w:tc>
          <w:tcPr>
            <w:tcW w:w="2992" w:type="dxa"/>
            <w:shd w:val="clear" w:color="auto" w:fill="E2EFDA" w:themeFill="accent6" w:themeFillTint="32"/>
            <w:vAlign w:val="center"/>
          </w:tcPr>
          <w:p w14:paraId="7109B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</w:t>
            </w:r>
          </w:p>
        </w:tc>
        <w:tc>
          <w:tcPr>
            <w:tcW w:w="3767" w:type="dxa"/>
            <w:shd w:val="clear" w:color="auto" w:fill="E2EFDA" w:themeFill="accent6" w:themeFillTint="32"/>
            <w:vAlign w:val="center"/>
          </w:tcPr>
          <w:p w14:paraId="5AB0A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E2EFDA" w:themeFill="accent6" w:themeFillTint="32"/>
            <w:vAlign w:val="center"/>
          </w:tcPr>
          <w:p w14:paraId="6AC4F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sample_hypotest_sesp</w:t>
            </w:r>
          </w:p>
        </w:tc>
      </w:tr>
      <w:tr w14:paraId="12ECC40E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19F7E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/>
            <w:vAlign w:val="center"/>
          </w:tcPr>
          <w:p w14:paraId="2ED9C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992" w:type="dxa"/>
            <w:shd w:val="clear" w:color="auto" w:fill="E2EFDA" w:themeFill="accent6" w:themeFillTint="32"/>
            <w:vAlign w:val="center"/>
          </w:tcPr>
          <w:p w14:paraId="1AF44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Specificity</w:t>
            </w:r>
          </w:p>
        </w:tc>
        <w:tc>
          <w:tcPr>
            <w:tcW w:w="3767" w:type="dxa"/>
            <w:shd w:val="clear" w:color="auto" w:fill="E2EFDA" w:themeFill="accent6" w:themeFillTint="32"/>
            <w:vAlign w:val="center"/>
          </w:tcPr>
          <w:p w14:paraId="1011A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E2EFDA" w:themeFill="accent6" w:themeFillTint="32"/>
            <w:vAlign w:val="center"/>
          </w:tcPr>
          <w:p w14:paraId="52D86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sample_hypotest_sesp</w:t>
            </w:r>
          </w:p>
        </w:tc>
      </w:tr>
      <w:tr w14:paraId="660A6C3B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7C86B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/>
            <w:vAlign w:val="center"/>
          </w:tcPr>
          <w:p w14:paraId="6403F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992" w:type="dxa"/>
            <w:shd w:val="clear" w:color="auto" w:fill="E2EFDA" w:themeFill="accent6" w:themeFillTint="32"/>
            <w:vAlign w:val="center"/>
          </w:tcPr>
          <w:p w14:paraId="0B7A3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Full AUC</w:t>
            </w:r>
          </w:p>
        </w:tc>
        <w:tc>
          <w:tcPr>
            <w:tcW w:w="3767" w:type="dxa"/>
            <w:shd w:val="clear" w:color="auto" w:fill="E2EFDA" w:themeFill="accent6" w:themeFillTint="32"/>
            <w:vAlign w:val="center"/>
          </w:tcPr>
          <w:p w14:paraId="21E6A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E2EFDA" w:themeFill="accent6" w:themeFillTint="32"/>
            <w:vAlign w:val="center"/>
          </w:tcPr>
          <w:p w14:paraId="075FF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sample_hypotest_auc</w:t>
            </w:r>
          </w:p>
        </w:tc>
      </w:tr>
      <w:tr w14:paraId="65A02168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58742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/>
            <w:vAlign w:val="center"/>
          </w:tcPr>
          <w:p w14:paraId="4F932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992" w:type="dxa"/>
            <w:shd w:val="clear" w:color="auto" w:fill="E2EFDA" w:themeFill="accent6" w:themeFillTint="32"/>
            <w:vAlign w:val="center"/>
          </w:tcPr>
          <w:p w14:paraId="0B64C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Partial AUC</w:t>
            </w:r>
          </w:p>
        </w:tc>
        <w:tc>
          <w:tcPr>
            <w:tcW w:w="3767" w:type="dxa"/>
            <w:shd w:val="clear" w:color="auto" w:fill="E2EFDA" w:themeFill="accent6" w:themeFillTint="32"/>
            <w:vAlign w:val="center"/>
          </w:tcPr>
          <w:p w14:paraId="703AD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E2EFDA" w:themeFill="accent6" w:themeFillTint="32"/>
            <w:vAlign w:val="center"/>
          </w:tcPr>
          <w:p w14:paraId="25C17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sample_hypotest_pauc</w:t>
            </w:r>
          </w:p>
        </w:tc>
      </w:tr>
      <w:tr w14:paraId="684E3373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684E5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/>
            <w:vAlign w:val="center"/>
          </w:tcPr>
          <w:p w14:paraId="7858A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992" w:type="dxa"/>
            <w:shd w:val="clear" w:color="auto" w:fill="E2EFDA" w:themeFill="accent6" w:themeFillTint="32"/>
            <w:vAlign w:val="center"/>
          </w:tcPr>
          <w:p w14:paraId="6BAC0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FPR</w:t>
            </w:r>
          </w:p>
        </w:tc>
        <w:tc>
          <w:tcPr>
            <w:tcW w:w="3767" w:type="dxa"/>
            <w:shd w:val="clear" w:color="auto" w:fill="E2EFDA" w:themeFill="accent6" w:themeFillTint="32"/>
            <w:vAlign w:val="center"/>
          </w:tcPr>
          <w:p w14:paraId="046D0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E2EFDA" w:themeFill="accent6" w:themeFillTint="32"/>
            <w:vAlign w:val="center"/>
          </w:tcPr>
          <w:p w14:paraId="49B15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sample_hypotest_restricted_sesp</w:t>
            </w:r>
          </w:p>
        </w:tc>
      </w:tr>
      <w:tr w14:paraId="64D7E5EA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0C04F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/>
            <w:vAlign w:val="center"/>
          </w:tcPr>
          <w:p w14:paraId="2C209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2992" w:type="dxa"/>
            <w:shd w:val="clear" w:color="auto" w:fill="E2EFDA" w:themeFill="accent6" w:themeFillTint="32"/>
            <w:vAlign w:val="center"/>
          </w:tcPr>
          <w:p w14:paraId="3EAD9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FNR</w:t>
            </w:r>
          </w:p>
        </w:tc>
        <w:tc>
          <w:tcPr>
            <w:tcW w:w="3767" w:type="dxa"/>
            <w:shd w:val="clear" w:color="auto" w:fill="E2EFDA" w:themeFill="accent6" w:themeFillTint="32"/>
            <w:vAlign w:val="center"/>
          </w:tcPr>
          <w:p w14:paraId="3FDE2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E2EFDA" w:themeFill="accent6" w:themeFillTint="32"/>
            <w:vAlign w:val="center"/>
          </w:tcPr>
          <w:p w14:paraId="00059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sample_hypotest_restricted_sesp</w:t>
            </w:r>
          </w:p>
        </w:tc>
      </w:tr>
      <w:tr w14:paraId="5ECA3C66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48BCF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restart"/>
            <w:shd w:val="clear" w:color="auto" w:fill="C5E0B3" w:themeFill="accent6" w:themeFillTint="66"/>
            <w:vAlign w:val="center"/>
          </w:tcPr>
          <w:p w14:paraId="44D46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Estimate diagnostic accuracy</w:t>
            </w: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of a new test</w:t>
            </w: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507FF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681C4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5D37B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sample_estimate_sesp</w:t>
            </w:r>
          </w:p>
        </w:tc>
      </w:tr>
      <w:tr w14:paraId="2393F4E1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5A0FA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C5E0B3" w:themeFill="accent6" w:themeFillTint="66"/>
            <w:vAlign w:val="center"/>
          </w:tcPr>
          <w:p w14:paraId="5304B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2F0E7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Specificity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0421D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43A11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sample_estimate_sesp</w:t>
            </w:r>
          </w:p>
        </w:tc>
      </w:tr>
      <w:tr w14:paraId="519A64FB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1D928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C5E0B3" w:themeFill="accent6" w:themeFillTint="66"/>
            <w:vAlign w:val="center"/>
          </w:tcPr>
          <w:p w14:paraId="250A8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6D943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Full AUC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2E322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60745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sample_estimate_full_ROC</w:t>
            </w:r>
          </w:p>
        </w:tc>
      </w:tr>
      <w:tr w14:paraId="473AF102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0CDA3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C5E0B3" w:themeFill="accent6" w:themeFillTint="66"/>
            <w:vAlign w:val="center"/>
          </w:tcPr>
          <w:p w14:paraId="65586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50351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Partial AUC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4623C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35690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sample_estimate_partial_auc</w:t>
            </w:r>
          </w:p>
        </w:tc>
      </w:tr>
      <w:tr w14:paraId="27E88E9B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2412B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C5E0B3" w:themeFill="accent6" w:themeFillTint="66"/>
            <w:vAlign w:val="center"/>
          </w:tcPr>
          <w:p w14:paraId="39F4E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41D2D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FPR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4141E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43CAE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sample_estimate_restricted_sesp</w:t>
            </w:r>
          </w:p>
        </w:tc>
      </w:tr>
      <w:tr w14:paraId="4C84D170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E2EFDA" w:themeFill="accent6" w:themeFillTint="32"/>
            <w:vAlign w:val="center"/>
          </w:tcPr>
          <w:p w14:paraId="0C5C9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C5E0B3" w:themeFill="accent6" w:themeFillTint="66"/>
            <w:vAlign w:val="center"/>
          </w:tcPr>
          <w:p w14:paraId="3A319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1D0A4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FNR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72D17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6CA88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sample_estimate_restricted_sesp</w:t>
            </w:r>
          </w:p>
        </w:tc>
      </w:tr>
      <w:tr w14:paraId="5C0EB7EB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restart"/>
            <w:shd w:val="clear" w:color="auto" w:fill="DEEBF6" w:themeFill="accent5" w:themeFillTint="32"/>
            <w:vAlign w:val="center"/>
          </w:tcPr>
          <w:p w14:paraId="1B195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  <w:t>Comparative design</w:t>
            </w:r>
          </w:p>
        </w:tc>
        <w:tc>
          <w:tcPr>
            <w:tcW w:w="2787" w:type="dxa"/>
            <w:vMerge w:val="restart"/>
            <w:shd w:val="clear" w:color="auto" w:fill="FFFFFF" w:themeFill="background1"/>
            <w:vAlign w:val="center"/>
          </w:tcPr>
          <w:p w14:paraId="476AB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Test for differences in diagnostic accuracy</w:t>
            </w: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between a new test to an existing test</w:t>
            </w: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111FD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22B50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41861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sample_compare_sesp</w:t>
            </w:r>
          </w:p>
        </w:tc>
      </w:tr>
      <w:tr w14:paraId="12787C32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22F00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7EBEC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33666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Specificity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4C547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4174A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sample_compare_sesp</w:t>
            </w:r>
          </w:p>
        </w:tc>
      </w:tr>
      <w:tr w14:paraId="51E0AC5F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45540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47C87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63409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Full AUC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2F250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0E7BF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sample_compare_full_ROC</w:t>
            </w:r>
          </w:p>
        </w:tc>
      </w:tr>
      <w:tr w14:paraId="5AB1436A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447DA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28BD1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4F266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Partial AUC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627D2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188DE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sample_compare_partial_auc</w:t>
            </w:r>
          </w:p>
        </w:tc>
      </w:tr>
      <w:tr w14:paraId="57F51FD6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51C99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06638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6BB1F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FPR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1A3C9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583DE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sample_compare_restricted_sesp</w:t>
            </w:r>
          </w:p>
        </w:tc>
      </w:tr>
      <w:tr w14:paraId="78A5334C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368B7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0698A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5F432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FNR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53F66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5DA54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sample_compare_restricted_sesp</w:t>
            </w:r>
          </w:p>
        </w:tc>
      </w:tr>
      <w:tr w14:paraId="144BDB73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13BEB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366D4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256B1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firstLine="0" w:firstLineChars="0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PPV 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78748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4727F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sample_compare_ppv</w:t>
            </w:r>
          </w:p>
        </w:tc>
      </w:tr>
      <w:tr w14:paraId="0D129DEF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7E9F6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77E97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49B33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firstLine="0" w:firstLineChars="0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NPV 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19890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10202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sample_compare_npv</w:t>
            </w:r>
          </w:p>
        </w:tc>
      </w:tr>
      <w:tr w14:paraId="6F445C40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4FB8B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restart"/>
            <w:shd w:val="clear" w:color="auto" w:fill="BDD6EE" w:themeFill="accent5" w:themeFillTint="66"/>
            <w:vAlign w:val="center"/>
          </w:tcPr>
          <w:p w14:paraId="24460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Conduct equivalence testing of diagnostic accuracy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between a new test to an existing test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442A6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38139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261C2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sample_equivalence_sesp</w:t>
            </w:r>
          </w:p>
        </w:tc>
      </w:tr>
      <w:tr w14:paraId="17F92592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46546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BDD6EE" w:themeFill="accent5" w:themeFillTint="66"/>
            <w:vAlign w:val="center"/>
          </w:tcPr>
          <w:p w14:paraId="57082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552BC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Specificity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5EDAF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4732E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sample_equivalence_sesp</w:t>
            </w:r>
          </w:p>
        </w:tc>
      </w:tr>
      <w:tr w14:paraId="68F52AAC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50ED7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BDD6EE" w:themeFill="accent5" w:themeFillTint="66"/>
            <w:vAlign w:val="center"/>
          </w:tcPr>
          <w:p w14:paraId="210E0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00B12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Full AUC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4F3D8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56238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sample_equivalence_auc</w:t>
            </w:r>
          </w:p>
        </w:tc>
      </w:tr>
      <w:tr w14:paraId="3A4EB908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76845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BDD6EE" w:themeFill="accent5" w:themeFillTint="66"/>
            <w:vAlign w:val="center"/>
          </w:tcPr>
          <w:p w14:paraId="3A9B9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282D7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Partial AUC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1CFF7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061A9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sample_equivalence_pauc</w:t>
            </w:r>
          </w:p>
        </w:tc>
      </w:tr>
      <w:tr w14:paraId="59C8B3D0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72839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BDD6EE" w:themeFill="accent5" w:themeFillTint="66"/>
            <w:vAlign w:val="center"/>
          </w:tcPr>
          <w:p w14:paraId="59ACF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5B922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FPR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59D5B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17230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sample_equivalence_restricted_sesp</w:t>
            </w:r>
          </w:p>
        </w:tc>
      </w:tr>
      <w:tr w14:paraId="6844C6D4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5654B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BDD6EE" w:themeFill="accent5" w:themeFillTint="66"/>
            <w:vAlign w:val="center"/>
          </w:tcPr>
          <w:p w14:paraId="14DBB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FFFFFF" w:themeFill="background1"/>
            <w:vAlign w:val="center"/>
          </w:tcPr>
          <w:p w14:paraId="7EB0F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FNR</w:t>
            </w:r>
          </w:p>
        </w:tc>
        <w:tc>
          <w:tcPr>
            <w:tcW w:w="3767" w:type="dxa"/>
            <w:shd w:val="clear" w:color="auto" w:fill="FFFFFF" w:themeFill="background1"/>
            <w:vAlign w:val="center"/>
          </w:tcPr>
          <w:p w14:paraId="3F934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FFFFFF" w:themeFill="background1"/>
            <w:vAlign w:val="center"/>
          </w:tcPr>
          <w:p w14:paraId="116C1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sample_equivalence_restricted_sesp</w:t>
            </w:r>
          </w:p>
        </w:tc>
      </w:tr>
      <w:tr w14:paraId="09E16E93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2AFAE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restart"/>
            <w:shd w:val="clear" w:color="auto" w:fill="FFFFFF" w:themeFill="background1"/>
            <w:vAlign w:val="center"/>
          </w:tcPr>
          <w:p w14:paraId="632D9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Conduct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eastAsia="宋体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eastAsia="zh-CN" w:bidi="ar"/>
              </w:rPr>
              <w:t>n</w:t>
            </w: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on-inferiority</w:t>
            </w: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cs="Arial"/>
                <w:b/>
                <w:bCs w:val="0"/>
                <w:i w:val="0"/>
                <w:color w:val="000000"/>
                <w:kern w:val="0"/>
                <w:sz w:val="16"/>
                <w:szCs w:val="16"/>
                <w:lang w:bidi="ar"/>
              </w:rPr>
              <w:t>testing of diagnostic accuracy between a new test to an existing test</w:t>
            </w: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5F1F7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304AF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36829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sample_non_inferiority_sesp</w:t>
            </w:r>
          </w:p>
        </w:tc>
      </w:tr>
      <w:tr w14:paraId="0E310DAB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595AF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40915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1ED25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Specificity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72E70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Binary (continuous /ordinal dichotomized at a cut-off)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3F3DC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sample_non_inferiority_sesp</w:t>
            </w:r>
          </w:p>
        </w:tc>
      </w:tr>
      <w:tr w14:paraId="40ACB708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4DB69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5BA34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1EAAA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Full AUC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79944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2A22F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sample_non_inferiority_auc</w:t>
            </w:r>
          </w:p>
        </w:tc>
      </w:tr>
      <w:tr w14:paraId="5E53B73A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4AD14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34F39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39615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Partial AUC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7A36B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22C89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sample_non_inferiority_pauc</w:t>
            </w:r>
          </w:p>
        </w:tc>
      </w:tr>
      <w:tr w14:paraId="3225022E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4CA6A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7D8B6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57E23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FPR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33A00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54E96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sample_non_inferiority_restricted_sesp</w:t>
            </w:r>
          </w:p>
        </w:tc>
      </w:tr>
      <w:tr w14:paraId="3313AA4B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DEEBF6" w:themeFill="accent5" w:themeFillTint="32"/>
            <w:vAlign w:val="center"/>
          </w:tcPr>
          <w:p w14:paraId="60383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vMerge w:val="continue"/>
            <w:shd w:val="clear" w:color="auto" w:fill="FFFFFF" w:themeFill="background1"/>
            <w:vAlign w:val="center"/>
          </w:tcPr>
          <w:p w14:paraId="612D4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992" w:type="dxa"/>
            <w:shd w:val="clear" w:color="auto" w:fill="DEEBF6" w:themeFill="accent5" w:themeFillTint="32"/>
            <w:vAlign w:val="center"/>
          </w:tcPr>
          <w:p w14:paraId="7A958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Sensitivity at fixed FNR</w:t>
            </w:r>
          </w:p>
        </w:tc>
        <w:tc>
          <w:tcPr>
            <w:tcW w:w="3767" w:type="dxa"/>
            <w:shd w:val="clear" w:color="auto" w:fill="DEEBF6" w:themeFill="accent5" w:themeFillTint="32"/>
            <w:vAlign w:val="center"/>
          </w:tcPr>
          <w:p w14:paraId="166EC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  <w:lang w:val="en-US" w:eastAsia="zh-CN"/>
              </w:rPr>
              <w:t xml:space="preserve">Continuous or Ordinal  </w:t>
            </w:r>
          </w:p>
        </w:tc>
        <w:tc>
          <w:tcPr>
            <w:tcW w:w="2917" w:type="dxa"/>
            <w:shd w:val="clear" w:color="auto" w:fill="DEEBF6" w:themeFill="accent5" w:themeFillTint="32"/>
            <w:vAlign w:val="center"/>
          </w:tcPr>
          <w:p w14:paraId="18AF3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sample_non_inferiority_restricted_sesp</w:t>
            </w:r>
          </w:p>
        </w:tc>
      </w:tr>
      <w:tr w14:paraId="5F26E028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restart"/>
            <w:shd w:val="clear" w:color="auto" w:fill="FEF2CC" w:themeFill="accent4" w:themeFillTint="32"/>
            <w:vAlign w:val="center"/>
          </w:tcPr>
          <w:p w14:paraId="5B902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auto"/>
                <w:kern w:val="0"/>
                <w:sz w:val="16"/>
                <w:szCs w:val="16"/>
                <w:lang w:bidi="ar"/>
              </w:rPr>
              <w:t>Sample</w:t>
            </w:r>
            <w:r>
              <w:rPr>
                <w:rFonts w:hint="default" w:ascii="Arial" w:hAnsi="Arial" w:cs="Arial"/>
                <w:b/>
                <w:bCs w:val="0"/>
                <w:i w:val="0"/>
                <w:color w:val="auto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cs="Arial"/>
                <w:b/>
                <w:bCs w:val="0"/>
                <w:i w:val="0"/>
                <w:color w:val="auto"/>
                <w:kern w:val="0"/>
                <w:sz w:val="16"/>
                <w:szCs w:val="16"/>
                <w:lang w:bidi="ar"/>
              </w:rPr>
              <w:t>size adjustment</w:t>
            </w:r>
          </w:p>
        </w:tc>
        <w:tc>
          <w:tcPr>
            <w:tcW w:w="2787" w:type="dxa"/>
            <w:shd w:val="clear" w:color="auto" w:fill="FFE599" w:themeFill="accent4" w:themeFillTint="66"/>
            <w:vAlign w:val="center"/>
          </w:tcPr>
          <w:p w14:paraId="5C527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auto"/>
                <w:kern w:val="0"/>
                <w:sz w:val="16"/>
                <w:szCs w:val="16"/>
                <w:lang w:bidi="ar"/>
              </w:rPr>
              <w:t>Adjust sample size for prospective designs</w:t>
            </w:r>
          </w:p>
        </w:tc>
        <w:tc>
          <w:tcPr>
            <w:tcW w:w="2992" w:type="dxa"/>
            <w:shd w:val="clear" w:color="auto" w:fill="FFFFFF"/>
            <w:vAlign w:val="center"/>
          </w:tcPr>
          <w:p w14:paraId="64CBA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</w:rPr>
              <w:t>—</w:t>
            </w:r>
          </w:p>
        </w:tc>
        <w:tc>
          <w:tcPr>
            <w:tcW w:w="3767" w:type="dxa"/>
            <w:shd w:val="clear" w:color="auto" w:fill="FFFFFF"/>
            <w:vAlign w:val="center"/>
          </w:tcPr>
          <w:p w14:paraId="79C19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</w:rPr>
              <w:t>—</w:t>
            </w:r>
          </w:p>
        </w:tc>
        <w:tc>
          <w:tcPr>
            <w:tcW w:w="2917" w:type="dxa"/>
            <w:shd w:val="clear" w:color="auto" w:fill="FFFFFF"/>
            <w:vAlign w:val="center"/>
          </w:tcPr>
          <w:p w14:paraId="4558D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adjust_by_disease_prevalence</w:t>
            </w:r>
          </w:p>
        </w:tc>
      </w:tr>
      <w:tr w14:paraId="6A27B384">
        <w:tblPrEx>
          <w:tblBorders>
            <w:top w:val="single" w:color="A4A4A4" w:sz="4" w:space="0"/>
            <w:left w:val="single" w:color="A4A4A4" w:sz="4" w:space="0"/>
            <w:bottom w:val="single" w:color="A4A4A4" w:sz="4" w:space="0"/>
            <w:right w:val="single" w:color="A4A4A4" w:sz="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vMerge w:val="continue"/>
            <w:shd w:val="clear" w:color="auto" w:fill="FEF2CC" w:themeFill="accent4" w:themeFillTint="32"/>
          </w:tcPr>
          <w:p w14:paraId="4C24E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8090C"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2787" w:type="dxa"/>
            <w:shd w:val="clear" w:color="auto" w:fill="FFFFFF" w:themeFill="background1"/>
            <w:vAlign w:val="center"/>
          </w:tcPr>
          <w:p w14:paraId="7D764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auto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i w:val="0"/>
                <w:color w:val="auto"/>
                <w:kern w:val="0"/>
                <w:sz w:val="16"/>
                <w:szCs w:val="16"/>
                <w:lang w:bidi="ar"/>
              </w:rPr>
              <w:t>Adjust sample size for clustered data</w:t>
            </w:r>
          </w:p>
        </w:tc>
        <w:tc>
          <w:tcPr>
            <w:tcW w:w="2992" w:type="dxa"/>
            <w:shd w:val="clear" w:color="auto" w:fill="FEF2CC" w:themeFill="accent4" w:themeFillTint="32"/>
            <w:vAlign w:val="center"/>
          </w:tcPr>
          <w:p w14:paraId="69BBC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</w:rPr>
              <w:t>—</w:t>
            </w:r>
          </w:p>
        </w:tc>
        <w:tc>
          <w:tcPr>
            <w:tcW w:w="3767" w:type="dxa"/>
            <w:shd w:val="clear" w:color="auto" w:fill="FEF2CC" w:themeFill="accent4" w:themeFillTint="32"/>
            <w:vAlign w:val="center"/>
          </w:tcPr>
          <w:p w14:paraId="06FCD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 w:val="0"/>
                <w:i w:val="0"/>
                <w:color w:val="auto"/>
                <w:sz w:val="16"/>
                <w:szCs w:val="16"/>
              </w:rPr>
              <w:t>—</w:t>
            </w:r>
          </w:p>
        </w:tc>
        <w:tc>
          <w:tcPr>
            <w:tcW w:w="2917" w:type="dxa"/>
            <w:shd w:val="clear" w:color="auto" w:fill="FEF2CC" w:themeFill="accent4" w:themeFillTint="32"/>
            <w:vAlign w:val="center"/>
          </w:tcPr>
          <w:p w14:paraId="1DF02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left"/>
              <w:textAlignment w:val="auto"/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 w:val="0"/>
                <w:i w:val="0"/>
                <w:color w:val="000000"/>
                <w:sz w:val="16"/>
                <w:szCs w:val="16"/>
                <w:vertAlign w:val="baseline"/>
                <w:lang w:val="en-US" w:eastAsia="zh-CN"/>
              </w:rPr>
              <w:t>adjust_for_cluster_data</w:t>
            </w:r>
          </w:p>
        </w:tc>
      </w:tr>
    </w:tbl>
    <w:p w14:paraId="19B23E4D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BC5"/>
    <w:rsid w:val="002238BF"/>
    <w:rsid w:val="003640E5"/>
    <w:rsid w:val="003E6A04"/>
    <w:rsid w:val="00691BC5"/>
    <w:rsid w:val="00AD3DAD"/>
    <w:rsid w:val="00B37F95"/>
    <w:rsid w:val="00D5100A"/>
    <w:rsid w:val="00F2335D"/>
    <w:rsid w:val="00F33C1F"/>
    <w:rsid w:val="00F907CF"/>
    <w:rsid w:val="00F91665"/>
    <w:rsid w:val="01884333"/>
    <w:rsid w:val="07B264E2"/>
    <w:rsid w:val="0A481E7F"/>
    <w:rsid w:val="0B753148"/>
    <w:rsid w:val="0E1B7FD7"/>
    <w:rsid w:val="116F23E8"/>
    <w:rsid w:val="14433315"/>
    <w:rsid w:val="1A0077F5"/>
    <w:rsid w:val="1BC05D1A"/>
    <w:rsid w:val="1DCC7A34"/>
    <w:rsid w:val="1E0D6333"/>
    <w:rsid w:val="23645B24"/>
    <w:rsid w:val="298760C9"/>
    <w:rsid w:val="2C6E17C2"/>
    <w:rsid w:val="2E513149"/>
    <w:rsid w:val="2FF74F06"/>
    <w:rsid w:val="30F54260"/>
    <w:rsid w:val="33C65114"/>
    <w:rsid w:val="34A2025B"/>
    <w:rsid w:val="38E726E0"/>
    <w:rsid w:val="3AF15A98"/>
    <w:rsid w:val="40EA5463"/>
    <w:rsid w:val="41285F8B"/>
    <w:rsid w:val="469A3487"/>
    <w:rsid w:val="482A4397"/>
    <w:rsid w:val="49172B6D"/>
    <w:rsid w:val="49725F13"/>
    <w:rsid w:val="4ADA4156"/>
    <w:rsid w:val="4C9C3301"/>
    <w:rsid w:val="4D16175C"/>
    <w:rsid w:val="57E427B4"/>
    <w:rsid w:val="58F57E49"/>
    <w:rsid w:val="5D4810F0"/>
    <w:rsid w:val="673364B8"/>
    <w:rsid w:val="719C15B2"/>
    <w:rsid w:val="72A9042B"/>
    <w:rsid w:val="77DA3CB5"/>
    <w:rsid w:val="784B1612"/>
    <w:rsid w:val="7ADD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</Words>
  <Characters>25</Characters>
  <Lines>19</Lines>
  <Paragraphs>5</Paragraphs>
  <TotalTime>2</TotalTime>
  <ScaleCrop>false</ScaleCrop>
  <LinksUpToDate>false</LinksUpToDate>
  <CharactersWithSpaces>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2024-11-12T03:03:00Z</dcterms:created>
  <dc:creator>嘉兴 李</dc:creator>
  <cp:lastModifiedBy>xinya</cp:lastModifiedBy>
  <dcterms:modified xsi:type="dcterms:W3CDTF">2026-01-05T10:36:17Z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eyJoZGlkIjoiZTBhNDJkN2VlYjQyZmVkMTZlMTEyMjc0MGRhMWJmOWEiLCJ1c2VySWQiOiIyNjg4NzU1ODEifQ==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9961C8A1D93543798A337F5C47AF7633_12</vt:lpwstr>
  </property>
</Properties>
</file>