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lang w:eastAsia="en-US"/>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lang w:eastAsia="en-US"/>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Pr="00011E66" w:rsidRDefault="00C42976" w:rsidP="00011E66">
      <w:pPr>
        <w:pStyle w:val="ListParagraph"/>
        <w:numPr>
          <w:ilvl w:val="0"/>
          <w:numId w:val="3"/>
        </w:numPr>
        <w:spacing w:before="200"/>
        <w:ind w:left="450" w:hanging="180"/>
        <w:jc w:val="both"/>
        <w:rPr>
          <w:rFonts w:asciiTheme="majorHAnsi" w:hAnsiTheme="majorHAnsi"/>
          <w:b/>
          <w:i/>
          <w:color w:val="00B0F0"/>
          <w:sz w:val="26"/>
          <w:szCs w:val="26"/>
        </w:rPr>
      </w:pPr>
      <w:r w:rsidRPr="00011E66">
        <w:rPr>
          <w:rFonts w:asciiTheme="majorHAnsi" w:hAnsiTheme="majorHAnsi"/>
          <w:b/>
          <w:i/>
          <w:color w:val="00B0F0"/>
          <w:sz w:val="26"/>
          <w:szCs w:val="26"/>
        </w:rPr>
        <w:lastRenderedPageBreak/>
        <w:t>Historical Market Downturn Triggers</w:t>
      </w: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C75FC2" w:rsidRPr="00BD7197"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B143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t xml:space="preserve">A working paper from European Central Bank found that major transmission channels of the euro debt crisis to countries outside Eurozone were trade and economic links, while the financial channel turned out to be weak. 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 </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Pr="003816A4" w:rsidRDefault="006E4869" w:rsidP="006E4869">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when the Fed fought high inflation with tightening monetary policy provided a favorable environment for </w:t>
      </w:r>
      <w:r w:rsidR="00F8398E" w:rsidRPr="00BD7197">
        <w:rPr>
          <w:rFonts w:asciiTheme="majorHAnsi" w:hAnsiTheme="majorHAnsi"/>
          <w:sz w:val="20"/>
        </w:rPr>
        <w:lastRenderedPageBreak/>
        <w:t xml:space="preserve">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investment brokerages and other financial businesses, regulations on CDS trading being relaxed the same year, in 2004 the Securities and Exchange Commission’s removed the leverage limit for companies with larger than 5 Billion assets, and therefore top banks usually used thirty times leverage rather than twelve as </w:t>
      </w:r>
      <w:r>
        <w:rPr>
          <w:rFonts w:asciiTheme="majorHAnsi" w:hAnsiTheme="majorHAnsi"/>
          <w:sz w:val="20"/>
        </w:rPr>
        <w:t xml:space="preserve">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 xml:space="preserve">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w:t>
      </w:r>
      <w:proofErr w:type="spellStart"/>
      <w:r>
        <w:rPr>
          <w:rFonts w:asciiTheme="majorHAnsi" w:hAnsiTheme="majorHAnsi"/>
          <w:sz w:val="20"/>
        </w:rPr>
        <w:t>compar</w:t>
      </w:r>
      <w:proofErr w:type="spellEnd"/>
      <w:proofErr w:type="gramStart"/>
      <w:r w:rsidR="00343948">
        <w:rPr>
          <w:rFonts w:asciiTheme="majorHAnsi" w:hAnsiTheme="majorHAnsi"/>
          <w:sz w:val="20"/>
        </w:rPr>
        <w:t>]</w:t>
      </w:r>
      <w:proofErr w:type="spellStart"/>
      <w:r>
        <w:rPr>
          <w:rFonts w:asciiTheme="majorHAnsi" w:hAnsiTheme="majorHAnsi"/>
          <w:sz w:val="20"/>
        </w:rPr>
        <w:t>ed</w:t>
      </w:r>
      <w:proofErr w:type="spellEnd"/>
      <w:proofErr w:type="gramEnd"/>
      <w:r>
        <w:rPr>
          <w:rFonts w:asciiTheme="majorHAnsi" w:hAnsiTheme="majorHAnsi"/>
          <w:sz w:val="20"/>
        </w:rPr>
        <w:t xml:space="preserve">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was rebuilt and the 2008 stock market crash was finally ended in July of 2009.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w:t>
      </w:r>
      <w:r w:rsidR="00AA3456">
        <w:rPr>
          <w:rFonts w:asciiTheme="majorHAnsi" w:hAnsiTheme="majorHAnsi"/>
          <w:sz w:val="20"/>
        </w:rPr>
        <w:lastRenderedPageBreak/>
        <w:t>Debt Crisis, the demand for Swiss Franc continued to increase, putting a strong pressure on Switzerland’s export, which contributed to more than 70% of Switzerland’s GDP in 201</w:t>
      </w:r>
      <w:r w:rsidR="007D2242">
        <w:rPr>
          <w:rFonts w:asciiTheme="majorHAnsi" w:hAnsiTheme="majorHAnsi"/>
          <w:sz w:val="20"/>
        </w:rPr>
        <w:t>3. Switzerland decided to peg Swiss Franc</w:t>
      </w:r>
      <w:r w:rsidR="00AA3456">
        <w:rPr>
          <w:rFonts w:asciiTheme="majorHAnsi" w:hAnsiTheme="majorHAnsi"/>
          <w:sz w:val="20"/>
        </w:rPr>
        <w:t xml:space="preserve">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7D2242">
        <w:rPr>
          <w:rFonts w:asciiTheme="majorHAnsi" w:hAnsiTheme="majorHAnsi"/>
          <w:sz w:val="20"/>
        </w:rPr>
        <w:t>,</w:t>
      </w:r>
      <w:r w:rsidR="00D01C7C">
        <w:rPr>
          <w:rFonts w:asciiTheme="majorHAnsi" w:hAnsiTheme="majorHAnsi"/>
          <w:sz w:val="20"/>
        </w:rPr>
        <w:t xml:space="preserve"> as well as</w:t>
      </w:r>
      <w:r w:rsidR="007D2242">
        <w:rPr>
          <w:rFonts w:asciiTheme="majorHAnsi" w:hAnsiTheme="majorHAnsi"/>
          <w:sz w:val="20"/>
        </w:rPr>
        <w:t xml:space="preserve"> risks brought by</w:t>
      </w:r>
      <w:r w:rsidR="00D01C7C">
        <w:rPr>
          <w:rFonts w:asciiTheme="majorHAnsi" w:hAnsiTheme="majorHAnsi"/>
          <w:sz w:val="20"/>
        </w:rPr>
        <w:t xml:space="preserve">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 xml:space="preserve">A working paper by the Bank of England found that </w:t>
      </w:r>
      <w:r w:rsidR="007D2242">
        <w:rPr>
          <w:rFonts w:asciiTheme="majorHAnsi" w:hAnsiTheme="majorHAnsi"/>
          <w:sz w:val="20"/>
        </w:rPr>
        <w:t xml:space="preserve">during the Swiss Franc crisis, </w:t>
      </w:r>
      <w:r w:rsidR="002006B3">
        <w:rPr>
          <w:rFonts w:asciiTheme="majorHAnsi" w:hAnsiTheme="majorHAnsi"/>
          <w:sz w:val="20"/>
        </w:rPr>
        <w:t>computerized algorithmic (</w:t>
      </w:r>
      <w:proofErr w:type="spellStart"/>
      <w:r w:rsidR="002006B3">
        <w:rPr>
          <w:rFonts w:asciiTheme="majorHAnsi" w:hAnsiTheme="majorHAnsi"/>
          <w:sz w:val="20"/>
        </w:rPr>
        <w:t>Algo</w:t>
      </w:r>
      <w:proofErr w:type="spellEnd"/>
      <w:r w:rsidR="002006B3">
        <w:rPr>
          <w:rFonts w:asciiTheme="majorHAnsi" w:hAnsiTheme="majorHAnsi"/>
          <w:sz w:val="20"/>
        </w:rPr>
        <w:t xml:space="preserve">) trading consumed liquidity and reinforced the price disruption in Swiss Franc currency pairs while the human traders did the opposite.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 xml:space="preserve">igures of earnings and returns in 2014Q4 and reported huge </w:t>
      </w:r>
      <w:r w:rsidR="007D2242">
        <w:rPr>
          <w:rFonts w:asciiTheme="majorHAnsi" w:hAnsiTheme="majorHAnsi"/>
          <w:sz w:val="20"/>
        </w:rPr>
        <w:t>losses through the Swiss Franc c</w:t>
      </w:r>
      <w:r w:rsidR="008A56C9">
        <w:rPr>
          <w:rFonts w:asciiTheme="majorHAnsi" w:hAnsiTheme="majorHAnsi"/>
          <w:sz w:val="20"/>
        </w:rPr>
        <w:t>risis.</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w:t>
      </w:r>
      <w:r w:rsidRPr="00BD7197">
        <w:rPr>
          <w:rFonts w:asciiTheme="majorHAnsi" w:hAnsiTheme="majorHAnsi"/>
          <w:sz w:val="20"/>
        </w:rPr>
        <w:t xml:space="preserve">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3816A4" w:rsidRPr="003816A4" w:rsidRDefault="003816A4" w:rsidP="003816A4">
      <w:pPr>
        <w:jc w:val="both"/>
        <w:rPr>
          <w:rFonts w:asciiTheme="majorHAnsi" w:hAnsiTheme="majorHAnsi"/>
          <w:b/>
          <w:i/>
          <w:sz w:val="20"/>
        </w:rPr>
      </w:pPr>
      <w:r w:rsidRPr="003816A4">
        <w:rPr>
          <w:rFonts w:asciiTheme="majorHAnsi" w:hAnsiTheme="majorHAnsi"/>
          <w:b/>
          <w:i/>
          <w:sz w:val="20"/>
          <w:u w:val="double"/>
        </w:rPr>
        <w:lastRenderedPageBreak/>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3816A4" w:rsidRPr="00BD7197" w:rsidRDefault="003816A4" w:rsidP="003816A4">
      <w:pPr>
        <w:jc w:val="both"/>
        <w:rPr>
          <w:rFonts w:asciiTheme="majorHAnsi" w:hAnsiTheme="majorHAnsi"/>
          <w:sz w:val="20"/>
        </w:rPr>
      </w:pPr>
      <w:r>
        <w:rPr>
          <w:rFonts w:asciiTheme="majorHAnsi" w:hAnsiTheme="majorHAnsi"/>
          <w:sz w:val="20"/>
        </w:rPr>
        <w:t>&lt;S&amp;P 500, DJIA, airline/insurance/defense/military industry&gt;</w:t>
      </w:r>
    </w:p>
    <w:p w:rsidR="00AF7061" w:rsidRPr="00BD7197" w:rsidRDefault="00AF7061" w:rsidP="003816A4">
      <w:pPr>
        <w:jc w:val="both"/>
        <w:rPr>
          <w:rFonts w:asciiTheme="majorHAnsi" w:hAnsiTheme="majorHAnsi"/>
          <w:sz w:val="20"/>
        </w:rPr>
      </w:pPr>
    </w:p>
    <w:p w:rsidR="00AF7061" w:rsidRDefault="00252F36" w:rsidP="003816A4">
      <w:pPr>
        <w:jc w:val="both"/>
      </w:pPr>
      <w:hyperlink r:id="rId8" w:history="1">
        <w:r w:rsidR="002006B3">
          <w:rPr>
            <w:rStyle w:val="Hyperlink"/>
          </w:rPr>
          <w:t>https://www.bankofengland.co.uk/-/media/boe/files/working-paper/2018/judgement-day-algorithmic-trading-around-the-swiss-franc-cap-removal.pdf?la=en&amp;hash=5E965E36678B2945FC099BBCB8C25A9604D29A8C&amp;lipi=urn%3Ali%3Apage%3Ad_flagship3_feed%3BOjyZlCsTSiq%2BafJe5UxXZQ%3D%3D</w:t>
        </w:r>
      </w:hyperlink>
    </w:p>
    <w:p w:rsidR="002006B3" w:rsidRDefault="00252F36" w:rsidP="003816A4">
      <w:pPr>
        <w:jc w:val="both"/>
      </w:pPr>
      <w:hyperlink r:id="rId9" w:history="1">
        <w:r w:rsidR="00273BF7">
          <w:rPr>
            <w:rStyle w:val="Hyperlink"/>
          </w:rPr>
          <w:t>https://www.ecb.europa.eu/pub/pdf/scpwps/ecbwp1573.pdf?40ae3304b4924411e5ee781637bcfc3d</w:t>
        </w:r>
      </w:hyperlink>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Pr="00BD7197" w:rsidRDefault="004C37AA"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Pr="00BD7197" w:rsidRDefault="00011E66" w:rsidP="003816A4">
      <w:pPr>
        <w:jc w:val="both"/>
        <w:rPr>
          <w:rFonts w:asciiTheme="majorHAnsi" w:hAnsiTheme="majorHAnsi"/>
          <w:sz w:val="20"/>
        </w:rPr>
      </w:pPr>
    </w:p>
    <w:p w:rsidR="00BE7D60" w:rsidRPr="00011E66" w:rsidRDefault="006E4869" w:rsidP="00011E66">
      <w:pPr>
        <w:pStyle w:val="ListParagraph"/>
        <w:numPr>
          <w:ilvl w:val="0"/>
          <w:numId w:val="3"/>
        </w:numPr>
        <w:ind w:left="540" w:hanging="180"/>
        <w:jc w:val="both"/>
        <w:rPr>
          <w:rFonts w:asciiTheme="majorHAnsi" w:hAnsiTheme="majorHAnsi"/>
          <w:b/>
          <w:i/>
          <w:color w:val="00B0F0"/>
          <w:sz w:val="26"/>
          <w:szCs w:val="26"/>
        </w:rPr>
      </w:pPr>
      <w:proofErr w:type="spellStart"/>
      <w:r w:rsidRPr="00011E66">
        <w:rPr>
          <w:rFonts w:asciiTheme="majorHAnsi" w:hAnsiTheme="majorHAnsi"/>
          <w:b/>
          <w:i/>
          <w:color w:val="00B0F0"/>
          <w:sz w:val="26"/>
          <w:szCs w:val="26"/>
        </w:rPr>
        <w:lastRenderedPageBreak/>
        <w:t>Fama</w:t>
      </w:r>
      <w:proofErr w:type="spellEnd"/>
      <w:r w:rsidRPr="00011E66">
        <w:rPr>
          <w:rFonts w:asciiTheme="majorHAnsi" w:hAnsiTheme="majorHAnsi"/>
          <w:b/>
          <w:i/>
          <w:color w:val="00B0F0"/>
          <w:sz w:val="26"/>
          <w:szCs w:val="26"/>
        </w:rPr>
        <w:t xml:space="preserve"> and French </w:t>
      </w:r>
      <w:r w:rsidR="002112AA" w:rsidRPr="00011E66">
        <w:rPr>
          <w:rFonts w:asciiTheme="majorHAnsi" w:hAnsiTheme="majorHAnsi"/>
          <w:b/>
          <w:i/>
          <w:color w:val="00B0F0"/>
          <w:sz w:val="26"/>
          <w:szCs w:val="26"/>
        </w:rPr>
        <w:t>Five Factor Model</w:t>
      </w:r>
    </w:p>
    <w:p w:rsidR="00BE7D60" w:rsidRPr="00BE7D60" w:rsidRDefault="00BE7D60" w:rsidP="00BE7D60">
      <w:pPr>
        <w:pStyle w:val="ListParagraph"/>
        <w:jc w:val="both"/>
        <w:rPr>
          <w:rFonts w:asciiTheme="majorHAnsi" w:hAnsiTheme="majorHAnsi"/>
          <w:b/>
          <w:i/>
          <w:color w:val="00B0F0"/>
        </w:rPr>
      </w:pPr>
    </w:p>
    <w:p w:rsidR="00021429"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Introduction of Five Factor Model</w:t>
      </w:r>
    </w:p>
    <w:p w:rsidR="00BE7D60" w:rsidRDefault="00BE7D60" w:rsidP="00BE7D60">
      <w:pPr>
        <w:pStyle w:val="ListParagraph"/>
        <w:ind w:left="360"/>
        <w:jc w:val="both"/>
        <w:rPr>
          <w:rFonts w:asciiTheme="majorHAnsi" w:hAnsiTheme="majorHAnsi"/>
          <w:noProof/>
          <w:sz w:val="20"/>
          <w:lang w:eastAsia="en-US"/>
        </w:rPr>
      </w:pPr>
    </w:p>
    <w:p w:rsidR="00196AC0" w:rsidRPr="00011E66" w:rsidRDefault="00196AC0"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 xml:space="preserve">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 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t>
      </w:r>
      <w:r w:rsidR="00175D83">
        <w:rPr>
          <w:rFonts w:asciiTheme="majorHAnsi" w:hAnsiTheme="majorHAnsi"/>
          <w:noProof/>
          <w:sz w:val="20"/>
          <w:lang w:eastAsia="en-US"/>
        </w:rPr>
        <w:t>with</w:t>
      </w:r>
      <w:r>
        <w:rPr>
          <w:rFonts w:asciiTheme="majorHAnsi" w:hAnsiTheme="majorHAnsi"/>
          <w:noProof/>
          <w:sz w:val="20"/>
          <w:lang w:eastAsia="en-US"/>
        </w:rPr>
        <w:t xml:space="preserve">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(126 data points), and with monthly data we used a 10-year rolling window (120 data points).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7D2242" w:rsidRDefault="00021429" w:rsidP="006E4869">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lang w:eastAsia="en-US"/>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w:t>
      </w:r>
      <w:r w:rsidR="003C189A">
        <w:rPr>
          <w:rFonts w:asciiTheme="majorHAnsi" w:hAnsiTheme="majorHAnsi"/>
          <w:sz w:val="20"/>
        </w:rPr>
        <w:t>with</w:t>
      </w:r>
      <w:r>
        <w:rPr>
          <w:rFonts w:asciiTheme="majorHAnsi" w:hAnsiTheme="majorHAnsi"/>
          <w:sz w:val="20"/>
        </w:rPr>
        <w:t xml:space="preserve"> different size cuts and data frequency, we did regressions with </w:t>
      </w:r>
      <w:r w:rsidR="00EA5C63">
        <w:rPr>
          <w:rFonts w:asciiTheme="majorHAnsi" w:hAnsiTheme="majorHAnsi"/>
          <w:sz w:val="20"/>
        </w:rPr>
        <w:t xml:space="preserve">portfolios that cut the </w:t>
      </w:r>
      <w:r w:rsidR="003C189A">
        <w:rPr>
          <w:rFonts w:asciiTheme="majorHAnsi" w:hAnsiTheme="majorHAnsi"/>
          <w:sz w:val="20"/>
        </w:rPr>
        <w:t xml:space="preserve">equity </w:t>
      </w:r>
      <w:r w:rsidR="00EA5C63">
        <w:rPr>
          <w:rFonts w:asciiTheme="majorHAnsi" w:hAnsiTheme="majorHAnsi"/>
          <w:sz w:val="20"/>
        </w:rPr>
        <w:t xml:space="preserve">universe into 3 and 5 and 10 </w:t>
      </w:r>
      <w:r w:rsidR="003C189A">
        <w:rPr>
          <w:rFonts w:asciiTheme="majorHAnsi" w:hAnsiTheme="majorHAnsi"/>
          <w:sz w:val="20"/>
        </w:rPr>
        <w:t xml:space="preserve">baskets </w:t>
      </w:r>
      <w:r w:rsidR="00EA5C63">
        <w:rPr>
          <w:rFonts w:asciiTheme="majorHAnsi" w:hAnsiTheme="majorHAnsi"/>
          <w:sz w:val="20"/>
        </w:rPr>
        <w:t>based on market capitalization (size portfolios) and</w:t>
      </w:r>
      <w:r w:rsidR="003C189A">
        <w:rPr>
          <w:rFonts w:asciiTheme="majorHAnsi" w:hAnsiTheme="majorHAnsi"/>
          <w:sz w:val="20"/>
        </w:rPr>
        <w:t xml:space="preserve"> regressed</w:t>
      </w:r>
      <w:r w:rsidR="00EA5C63">
        <w:rPr>
          <w:rFonts w:asciiTheme="majorHAnsi" w:hAnsiTheme="majorHAnsi"/>
          <w:sz w:val="20"/>
        </w:rPr>
        <w:t xml:space="preserve"> each portfolio</w:t>
      </w:r>
      <w:r w:rsidR="003C189A">
        <w:rPr>
          <w:rFonts w:asciiTheme="majorHAnsi" w:hAnsiTheme="majorHAnsi"/>
          <w:sz w:val="20"/>
        </w:rPr>
        <w:t>’s</w:t>
      </w:r>
      <w:r w:rsidR="00EA5C63">
        <w:rPr>
          <w:rFonts w:asciiTheme="majorHAnsi" w:hAnsiTheme="majorHAnsi"/>
          <w:sz w:val="20"/>
        </w:rPr>
        <w:t xml:space="preserve"> daily returns </w:t>
      </w:r>
      <w:r w:rsidR="003C189A">
        <w:rPr>
          <w:rFonts w:asciiTheme="majorHAnsi" w:hAnsiTheme="majorHAnsi"/>
          <w:sz w:val="20"/>
        </w:rPr>
        <w:t>and monthly returns on the five factors</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3C189A">
        <w:rPr>
          <w:rFonts w:asciiTheme="majorHAnsi" w:hAnsiTheme="majorHAnsi"/>
          <w:sz w:val="20"/>
        </w:rPr>
        <w:t>groups</w:t>
      </w:r>
      <w:r w:rsidR="006E4869">
        <w:rPr>
          <w:rFonts w:asciiTheme="majorHAnsi" w:hAnsiTheme="majorHAnsi"/>
          <w:sz w:val="20"/>
        </w:rPr>
        <w:t xml:space="preserv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 each type of regressions.</w:t>
      </w:r>
    </w:p>
    <w:tbl>
      <w:tblPr>
        <w:tblStyle w:val="TableGrid"/>
        <w:tblW w:w="0" w:type="auto"/>
        <w:tblBorders>
          <w:top w:val="dashSmallGap" w:sz="4" w:space="0" w:color="auto"/>
          <w:left w:val="dashSmallGap"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tblGrid>
      <w:tr w:rsidR="004C37AA" w:rsidTr="004C37AA">
        <w:tc>
          <w:tcPr>
            <w:tcW w:w="4787" w:type="dxa"/>
          </w:tcPr>
          <w:p w:rsidR="004C37AA" w:rsidRPr="004C37AA" w:rsidRDefault="004C37AA" w:rsidP="008631FC">
            <w:pPr>
              <w:jc w:val="both"/>
              <w:rPr>
                <w:rFonts w:asciiTheme="majorHAnsi" w:hAnsiTheme="majorHAnsi"/>
                <w:i/>
                <w:sz w:val="20"/>
              </w:rPr>
            </w:pPr>
            <w:r w:rsidRPr="004C37AA">
              <w:rPr>
                <w:rFonts w:asciiTheme="majorHAnsi" w:hAnsiTheme="majorHAnsi"/>
                <w:i/>
                <w:sz w:val="18"/>
              </w:rPr>
              <w:t xml:space="preserve">Figure n: </w:t>
            </w:r>
            <m:oMath>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w:r w:rsidRPr="004C37AA">
              <w:rPr>
                <w:rFonts w:asciiTheme="majorHAnsi" w:hAnsiTheme="majorHAnsi"/>
                <w:i/>
                <w:sz w:val="18"/>
              </w:rPr>
              <w:t>of Time-series regressions in Five Factor Model</w:t>
            </w:r>
          </w:p>
        </w:tc>
      </w:tr>
    </w:tbl>
    <w:p w:rsidR="00002422" w:rsidRDefault="00002422" w:rsidP="008631FC">
      <w:pPr>
        <w:jc w:val="both"/>
        <w:rPr>
          <w:rFonts w:asciiTheme="majorHAnsi" w:hAnsiTheme="majorHAnsi"/>
          <w:sz w:val="20"/>
        </w:rPr>
      </w:pPr>
      <w:r>
        <w:rPr>
          <w:noProof/>
          <w:lang w:eastAsia="en-US"/>
        </w:rPr>
        <w:drawing>
          <wp:inline distT="0" distB="0" distL="0" distR="0">
            <wp:extent cx="4086970" cy="990437"/>
            <wp:effectExtent l="0" t="0" r="0" b="635"/>
            <wp:docPr id="13" name="Picture 13" descr="http://localhost:8888/files/R%20Square%20of%20Dai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files/R%20Square%20of%20Daily%20Return%20by%20Portfolio.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78"/>
                    <a:stretch/>
                  </pic:blipFill>
                  <pic:spPr bwMode="auto">
                    <a:xfrm>
                      <a:off x="0" y="0"/>
                      <a:ext cx="4089241" cy="990987"/>
                    </a:xfrm>
                    <a:prstGeom prst="rect">
                      <a:avLst/>
                    </a:prstGeom>
                    <a:noFill/>
                    <a:ln>
                      <a:noFill/>
                    </a:ln>
                    <a:extLst>
                      <a:ext uri="{53640926-AAD7-44D8-BBD7-CCE9431645EC}">
                        <a14:shadowObscured xmlns:a14="http://schemas.microsoft.com/office/drawing/2010/main"/>
                      </a:ext>
                    </a:extLst>
                  </pic:spPr>
                </pic:pic>
              </a:graphicData>
            </a:graphic>
          </wp:inline>
        </w:drawing>
      </w:r>
    </w:p>
    <w:p w:rsidR="00B952B5" w:rsidRPr="00B952B5" w:rsidRDefault="00002422" w:rsidP="00B952B5">
      <w:pPr>
        <w:jc w:val="both"/>
        <w:rPr>
          <w:rFonts w:asciiTheme="majorHAnsi" w:hAnsiTheme="majorHAnsi"/>
          <w:sz w:val="20"/>
        </w:rPr>
      </w:pPr>
      <w:r>
        <w:rPr>
          <w:noProof/>
          <w:lang w:eastAsia="en-US"/>
        </w:rPr>
        <w:drawing>
          <wp:inline distT="0" distB="0" distL="0" distR="0">
            <wp:extent cx="3649648" cy="957468"/>
            <wp:effectExtent l="0" t="0" r="0" b="0"/>
            <wp:docPr id="14" name="Picture 14" descr="http://localhost:8888/files/R%20Square%20of%20Month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files/R%20Square%20of%20Monthly%20Return%20by%20Portfoli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314" r="8050"/>
                    <a:stretch/>
                  </pic:blipFill>
                  <pic:spPr bwMode="auto">
                    <a:xfrm>
                      <a:off x="0" y="0"/>
                      <a:ext cx="3652273" cy="958157"/>
                    </a:xfrm>
                    <a:prstGeom prst="rect">
                      <a:avLst/>
                    </a:prstGeom>
                    <a:noFill/>
                    <a:ln>
                      <a:noFill/>
                    </a:ln>
                    <a:extLst>
                      <a:ext uri="{53640926-AAD7-44D8-BBD7-CCE9431645EC}">
                        <a14:shadowObscured xmlns:a14="http://schemas.microsoft.com/office/drawing/2010/main"/>
                      </a:ext>
                    </a:extLst>
                  </pic:spPr>
                </pic:pic>
              </a:graphicData>
            </a:graphic>
          </wp:inline>
        </w:drawing>
      </w:r>
    </w:p>
    <w:p w:rsidR="00E20221" w:rsidRDefault="00E20221" w:rsidP="006D5D8F">
      <w:pPr>
        <w:pStyle w:val="ListParagraph"/>
        <w:numPr>
          <w:ilvl w:val="0"/>
          <w:numId w:val="5"/>
        </w:numPr>
        <w:jc w:val="both"/>
        <w:rPr>
          <w:rFonts w:asciiTheme="majorHAnsi" w:hAnsiTheme="majorHAnsi"/>
          <w:sz w:val="20"/>
          <w:u w:val="single"/>
        </w:rPr>
      </w:pPr>
      <w:r>
        <w:rPr>
          <w:rFonts w:asciiTheme="majorHAnsi" w:hAnsiTheme="majorHAnsi"/>
          <w:sz w:val="20"/>
        </w:rPr>
        <w:lastRenderedPageBreak/>
        <w:t xml:space="preserve">The five factor model explains the market better with monthly data than </w:t>
      </w:r>
      <w:r w:rsidR="00175D83">
        <w:rPr>
          <w:rFonts w:asciiTheme="majorHAnsi" w:hAnsiTheme="majorHAnsi"/>
          <w:sz w:val="20"/>
        </w:rPr>
        <w:t xml:space="preserve">with </w:t>
      </w:r>
      <w:r>
        <w:rPr>
          <w:rFonts w:asciiTheme="majorHAnsi" w:hAnsiTheme="majorHAnsi"/>
          <w:sz w:val="20"/>
        </w:rPr>
        <w:t xml:space="preserve">daily data. This observation holds for all time periods and all portfolio cuts. This is intuitive, as monthly data </w:t>
      </w:r>
      <w:r w:rsidR="00175D83">
        <w:rPr>
          <w:rFonts w:asciiTheme="majorHAnsi" w:hAnsiTheme="majorHAnsi"/>
          <w:sz w:val="20"/>
        </w:rPr>
        <w:t>by its nature digests</w:t>
      </w:r>
      <w:r>
        <w:rPr>
          <w:rFonts w:asciiTheme="majorHAnsi" w:hAnsiTheme="majorHAnsi"/>
          <w:sz w:val="20"/>
        </w:rPr>
        <w:t xml:space="preserve"> more noise than daily data does.</w:t>
      </w:r>
      <w:r w:rsidR="00F67253">
        <w:rPr>
          <w:rFonts w:asciiTheme="majorHAnsi" w:hAnsiTheme="majorHAnsi"/>
          <w:sz w:val="20"/>
        </w:rPr>
        <w:t xml:space="preserve"> Another observation is that the model with daily data can have higher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than monthly data when the market is extremely volatile: for example, during the 2008 financial crisis, the daily return volatility reached a historical high and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of the daily return of 10 size portfolios </w:t>
      </w:r>
      <w:r w:rsidR="00AF7D10">
        <w:rPr>
          <w:rFonts w:asciiTheme="majorHAnsi" w:hAnsiTheme="majorHAnsi"/>
          <w:sz w:val="20"/>
        </w:rPr>
        <w:t xml:space="preserve">are less divergent and almost all above 95%, while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AF7D10">
        <w:rPr>
          <w:rFonts w:asciiTheme="majorHAnsi" w:hAnsiTheme="majorHAnsi"/>
          <w:sz w:val="20"/>
        </w:rPr>
        <w:t xml:space="preserve"> of monthly returns of 10 size portfolios ranged from 87% to 100%. It means that in severe financial crisis, though the market is more volatile, but stocks with different market capital size tend to move closer together (as shown in moving average return and volatility plots), and </w:t>
      </w:r>
      <w:r w:rsidR="008F29AE">
        <w:rPr>
          <w:rFonts w:asciiTheme="majorHAnsi" w:hAnsiTheme="majorHAnsi"/>
          <w:sz w:val="20"/>
        </w:rPr>
        <w:t>probably</w:t>
      </w:r>
      <w:r w:rsidR="00AF7D10">
        <w:rPr>
          <w:rFonts w:asciiTheme="majorHAnsi" w:hAnsiTheme="majorHAnsi"/>
          <w:sz w:val="20"/>
        </w:rPr>
        <w:t xml:space="preserve"> the market fluctuation</w:t>
      </w:r>
      <w:r w:rsidR="008F29AE">
        <w:rPr>
          <w:rFonts w:asciiTheme="majorHAnsi" w:hAnsiTheme="majorHAnsi"/>
          <w:sz w:val="20"/>
        </w:rPr>
        <w:t xml:space="preserve"> or some</w:t>
      </w:r>
      <w:r w:rsidR="009C70A9">
        <w:rPr>
          <w:rFonts w:asciiTheme="majorHAnsi" w:hAnsiTheme="majorHAnsi"/>
          <w:sz w:val="20"/>
        </w:rPr>
        <w:t xml:space="preserve"> specific risk reward</w:t>
      </w:r>
      <w:r w:rsidR="008F29AE">
        <w:rPr>
          <w:rFonts w:asciiTheme="majorHAnsi" w:hAnsiTheme="majorHAnsi"/>
          <w:sz w:val="20"/>
        </w:rPr>
        <w:t xml:space="preserve"> factor became</w:t>
      </w:r>
      <w:r w:rsidR="00AF7D10">
        <w:rPr>
          <w:rFonts w:asciiTheme="majorHAnsi" w:hAnsiTheme="majorHAnsi"/>
          <w:sz w:val="20"/>
        </w:rPr>
        <w:t xml:space="preserve"> the major driver of </w:t>
      </w:r>
      <w:r w:rsidR="009C70A9">
        <w:rPr>
          <w:rFonts w:asciiTheme="majorHAnsi" w:hAnsiTheme="majorHAnsi"/>
          <w:sz w:val="20"/>
        </w:rPr>
        <w:t>individual stock movements.</w:t>
      </w:r>
      <w:r w:rsidR="008F29AE">
        <w:rPr>
          <w:rFonts w:asciiTheme="majorHAnsi" w:hAnsiTheme="majorHAnsi"/>
          <w:sz w:val="20"/>
        </w:rPr>
        <w:t xml:space="preserve"> </w:t>
      </w:r>
      <w:r w:rsidR="007D2242">
        <w:rPr>
          <w:rFonts w:asciiTheme="majorHAnsi" w:hAnsiTheme="majorHAnsi"/>
          <w:sz w:val="20"/>
        </w:rPr>
        <w:t>Thus</w:t>
      </w:r>
      <w:r w:rsidR="00AF7D10" w:rsidRPr="006D5D8F">
        <w:rPr>
          <w:rFonts w:asciiTheme="majorHAnsi" w:hAnsiTheme="majorHAnsi"/>
          <w:sz w:val="20"/>
        </w:rPr>
        <w:t xml:space="preserve">, we can say that </w:t>
      </w:r>
      <w:r w:rsidR="00AF7D10" w:rsidRPr="00BD08B4">
        <w:rPr>
          <w:rFonts w:asciiTheme="majorHAnsi" w:hAnsiTheme="majorHAnsi"/>
          <w:sz w:val="20"/>
          <w:u w:val="single"/>
        </w:rPr>
        <w:t>generally, monthly data is easier to explain with five factor model, but during extreme occasions like severe financial crisis, the</w:t>
      </w:r>
      <w:r w:rsidR="009C70A9" w:rsidRPr="00BD08B4">
        <w:rPr>
          <w:rFonts w:asciiTheme="majorHAnsi" w:hAnsiTheme="majorHAnsi"/>
          <w:sz w:val="20"/>
          <w:u w:val="single"/>
        </w:rPr>
        <w:t xml:space="preserve"> daily data are explained more by five factor model.</w:t>
      </w:r>
      <w:r w:rsidR="00AF7D10" w:rsidRPr="00BD08B4">
        <w:rPr>
          <w:rFonts w:asciiTheme="majorHAnsi" w:hAnsiTheme="majorHAnsi"/>
          <w:sz w:val="20"/>
          <w:u w:val="single"/>
        </w:rPr>
        <w:t xml:space="preserve">   </w:t>
      </w:r>
    </w:p>
    <w:p w:rsidR="00AE3F05" w:rsidRPr="00BD08B4" w:rsidRDefault="00AE3F05" w:rsidP="00AE3F05">
      <w:pPr>
        <w:pStyle w:val="ListParagraph"/>
        <w:ind w:left="762"/>
        <w:jc w:val="both"/>
        <w:rPr>
          <w:rFonts w:asciiTheme="majorHAnsi" w:hAnsiTheme="majorHAnsi"/>
          <w:sz w:val="20"/>
          <w:u w:val="single"/>
        </w:rPr>
      </w:pPr>
    </w:p>
    <w:p w:rsidR="00C55D70" w:rsidRDefault="00C55D70" w:rsidP="00E20221">
      <w:pPr>
        <w:pStyle w:val="ListParagraph"/>
        <w:numPr>
          <w:ilvl w:val="0"/>
          <w:numId w:val="5"/>
        </w:numPr>
        <w:jc w:val="both"/>
        <w:rPr>
          <w:rFonts w:asciiTheme="majorHAnsi" w:hAnsiTheme="majorHAnsi"/>
          <w:sz w:val="20"/>
        </w:rPr>
      </w:pPr>
      <w:r w:rsidRPr="00BD08B4">
        <w:rPr>
          <w:rFonts w:asciiTheme="majorHAnsi" w:hAnsiTheme="majorHAnsi"/>
          <w:sz w:val="20"/>
          <w:u w:val="single"/>
        </w:rPr>
        <w:t>The finer we cut the universe by size, the more diverge the five factor model’s performance is among size portfolios.</w:t>
      </w:r>
      <w:r>
        <w:rPr>
          <w:rFonts w:asciiTheme="majorHAnsi" w:hAnsiTheme="majorHAnsi"/>
          <w:sz w:val="20"/>
        </w:rPr>
        <w:t xml:space="preserve"> For regressions with daily return</w:t>
      </w:r>
      <w:r w:rsidR="008701D2">
        <w:rPr>
          <w:rFonts w:asciiTheme="majorHAnsi" w:hAnsiTheme="majorHAnsi"/>
          <w:sz w:val="20"/>
        </w:rPr>
        <w:t>s</w:t>
      </w:r>
      <w:r>
        <w:rPr>
          <w:rFonts w:asciiTheme="majorHAnsi" w:hAnsiTheme="majorHAnsi"/>
          <w:sz w:val="20"/>
        </w:rPr>
        <w:t>,</w:t>
      </w:r>
      <w:r w:rsidR="00B952B5">
        <w:rPr>
          <w:rFonts w:asciiTheme="majorHAnsi" w:hAnsiTheme="majorHAnsi"/>
          <w:sz w:val="20"/>
        </w:rPr>
        <w:t xml:space="preserve"> the three size portfolios </w:t>
      </w:r>
      <w:r w:rsidR="008701D2">
        <w:rPr>
          <w:rFonts w:asciiTheme="majorHAnsi" w:hAnsiTheme="majorHAnsi"/>
          <w:sz w:val="20"/>
        </w:rPr>
        <w:t>have very close</w:t>
      </w:r>
      <w:r>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around 95%, the five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ranged from 75% to 100%, and the ten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widely ranged from 50% to 100%. For regressions with monthly returns, the </w:t>
      </w:r>
      <w:r w:rsidR="00175D83">
        <w:rPr>
          <w:rFonts w:asciiTheme="majorHAnsi" w:hAnsiTheme="majorHAnsi"/>
          <w:sz w:val="20"/>
        </w:rPr>
        <w:t>divergence</w:t>
      </w:r>
      <w:r w:rsidR="008701D2">
        <w:rPr>
          <w:rFonts w:asciiTheme="majorHAnsi" w:hAnsiTheme="majorHAnsi"/>
          <w:sz w:val="20"/>
        </w:rPr>
        <w:t xml:space="preserve"> is narrower, because generally monthly data is easier to explain as described in the first bullet point. But the diverge</w:t>
      </w:r>
      <w:r w:rsidR="00175D83">
        <w:rPr>
          <w:rFonts w:asciiTheme="majorHAnsi" w:hAnsiTheme="majorHAnsi"/>
          <w:sz w:val="20"/>
        </w:rPr>
        <w:t>nce</w:t>
      </w:r>
      <w:r w:rsidR="008701D2">
        <w:rPr>
          <w:rFonts w:asciiTheme="majorHAnsi" w:hAnsiTheme="majorHAnsi"/>
          <w:sz w:val="20"/>
        </w:rPr>
        <w:t xml:space="preserve"> is still not negligible: the</w:t>
      </w:r>
      <w:r w:rsidR="00175D83">
        <w:rPr>
          <w:rFonts w:asciiTheme="majorHAnsi" w:hAnsiTheme="majorHAnsi"/>
          <w:sz w:val="20"/>
        </w:rPr>
        <w:t xml:space="preserve"> three size portfolios are </w:t>
      </w:r>
      <w:r w:rsidR="008701D2">
        <w:rPr>
          <w:rFonts w:asciiTheme="majorHAnsi" w:hAnsiTheme="majorHAnsi"/>
          <w:sz w:val="20"/>
        </w:rPr>
        <w:t xml:space="preserve">closer to 100%, the five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are from </w:t>
      </w:r>
      <w:r w:rsidR="00CD0DCD">
        <w:rPr>
          <w:rFonts w:asciiTheme="majorHAnsi" w:hAnsiTheme="majorHAnsi"/>
          <w:sz w:val="20"/>
        </w:rPr>
        <w:t xml:space="preserve">95% to 100% and the ten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CD0DCD">
        <w:rPr>
          <w:rFonts w:asciiTheme="majorHAnsi" w:hAnsiTheme="majorHAnsi"/>
          <w:sz w:val="20"/>
        </w:rPr>
        <w:t xml:space="preserve"> range from 85% to 97%.</w:t>
      </w:r>
    </w:p>
    <w:p w:rsidR="00AE3F05" w:rsidRDefault="00AE3F05" w:rsidP="00AE3F05">
      <w:pPr>
        <w:pStyle w:val="ListParagraph"/>
        <w:ind w:left="762"/>
        <w:jc w:val="both"/>
        <w:rPr>
          <w:rFonts w:asciiTheme="majorHAnsi" w:hAnsiTheme="majorHAnsi"/>
          <w:sz w:val="20"/>
        </w:rPr>
      </w:pPr>
    </w:p>
    <w:p w:rsidR="00AE3F05" w:rsidRDefault="00C55D70" w:rsidP="00AE3F05">
      <w:pPr>
        <w:pStyle w:val="ListParagraph"/>
        <w:numPr>
          <w:ilvl w:val="0"/>
          <w:numId w:val="5"/>
        </w:numPr>
        <w:jc w:val="both"/>
        <w:rPr>
          <w:rFonts w:asciiTheme="majorHAnsi" w:hAnsiTheme="majorHAnsi"/>
          <w:sz w:val="20"/>
        </w:rPr>
      </w:pPr>
      <w:r w:rsidRPr="00BD08B4">
        <w:rPr>
          <w:rFonts w:asciiTheme="majorHAnsi" w:hAnsiTheme="majorHAnsi"/>
          <w:sz w:val="20"/>
          <w:u w:val="single"/>
        </w:rPr>
        <w:t xml:space="preserve">The explanatory power of five factor model is stronger for big-size stock portfolios and </w:t>
      </w:r>
      <w:r w:rsidR="00BD08B4" w:rsidRPr="00BD08B4">
        <w:rPr>
          <w:rFonts w:asciiTheme="majorHAnsi" w:hAnsiTheme="majorHAnsi"/>
          <w:sz w:val="20"/>
          <w:u w:val="single"/>
        </w:rPr>
        <w:t>weaker</w:t>
      </w:r>
      <w:r w:rsidRPr="00BD08B4">
        <w:rPr>
          <w:rFonts w:asciiTheme="majorHAnsi" w:hAnsiTheme="majorHAnsi"/>
          <w:sz w:val="20"/>
          <w:u w:val="single"/>
        </w:rPr>
        <w:t xml:space="preserve"> for small-size stock portfolios.</w:t>
      </w:r>
      <w:r w:rsidR="008701D2">
        <w:rPr>
          <w:rFonts w:asciiTheme="majorHAnsi" w:hAnsiTheme="majorHAnsi"/>
          <w:sz w:val="20"/>
        </w:rPr>
        <w:t xml:space="preserve"> Similar to the rationale of the first bullet point, the smaller size the listed company is, the more noisy its return</w:t>
      </w:r>
      <w:r w:rsidR="00175D83">
        <w:rPr>
          <w:rFonts w:asciiTheme="majorHAnsi" w:hAnsiTheme="majorHAnsi"/>
          <w:sz w:val="20"/>
        </w:rPr>
        <w:t xml:space="preserve">s could be, </w:t>
      </w:r>
      <w:r w:rsidR="008701D2">
        <w:rPr>
          <w:rFonts w:asciiTheme="majorHAnsi" w:hAnsiTheme="majorHAnsi"/>
          <w:sz w:val="20"/>
        </w:rPr>
        <w:t>namely more volatile or vulnerable it can be market signals, which could be financial events or policy changes or investors’ sentiments, etc., and thus more difficult it is to explain them as a uniformed portfolio with only five factors.</w:t>
      </w:r>
    </w:p>
    <w:p w:rsidR="00AE3F05" w:rsidRPr="00AE3F05" w:rsidRDefault="00AE3F05" w:rsidP="00AE3F05">
      <w:pPr>
        <w:pStyle w:val="ListParagraph"/>
        <w:ind w:left="762"/>
        <w:jc w:val="both"/>
        <w:rPr>
          <w:rFonts w:asciiTheme="majorHAnsi" w:hAnsiTheme="majorHAnsi"/>
          <w:sz w:val="20"/>
        </w:rPr>
      </w:pPr>
    </w:p>
    <w:p w:rsidR="00C55D70" w:rsidRDefault="00B952B5" w:rsidP="00B952B5">
      <w:pPr>
        <w:pStyle w:val="ListParagraph"/>
        <w:numPr>
          <w:ilvl w:val="0"/>
          <w:numId w:val="5"/>
        </w:numPr>
        <w:jc w:val="both"/>
        <w:rPr>
          <w:rFonts w:asciiTheme="majorHAnsi" w:hAnsiTheme="majorHAnsi"/>
          <w:sz w:val="20"/>
        </w:rPr>
      </w:pPr>
      <w:r>
        <w:rPr>
          <w:rFonts w:asciiTheme="majorHAnsi" w:hAnsiTheme="majorHAnsi"/>
          <w:sz w:val="20"/>
        </w:rPr>
        <w:t xml:space="preserve">Despite the largest-size stocks, the explanatory powers of five factor model on portfolios tend to move closely together. </w:t>
      </w:r>
      <w:r w:rsidR="003D4428" w:rsidRPr="00BD08B4">
        <w:rPr>
          <w:rFonts w:asciiTheme="majorHAnsi" w:hAnsiTheme="majorHAnsi"/>
          <w:sz w:val="20"/>
          <w:u w:val="single"/>
        </w:rPr>
        <w:t xml:space="preserve">Based on the </w:t>
      </w:r>
      <w:r w:rsidR="00175D83" w:rsidRPr="00BD08B4">
        <w:rPr>
          <w:rFonts w:asciiTheme="majorHAnsi" w:hAnsiTheme="majorHAnsi"/>
          <w:sz w:val="20"/>
          <w:u w:val="single"/>
        </w:rPr>
        <w:t xml:space="preserve">trend of the </w:t>
      </w:r>
      <m:oMath>
        <m:sSup>
          <m:sSupPr>
            <m:ctrlPr>
              <w:rPr>
                <w:rFonts w:ascii="Cambria Math" w:hAnsi="Cambria Math"/>
                <w:i/>
                <w:sz w:val="20"/>
                <w:u w:val="single"/>
              </w:rPr>
            </m:ctrlPr>
          </m:sSupPr>
          <m:e>
            <m:r>
              <w:rPr>
                <w:rFonts w:ascii="Cambria Math" w:hAnsi="Cambria Math"/>
                <w:sz w:val="20"/>
                <w:u w:val="single"/>
              </w:rPr>
              <m:t>R</m:t>
            </m:r>
          </m:e>
          <m:sup>
            <m:r>
              <w:rPr>
                <w:rFonts w:ascii="Cambria Math" w:hAnsi="Cambria Math"/>
                <w:sz w:val="20"/>
                <w:u w:val="single"/>
              </w:rPr>
              <m:t>2</m:t>
            </m:r>
          </m:sup>
        </m:sSup>
      </m:oMath>
      <w:r w:rsidR="003D4428" w:rsidRPr="00BD08B4">
        <w:rPr>
          <w:rFonts w:asciiTheme="majorHAnsi" w:hAnsiTheme="majorHAnsi"/>
          <w:sz w:val="20"/>
          <w:u w:val="single"/>
        </w:rPr>
        <w:t xml:space="preserve">, </w:t>
      </w:r>
      <w:r w:rsidR="007E1F92" w:rsidRPr="00BD08B4">
        <w:rPr>
          <w:rFonts w:asciiTheme="majorHAnsi" w:hAnsiTheme="majorHAnsi"/>
          <w:sz w:val="20"/>
          <w:u w:val="single"/>
        </w:rPr>
        <w:t xml:space="preserve"> </w:t>
      </w:r>
      <w:r w:rsidR="003D4428" w:rsidRPr="00BD08B4">
        <w:rPr>
          <w:rFonts w:asciiTheme="majorHAnsi" w:hAnsiTheme="majorHAnsi"/>
          <w:sz w:val="20"/>
          <w:u w:val="single"/>
        </w:rPr>
        <w:t>we can divide the history into four periods</w:t>
      </w:r>
      <w:r w:rsidR="003D4428" w:rsidRPr="00B952B5">
        <w:rPr>
          <w:rFonts w:asciiTheme="majorHAnsi" w:hAnsiTheme="majorHAnsi"/>
          <w:sz w:val="20"/>
        </w:rPr>
        <w:t xml:space="preserve">: </w:t>
      </w:r>
      <w:r w:rsidR="007E1F92" w:rsidRPr="00B952B5">
        <w:rPr>
          <w:rFonts w:asciiTheme="majorHAnsi" w:hAnsiTheme="majorHAnsi"/>
          <w:sz w:val="20"/>
        </w:rPr>
        <w:t>the</w:t>
      </w:r>
      <w:r w:rsidR="003D4428" w:rsidRPr="00B952B5">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3D4428" w:rsidRPr="00B952B5">
        <w:rPr>
          <w:rFonts w:asciiTheme="majorHAnsi" w:hAnsiTheme="majorHAnsi"/>
          <w:sz w:val="20"/>
        </w:rPr>
        <w:t xml:space="preserve"> of</w:t>
      </w:r>
      <w:r w:rsidR="007E1F92" w:rsidRPr="00B952B5">
        <w:rPr>
          <w:rFonts w:asciiTheme="majorHAnsi" w:hAnsiTheme="majorHAnsi"/>
          <w:sz w:val="20"/>
        </w:rPr>
        <w:t xml:space="preserve"> five factor</w:t>
      </w:r>
      <w:r w:rsidR="003D4428" w:rsidRPr="00B952B5">
        <w:rPr>
          <w:rFonts w:asciiTheme="majorHAnsi" w:hAnsiTheme="majorHAnsi"/>
          <w:sz w:val="20"/>
        </w:rPr>
        <w:t xml:space="preserve"> model was s</w:t>
      </w:r>
      <w:r>
        <w:rPr>
          <w:rFonts w:asciiTheme="majorHAnsi" w:hAnsiTheme="majorHAnsi"/>
          <w:sz w:val="20"/>
        </w:rPr>
        <w:t>table; the second one is from 1993 to 2000,</w:t>
      </w:r>
      <w:r w:rsidR="007E1F92" w:rsidRPr="00B952B5">
        <w:rPr>
          <w:rFonts w:asciiTheme="majorHAnsi" w:hAnsiTheme="majorHAnsi"/>
          <w:sz w:val="20"/>
        </w:rPr>
        <w:t xml:space="preserve"> </w:t>
      </w:r>
      <w:r>
        <w:rPr>
          <w:rFonts w:asciiTheme="majorHAnsi" w:hAnsiTheme="majorHAnsi"/>
          <w:sz w:val="20"/>
        </w:rPr>
        <w:t xml:space="preserve">the explanatory power of five factor model declined after </w:t>
      </w:r>
      <w:proofErr w:type="spellStart"/>
      <w:r w:rsidR="007E1F92" w:rsidRPr="00B952B5">
        <w:rPr>
          <w:rFonts w:asciiTheme="majorHAnsi" w:hAnsiTheme="majorHAnsi"/>
          <w:sz w:val="20"/>
        </w:rPr>
        <w:t>Fama</w:t>
      </w:r>
      <w:proofErr w:type="spellEnd"/>
      <w:r w:rsidR="007E1F92" w:rsidRPr="00B952B5">
        <w:rPr>
          <w:rFonts w:asciiTheme="majorHAnsi" w:hAnsiTheme="majorHAnsi"/>
          <w:sz w:val="20"/>
        </w:rPr>
        <w:t xml:space="preserve"> and French firstly introduced the three factor model in 1993</w:t>
      </w:r>
      <w:r>
        <w:rPr>
          <w:rFonts w:asciiTheme="majorHAnsi" w:hAnsiTheme="majorHAnsi"/>
          <w:sz w:val="20"/>
        </w:rPr>
        <w:t xml:space="preserve">; the third period is from 2000 to 2014, </w:t>
      </w:r>
      <w:r w:rsidR="00175D83">
        <w:rPr>
          <w:rFonts w:asciiTheme="majorHAnsi" w:hAnsiTheme="majorHAnsi"/>
          <w:sz w:val="20"/>
        </w:rPr>
        <w:t xml:space="preserve">when </w:t>
      </w:r>
      <w:r>
        <w:rPr>
          <w:rFonts w:asciiTheme="majorHAnsi" w:hAnsiTheme="majorHAnsi"/>
          <w:sz w:val="20"/>
        </w:rPr>
        <w:t>the</w:t>
      </w:r>
      <w:r w:rsidR="007E1F92" w:rsidRPr="00B952B5">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surged quickly back and remained at a high level; and the last period is post 2014 </w:t>
      </w:r>
      <w:r w:rsidR="00175D83">
        <w:rPr>
          <w:rFonts w:asciiTheme="majorHAnsi" w:hAnsiTheme="majorHAnsi"/>
          <w:sz w:val="20"/>
        </w:rPr>
        <w:t>when</w:t>
      </w:r>
      <w:r>
        <w:rPr>
          <w:rFonts w:asciiTheme="majorHAnsi" w:hAnsiTheme="majorHAnsi"/>
          <w:sz w:val="20"/>
        </w:rPr>
        <w:t xml:space="preserve"> </w:t>
      </w:r>
      <w:proofErr w:type="spellStart"/>
      <w:r>
        <w:rPr>
          <w:rFonts w:asciiTheme="majorHAnsi" w:hAnsiTheme="majorHAnsi"/>
          <w:sz w:val="20"/>
        </w:rPr>
        <w:t>Fama</w:t>
      </w:r>
      <w:proofErr w:type="spellEnd"/>
      <w:r>
        <w:rPr>
          <w:rFonts w:asciiTheme="majorHAnsi" w:hAnsiTheme="majorHAnsi"/>
          <w:sz w:val="20"/>
        </w:rPr>
        <w:t xml:space="preserve"> and French released the five factor model</w:t>
      </w:r>
      <w:r w:rsidR="00232BA7">
        <w:rPr>
          <w:rFonts w:asciiTheme="majorHAnsi" w:hAnsiTheme="majorHAnsi"/>
          <w:sz w:val="20"/>
        </w:rPr>
        <w:t xml:space="preserv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32BA7">
        <w:rPr>
          <w:rFonts w:asciiTheme="majorHAnsi" w:hAnsiTheme="majorHAnsi"/>
          <w:sz w:val="20"/>
        </w:rPr>
        <w:t xml:space="preserve"> started to drop again</w:t>
      </w:r>
      <w:r>
        <w:rPr>
          <w:rFonts w:asciiTheme="majorHAnsi" w:hAnsiTheme="majorHAnsi"/>
          <w:sz w:val="20"/>
        </w:rPr>
        <w:t>.</w:t>
      </w:r>
      <w:r w:rsidR="00CD0DCD">
        <w:rPr>
          <w:rFonts w:asciiTheme="majorHAnsi" w:hAnsiTheme="majorHAnsi"/>
          <w:sz w:val="20"/>
        </w:rPr>
        <w:t xml:space="preserve"> </w:t>
      </w:r>
      <w:r w:rsidR="001D3E84">
        <w:rPr>
          <w:rFonts w:asciiTheme="majorHAnsi" w:hAnsiTheme="majorHAnsi"/>
          <w:sz w:val="20"/>
        </w:rPr>
        <w:t>A research by BlackRock on the factor investment revealed that from 2011 to 2014, the asset under management (AU</w:t>
      </w:r>
      <w:r w:rsidR="00D37568">
        <w:rPr>
          <w:rFonts w:asciiTheme="majorHAnsi" w:hAnsiTheme="majorHAnsi"/>
          <w:sz w:val="20"/>
        </w:rPr>
        <w:t xml:space="preserve">M) of factor investment doubled, and from 2014 to 2017, the AUM of factor investment increased by 44%. </w:t>
      </w:r>
      <w:r w:rsidR="009C70A9" w:rsidRPr="00BD08B4">
        <w:rPr>
          <w:rFonts w:asciiTheme="majorHAnsi" w:hAnsiTheme="majorHAnsi"/>
          <w:sz w:val="20"/>
          <w:u w:val="single"/>
        </w:rPr>
        <w:t>It is one of our hypotheses that the heavy use of the factor model as investment and trading strategies could artificially compress the risk rewards</w:t>
      </w:r>
      <w:r w:rsidR="009C70A9">
        <w:rPr>
          <w:rFonts w:asciiTheme="majorHAnsi" w:hAnsiTheme="majorHAnsi"/>
          <w:sz w:val="20"/>
        </w:rPr>
        <w:t xml:space="preserve"> on size, B/M ratio, profitability and firms’ investment returns, and thus dilute the explaining power of five factors. </w:t>
      </w:r>
    </w:p>
    <w:p w:rsidR="009C70A9" w:rsidRDefault="009C70A9" w:rsidP="009C70A9">
      <w:pPr>
        <w:pStyle w:val="ListParagraph"/>
        <w:ind w:left="762"/>
        <w:jc w:val="both"/>
        <w:rPr>
          <w:rFonts w:asciiTheme="majorHAnsi" w:hAnsiTheme="majorHAnsi"/>
          <w:sz w:val="20"/>
        </w:rPr>
      </w:pPr>
    </w:p>
    <w:p w:rsidR="00021429" w:rsidRPr="007D2242" w:rsidRDefault="009C70A9" w:rsidP="00C42976">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Explanatory</w:t>
      </w:r>
      <w:r w:rsidR="00002F85" w:rsidRPr="007D2242">
        <w:rPr>
          <w:rFonts w:asciiTheme="majorHAnsi" w:hAnsiTheme="majorHAnsi"/>
          <w:b/>
          <w:i/>
          <w:noProof/>
          <w:lang w:eastAsia="en-US"/>
        </w:rPr>
        <w:t xml:space="preserve"> Power of Each Factor</w:t>
      </w:r>
    </w:p>
    <w:p w:rsidR="008A02FF" w:rsidRPr="007D2242" w:rsidRDefault="008A02FF" w:rsidP="007D2242">
      <w:pPr>
        <w:pStyle w:val="ListParagraph"/>
        <w:ind w:left="360"/>
        <w:jc w:val="both"/>
        <w:rPr>
          <w:rFonts w:asciiTheme="majorHAnsi" w:hAnsiTheme="majorHAnsi"/>
          <w:b/>
          <w:i/>
          <w:noProof/>
          <w:lang w:eastAsia="en-US"/>
        </w:rPr>
      </w:pPr>
    </w:p>
    <w:p w:rsidR="008A02FF" w:rsidRDefault="008A02FF" w:rsidP="00011E66">
      <w:pPr>
        <w:pStyle w:val="ListParagraph"/>
        <w:ind w:left="0"/>
        <w:jc w:val="both"/>
        <w:rPr>
          <w:rFonts w:asciiTheme="majorHAnsi" w:hAnsiTheme="majorHAnsi"/>
          <w:sz w:val="20"/>
        </w:rPr>
      </w:pPr>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011E66">
        <w:rPr>
          <w:rFonts w:asciiTheme="majorHAnsi" w:hAnsiTheme="majorHAnsi"/>
          <w:sz w:val="20"/>
        </w:rPr>
        <w:t xml:space="preserve"> </w:t>
      </w:r>
      <w:r>
        <w:rPr>
          <w:rFonts w:asciiTheme="majorHAnsi" w:hAnsiTheme="majorHAnsi"/>
          <w:sz w:val="20"/>
        </w:rPr>
        <w:t xml:space="preserve">of five factor model </w:t>
      </w:r>
      <w:r w:rsidR="00011E66">
        <w:rPr>
          <w:rFonts w:asciiTheme="majorHAnsi" w:hAnsiTheme="majorHAnsi"/>
          <w:sz w:val="20"/>
        </w:rPr>
        <w:t>are</w:t>
      </w:r>
      <w:r>
        <w:rPr>
          <w:rFonts w:asciiTheme="majorHAnsi" w:hAnsiTheme="majorHAnsi"/>
          <w:sz w:val="20"/>
        </w:rPr>
        <w:t xml:space="preserve"> generally very high. However, we observed that not all the five factors are statistically significant all the time. The plots below showed </w:t>
      </w:r>
      <w:r w:rsidR="00011E66">
        <w:rPr>
          <w:rFonts w:asciiTheme="majorHAnsi" w:hAnsiTheme="majorHAnsi"/>
          <w:sz w:val="20"/>
        </w:rPr>
        <w:t>a binary indicator</w:t>
      </w:r>
      <w:r>
        <w:rPr>
          <w:rFonts w:asciiTheme="majorHAnsi" w:hAnsiTheme="majorHAnsi"/>
          <w:sz w:val="20"/>
        </w:rPr>
        <w:t xml:space="preserve"> of wh</w:t>
      </w:r>
      <w:r w:rsidR="00011E66">
        <w:rPr>
          <w:rFonts w:asciiTheme="majorHAnsi" w:hAnsiTheme="majorHAnsi"/>
          <w:sz w:val="20"/>
        </w:rPr>
        <w:t>ether the factor is significant</w:t>
      </w:r>
      <w:r>
        <w:rPr>
          <w:rFonts w:asciiTheme="majorHAnsi" w:hAnsiTheme="majorHAnsi"/>
          <w:sz w:val="20"/>
        </w:rPr>
        <w:t xml:space="preserve"> at 95% level</w:t>
      </w:r>
      <w:r w:rsidR="00E17349">
        <w:rPr>
          <w:rFonts w:asciiTheme="majorHAnsi" w:hAnsiTheme="majorHAnsi"/>
          <w:sz w:val="20"/>
        </w:rPr>
        <w:t xml:space="preserve"> (1 stands for p-value &lt; 0.</w:t>
      </w:r>
      <w:r w:rsidR="00011E66">
        <w:rPr>
          <w:rFonts w:asciiTheme="majorHAnsi" w:hAnsiTheme="majorHAnsi"/>
          <w:sz w:val="20"/>
        </w:rPr>
        <w:t>0</w:t>
      </w:r>
      <w:r w:rsidR="00E17349">
        <w:rPr>
          <w:rFonts w:asciiTheme="majorHAnsi" w:hAnsiTheme="majorHAnsi"/>
          <w:sz w:val="20"/>
        </w:rPr>
        <w:t>5)</w:t>
      </w:r>
      <w:r>
        <w:rPr>
          <w:rFonts w:asciiTheme="majorHAnsi" w:hAnsiTheme="majorHAnsi"/>
          <w:sz w:val="20"/>
        </w:rPr>
        <w:t xml:space="preserve"> in regressions with daily returns and half-year rolling windows. Here we use the 3 size portfolios as an example.</w:t>
      </w:r>
    </w:p>
    <w:p w:rsidR="004C37AA" w:rsidRDefault="004C37AA" w:rsidP="008A02FF">
      <w:pPr>
        <w:pStyle w:val="ListParagraph"/>
        <w:ind w:left="360"/>
        <w:jc w:val="both"/>
        <w:rPr>
          <w:rFonts w:asciiTheme="majorHAnsi" w:hAnsiTheme="majorHAnsi"/>
          <w:sz w:val="20"/>
        </w:rPr>
      </w:pPr>
    </w:p>
    <w:tbl>
      <w:tblPr>
        <w:tblStyle w:val="TableGrid"/>
        <w:tblW w:w="4950" w:type="dxa"/>
        <w:tblInd w:w="-5" w:type="dxa"/>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tblGrid>
      <w:tr w:rsidR="004C37AA" w:rsidTr="00011E66">
        <w:tc>
          <w:tcPr>
            <w:tcW w:w="4950" w:type="dxa"/>
            <w:tcBorders>
              <w:top w:val="dashSmallGap" w:sz="4" w:space="0" w:color="auto"/>
              <w:left w:val="dashSmallGap" w:sz="4" w:space="0" w:color="auto"/>
            </w:tcBorders>
          </w:tcPr>
          <w:p w:rsid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Significance Occurrence </w:t>
            </w:r>
            <w:r w:rsidR="003C189A">
              <w:rPr>
                <w:rFonts w:asciiTheme="majorHAnsi" w:hAnsiTheme="majorHAnsi"/>
                <w:i/>
                <w:sz w:val="18"/>
              </w:rPr>
              <w:t xml:space="preserve">of </w:t>
            </w:r>
            <w:r w:rsidRPr="004C37AA">
              <w:rPr>
                <w:rFonts w:asciiTheme="majorHAnsi" w:hAnsiTheme="majorHAnsi"/>
                <w:i/>
                <w:sz w:val="18"/>
              </w:rPr>
              <w:t>Five Factors</w:t>
            </w:r>
            <w:r w:rsidR="003C189A">
              <w:rPr>
                <w:rFonts w:asciiTheme="majorHAnsi" w:hAnsiTheme="majorHAnsi"/>
                <w:i/>
                <w:sz w:val="18"/>
              </w:rPr>
              <w:t xml:space="preserve"> </w:t>
            </w:r>
            <w:r w:rsidRPr="003C189A">
              <w:rPr>
                <w:rFonts w:asciiTheme="majorHAnsi" w:hAnsiTheme="majorHAnsi"/>
                <w:i/>
                <w:sz w:val="18"/>
              </w:rPr>
              <w:t>(Daily Return)</w:t>
            </w:r>
          </w:p>
        </w:tc>
      </w:tr>
    </w:tbl>
    <w:p w:rsidR="008A02FF" w:rsidRDefault="008A02FF" w:rsidP="00011E66">
      <w:pPr>
        <w:pStyle w:val="ListParagraph"/>
        <w:ind w:left="-90"/>
        <w:jc w:val="both"/>
        <w:rPr>
          <w:rFonts w:asciiTheme="majorHAnsi" w:hAnsiTheme="majorHAnsi"/>
          <w:sz w:val="20"/>
        </w:rPr>
      </w:pPr>
      <w:r>
        <w:rPr>
          <w:rFonts w:asciiTheme="majorHAnsi" w:hAnsiTheme="majorHAnsi"/>
          <w:noProof/>
          <w:sz w:val="20"/>
          <w:lang w:eastAsia="en-US"/>
        </w:rPr>
        <w:drawing>
          <wp:inline distT="0" distB="0" distL="0" distR="0" wp14:anchorId="1E02FF58" wp14:editId="740A9940">
            <wp:extent cx="3242202" cy="324963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0156" cy="3257610"/>
                    </a:xfrm>
                    <a:prstGeom prst="rect">
                      <a:avLst/>
                    </a:prstGeom>
                  </pic:spPr>
                </pic:pic>
              </a:graphicData>
            </a:graphic>
          </wp:inline>
        </w:drawing>
      </w:r>
    </w:p>
    <w:p w:rsidR="00877981" w:rsidRDefault="008A02FF" w:rsidP="00011E66">
      <w:pPr>
        <w:pStyle w:val="ListParagraph"/>
        <w:ind w:left="0"/>
        <w:jc w:val="both"/>
        <w:rPr>
          <w:rFonts w:asciiTheme="majorHAnsi" w:hAnsiTheme="majorHAnsi"/>
          <w:sz w:val="20"/>
        </w:rPr>
      </w:pPr>
      <w:r>
        <w:rPr>
          <w:rFonts w:asciiTheme="majorHAnsi" w:hAnsiTheme="majorHAnsi"/>
          <w:sz w:val="20"/>
        </w:rPr>
        <w:t xml:space="preserve">It can be seen that the market excess return and SMB are always significant in any </w:t>
      </w:r>
      <w:r w:rsidR="00E17349">
        <w:rPr>
          <w:rFonts w:asciiTheme="majorHAnsi" w:hAnsiTheme="majorHAnsi"/>
          <w:sz w:val="20"/>
        </w:rPr>
        <w:t xml:space="preserve">of the three </w:t>
      </w:r>
      <w:r>
        <w:rPr>
          <w:rFonts w:asciiTheme="majorHAnsi" w:hAnsiTheme="majorHAnsi"/>
          <w:sz w:val="20"/>
        </w:rPr>
        <w:t>portfolios</w:t>
      </w:r>
      <w:r w:rsidR="00E17349">
        <w:rPr>
          <w:rFonts w:asciiTheme="majorHAnsi" w:hAnsiTheme="majorHAnsi"/>
          <w:sz w:val="20"/>
        </w:rPr>
        <w:t xml:space="preserve">. </w:t>
      </w:r>
      <w:r w:rsidR="003C189A">
        <w:rPr>
          <w:rFonts w:asciiTheme="majorHAnsi" w:hAnsiTheme="majorHAnsi"/>
          <w:sz w:val="20"/>
        </w:rPr>
        <w:t>As summarized in the heat</w:t>
      </w:r>
      <w:r w:rsidR="00BE7D60">
        <w:rPr>
          <w:rFonts w:asciiTheme="majorHAnsi" w:hAnsiTheme="majorHAnsi"/>
          <w:sz w:val="20"/>
        </w:rPr>
        <w:t>-</w:t>
      </w:r>
      <w:r w:rsidR="003C189A">
        <w:rPr>
          <w:rFonts w:asciiTheme="majorHAnsi" w:hAnsiTheme="majorHAnsi"/>
          <w:sz w:val="20"/>
        </w:rPr>
        <w:t xml:space="preserve">map below, </w:t>
      </w:r>
      <w:r w:rsidR="00E17349">
        <w:rPr>
          <w:rFonts w:asciiTheme="majorHAnsi" w:hAnsiTheme="majorHAnsi"/>
          <w:sz w:val="20"/>
        </w:rPr>
        <w:t>HML is signific</w:t>
      </w:r>
      <w:r w:rsidR="00877981">
        <w:rPr>
          <w:rFonts w:asciiTheme="majorHAnsi" w:hAnsiTheme="majorHAnsi"/>
          <w:sz w:val="20"/>
        </w:rPr>
        <w:t>ant around 50% of the time. RMW is significant ~65% of the time for the low size portfolio and high size portfolio, but is interpretative for the middle band size portfolio. CMA is a factor that have the least significance occurrence: significant for only 30% of the time.</w:t>
      </w:r>
      <w:r w:rsidR="003C189A">
        <w:rPr>
          <w:rFonts w:asciiTheme="majorHAnsi" w:hAnsiTheme="majorHAnsi"/>
          <w:sz w:val="20"/>
        </w:rPr>
        <w:t xml:space="preserve"> </w:t>
      </w:r>
    </w:p>
    <w:p w:rsidR="004C37AA" w:rsidRDefault="004C37AA" w:rsidP="00877981">
      <w:pPr>
        <w:pStyle w:val="ListParagraph"/>
        <w:ind w:left="360"/>
        <w:jc w:val="both"/>
        <w:rPr>
          <w:rFonts w:asciiTheme="majorHAnsi" w:hAnsiTheme="majorHAnsi"/>
          <w:sz w:val="20"/>
        </w:rPr>
      </w:pPr>
    </w:p>
    <w:tbl>
      <w:tblPr>
        <w:tblStyle w:val="TableGrid"/>
        <w:tblW w:w="5040" w:type="dxa"/>
        <w:tblInd w:w="-95" w:type="dxa"/>
        <w:tblLook w:val="04A0" w:firstRow="1" w:lastRow="0" w:firstColumn="1" w:lastColumn="0" w:noHBand="0" w:noVBand="1"/>
      </w:tblPr>
      <w:tblGrid>
        <w:gridCol w:w="5040"/>
      </w:tblGrid>
      <w:tr w:rsidR="004C37AA" w:rsidTr="00011E66">
        <w:tc>
          <w:tcPr>
            <w:tcW w:w="5040" w:type="dxa"/>
            <w:tcBorders>
              <w:top w:val="dashSmallGap" w:sz="4" w:space="0" w:color="auto"/>
              <w:left w:val="dashSmallGap" w:sz="4" w:space="0" w:color="auto"/>
              <w:bottom w:val="nil"/>
              <w:right w:val="nil"/>
            </w:tcBorders>
          </w:tcPr>
          <w:p w:rsidR="003C189A" w:rsidRDefault="004C37AA" w:rsidP="00877981">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 xml:space="preserve">% of </w:t>
            </w:r>
            <w:r w:rsidR="00BE7D60">
              <w:rPr>
                <w:rFonts w:asciiTheme="majorHAnsi" w:hAnsiTheme="majorHAnsi"/>
                <w:i/>
                <w:sz w:val="18"/>
              </w:rPr>
              <w:t>s</w:t>
            </w:r>
            <w:r w:rsidRPr="004C37AA">
              <w:rPr>
                <w:rFonts w:asciiTheme="majorHAnsi" w:hAnsiTheme="majorHAnsi"/>
                <w:i/>
                <w:sz w:val="18"/>
              </w:rPr>
              <w:t xml:space="preserve">ignificance </w:t>
            </w:r>
            <w:r w:rsidR="00BE7D60">
              <w:rPr>
                <w:rFonts w:asciiTheme="majorHAnsi" w:hAnsiTheme="majorHAnsi"/>
                <w:i/>
                <w:sz w:val="18"/>
              </w:rPr>
              <w:t>o</w:t>
            </w:r>
            <w:r w:rsidRPr="004C37AA">
              <w:rPr>
                <w:rFonts w:asciiTheme="majorHAnsi" w:hAnsiTheme="majorHAnsi"/>
                <w:i/>
                <w:sz w:val="18"/>
              </w:rPr>
              <w:t>ccurrence</w:t>
            </w:r>
            <w:r>
              <w:rPr>
                <w:rFonts w:asciiTheme="majorHAnsi" w:hAnsiTheme="majorHAnsi"/>
                <w:i/>
                <w:sz w:val="18"/>
              </w:rPr>
              <w:t xml:space="preserve"> of </w:t>
            </w:r>
            <w:r w:rsidR="00BE7D60">
              <w:rPr>
                <w:rFonts w:asciiTheme="majorHAnsi" w:hAnsiTheme="majorHAnsi"/>
                <w:i/>
                <w:sz w:val="18"/>
              </w:rPr>
              <w:t>f</w:t>
            </w:r>
            <w:r>
              <w:rPr>
                <w:rFonts w:asciiTheme="majorHAnsi" w:hAnsiTheme="majorHAnsi"/>
                <w:i/>
                <w:sz w:val="18"/>
              </w:rPr>
              <w:t xml:space="preserve">actors </w:t>
            </w:r>
            <w:r w:rsidR="00BE7D60">
              <w:rPr>
                <w:rFonts w:asciiTheme="majorHAnsi" w:hAnsiTheme="majorHAnsi"/>
                <w:i/>
                <w:sz w:val="18"/>
              </w:rPr>
              <w:t>(daily data</w:t>
            </w:r>
            <w:r w:rsidRPr="004C37AA">
              <w:rPr>
                <w:rFonts w:asciiTheme="majorHAnsi" w:hAnsiTheme="majorHAnsi"/>
                <w:i/>
                <w:sz w:val="18"/>
              </w:rPr>
              <w:t>)</w:t>
            </w:r>
          </w:p>
        </w:tc>
      </w:tr>
    </w:tbl>
    <w:p w:rsidR="004C37AA" w:rsidRPr="00877981" w:rsidRDefault="004C37AA" w:rsidP="00877981">
      <w:pPr>
        <w:pStyle w:val="ListParagraph"/>
        <w:ind w:left="360"/>
        <w:jc w:val="both"/>
        <w:rPr>
          <w:rFonts w:asciiTheme="majorHAnsi" w:hAnsiTheme="majorHAnsi"/>
          <w:sz w:val="20"/>
        </w:rPr>
      </w:pPr>
    </w:p>
    <w:p w:rsidR="00E17349" w:rsidRDefault="00877981" w:rsidP="008A02FF">
      <w:pPr>
        <w:pStyle w:val="ListParagraph"/>
        <w:ind w:left="360"/>
        <w:jc w:val="both"/>
        <w:rPr>
          <w:rFonts w:asciiTheme="majorHAnsi" w:hAnsiTheme="majorHAnsi"/>
          <w:sz w:val="20"/>
        </w:rPr>
      </w:pPr>
      <w:r>
        <w:rPr>
          <w:rFonts w:asciiTheme="majorHAnsi" w:hAnsiTheme="majorHAnsi"/>
          <w:noProof/>
          <w:sz w:val="20"/>
          <w:lang w:eastAsia="en-US"/>
        </w:rPr>
        <w:drawing>
          <wp:inline distT="0" distB="0" distL="0" distR="0">
            <wp:extent cx="3046095" cy="240538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rotWithShape="1">
                    <a:blip r:embed="rId15">
                      <a:extLst>
                        <a:ext uri="{28A0092B-C50C-407E-A947-70E740481C1C}">
                          <a14:useLocalDpi xmlns:a14="http://schemas.microsoft.com/office/drawing/2010/main" val="0"/>
                        </a:ext>
                      </a:extLst>
                    </a:blip>
                    <a:srcRect t="5959"/>
                    <a:stretch/>
                  </pic:blipFill>
                  <pic:spPr bwMode="auto">
                    <a:xfrm>
                      <a:off x="0" y="0"/>
                      <a:ext cx="3046095" cy="2405380"/>
                    </a:xfrm>
                    <a:prstGeom prst="rect">
                      <a:avLst/>
                    </a:prstGeom>
                    <a:ln>
                      <a:noFill/>
                    </a:ln>
                    <a:extLst>
                      <a:ext uri="{53640926-AAD7-44D8-BBD7-CCE9431645EC}">
                        <a14:shadowObscured xmlns:a14="http://schemas.microsoft.com/office/drawing/2010/main"/>
                      </a:ext>
                    </a:extLst>
                  </pic:spPr>
                </pic:pic>
              </a:graphicData>
            </a:graphic>
          </wp:inline>
        </w:drawing>
      </w:r>
    </w:p>
    <w:p w:rsidR="00877981" w:rsidRDefault="006D5D8F" w:rsidP="00011E66">
      <w:pPr>
        <w:pStyle w:val="ListParagraph"/>
        <w:ind w:left="0"/>
        <w:jc w:val="both"/>
        <w:rPr>
          <w:rFonts w:asciiTheme="majorHAnsi" w:hAnsiTheme="majorHAnsi"/>
          <w:sz w:val="20"/>
        </w:rPr>
      </w:pPr>
      <w:r>
        <w:rPr>
          <w:rFonts w:asciiTheme="majorHAnsi" w:hAnsiTheme="majorHAnsi"/>
          <w:sz w:val="20"/>
        </w:rPr>
        <w:t>Also, it can be observed from the plot that when a factor is significant for one size portfolio, it is not necessary that it is also significant for the other size portfolios. That is to say, different size portfolios may have movements contributed to different factors in the same period of time.</w:t>
      </w:r>
    </w:p>
    <w:p w:rsidR="008F29AE" w:rsidRDefault="008F29AE" w:rsidP="008A02FF">
      <w:pPr>
        <w:pStyle w:val="ListParagraph"/>
        <w:ind w:left="360"/>
        <w:jc w:val="both"/>
        <w:rPr>
          <w:rFonts w:asciiTheme="majorHAnsi" w:hAnsiTheme="majorHAnsi"/>
          <w:sz w:val="20"/>
        </w:rPr>
      </w:pPr>
    </w:p>
    <w:p w:rsidR="008F29AE" w:rsidRDefault="008F29AE" w:rsidP="00011E66">
      <w:pPr>
        <w:pStyle w:val="ListParagraph"/>
        <w:ind w:left="0"/>
        <w:jc w:val="both"/>
        <w:rPr>
          <w:rFonts w:asciiTheme="majorHAnsi" w:hAnsiTheme="majorHAnsi"/>
          <w:sz w:val="20"/>
        </w:rPr>
      </w:pPr>
      <w:r>
        <w:rPr>
          <w:rFonts w:asciiTheme="majorHAnsi" w:hAnsiTheme="majorHAnsi"/>
          <w:sz w:val="20"/>
        </w:rPr>
        <w:t>RMW, which measures the risk rewards on firm’s profitability, are more significant during the 2008 financial crisis for the low size companies, which means that during that time, the robustness of a small company’s profitability is an important factor for the company’s stock performance.</w:t>
      </w:r>
    </w:p>
    <w:p w:rsidR="006D5D8F" w:rsidRDefault="006D5D8F" w:rsidP="008A02FF">
      <w:pPr>
        <w:pStyle w:val="ListParagraph"/>
        <w:ind w:left="360"/>
        <w:jc w:val="both"/>
        <w:rPr>
          <w:rFonts w:asciiTheme="majorHAnsi" w:hAnsiTheme="majorHAnsi"/>
          <w:sz w:val="20"/>
        </w:rPr>
      </w:pPr>
    </w:p>
    <w:p w:rsidR="007D2242" w:rsidRPr="007D2242" w:rsidRDefault="007D2242" w:rsidP="007D2242">
      <w:pPr>
        <w:pStyle w:val="ListParagraph"/>
        <w:numPr>
          <w:ilvl w:val="0"/>
          <w:numId w:val="2"/>
        </w:numPr>
        <w:jc w:val="both"/>
        <w:rPr>
          <w:rFonts w:asciiTheme="majorHAnsi" w:hAnsiTheme="majorHAnsi"/>
          <w:b/>
          <w:i/>
          <w:noProof/>
          <w:lang w:eastAsia="en-US"/>
        </w:rPr>
      </w:pPr>
      <w:r w:rsidRPr="007D2242">
        <w:rPr>
          <w:rFonts w:asciiTheme="majorHAnsi" w:hAnsiTheme="majorHAnsi"/>
          <w:b/>
          <w:i/>
          <w:noProof/>
          <w:lang w:eastAsia="en-US"/>
        </w:rPr>
        <w:t>Correlation between Factors</w:t>
      </w:r>
    </w:p>
    <w:p w:rsidR="007D2242" w:rsidRDefault="007D2242" w:rsidP="00011E66">
      <w:pPr>
        <w:pStyle w:val="ListParagraph"/>
        <w:ind w:left="0"/>
        <w:jc w:val="both"/>
        <w:rPr>
          <w:rFonts w:asciiTheme="majorHAnsi" w:hAnsiTheme="majorHAnsi"/>
          <w:sz w:val="20"/>
        </w:rPr>
      </w:pPr>
    </w:p>
    <w:p w:rsidR="006D5D8F" w:rsidRDefault="008F29AE" w:rsidP="00011E66">
      <w:pPr>
        <w:pStyle w:val="ListParagraph"/>
        <w:ind w:left="0"/>
        <w:jc w:val="both"/>
        <w:rPr>
          <w:rFonts w:asciiTheme="majorHAnsi" w:hAnsiTheme="majorHAnsi"/>
          <w:sz w:val="20"/>
        </w:rPr>
      </w:pPr>
      <w:r>
        <w:rPr>
          <w:rFonts w:asciiTheme="majorHAnsi" w:hAnsiTheme="majorHAnsi"/>
          <w:sz w:val="20"/>
        </w:rPr>
        <w:t>Although the five factors are not alw</w:t>
      </w:r>
      <w:r w:rsidR="003C189A">
        <w:rPr>
          <w:rFonts w:asciiTheme="majorHAnsi" w:hAnsiTheme="majorHAnsi"/>
          <w:sz w:val="20"/>
        </w:rPr>
        <w:t>ays significant, it is very likely that the insignificant factor was well represented by other significant factors, considering the high correlations among the five factors by nature.</w:t>
      </w:r>
      <w:r w:rsidR="00BE7D60">
        <w:rPr>
          <w:rFonts w:asciiTheme="majorHAnsi" w:hAnsiTheme="majorHAnsi"/>
          <w:sz w:val="20"/>
        </w:rPr>
        <w:t xml:space="preserve"> Thus, we then</w:t>
      </w:r>
      <w:r w:rsidR="003C189A">
        <w:rPr>
          <w:rFonts w:asciiTheme="majorHAnsi" w:hAnsiTheme="majorHAnsi"/>
          <w:sz w:val="20"/>
        </w:rPr>
        <w:t xml:space="preserve"> looked at the correlation among the five factors by firstly doing OLS regression of each factor on the rest four</w:t>
      </w:r>
      <w:r w:rsidR="00BE7D60">
        <w:rPr>
          <w:rFonts w:asciiTheme="majorHAnsi" w:hAnsiTheme="majorHAnsi"/>
          <w:sz w:val="20"/>
        </w:rPr>
        <w:t xml:space="preserve"> through the whole time horizon. A</w:t>
      </w:r>
      <w:r w:rsidR="003C189A">
        <w:rPr>
          <w:rFonts w:asciiTheme="majorHAnsi" w:hAnsiTheme="majorHAnsi"/>
          <w:sz w:val="20"/>
        </w:rPr>
        <w:t>nd</w:t>
      </w:r>
      <w:r w:rsidR="00BE7D60">
        <w:rPr>
          <w:rFonts w:asciiTheme="majorHAnsi" w:hAnsiTheme="majorHAnsi"/>
          <w:sz w:val="20"/>
        </w:rPr>
        <w:t xml:space="preserve"> in order to further explore whether the correlation patterns are different under different scenarios, we then did</w:t>
      </w:r>
      <w:r w:rsidR="003C189A">
        <w:rPr>
          <w:rFonts w:asciiTheme="majorHAnsi" w:hAnsiTheme="majorHAnsi"/>
          <w:sz w:val="20"/>
        </w:rPr>
        <w:t xml:space="preserve"> similar regressions but </w:t>
      </w:r>
      <w:r w:rsidR="00BE7D60">
        <w:rPr>
          <w:rFonts w:asciiTheme="majorHAnsi" w:hAnsiTheme="majorHAnsi"/>
          <w:sz w:val="20"/>
        </w:rPr>
        <w:t>segment the history by months when S&amp;P 500</w:t>
      </w:r>
      <w:r w:rsidR="00343948">
        <w:rPr>
          <w:rFonts w:asciiTheme="majorHAnsi" w:hAnsiTheme="majorHAnsi"/>
          <w:sz w:val="20"/>
        </w:rPr>
        <w:t xml:space="preserve"> or the target size portfolio</w:t>
      </w:r>
      <w:r w:rsidR="00BE7D60">
        <w:rPr>
          <w:rFonts w:asciiTheme="majorHAnsi" w:hAnsiTheme="majorHAnsi"/>
          <w:sz w:val="20"/>
        </w:rPr>
        <w:t xml:space="preserve"> had positive monthly returns and negative monthly returns, and by bull and bear markets.</w:t>
      </w:r>
      <w:r w:rsidR="007D2242">
        <w:rPr>
          <w:rFonts w:asciiTheme="majorHAnsi" w:hAnsiTheme="majorHAnsi"/>
          <w:sz w:val="20"/>
        </w:rPr>
        <w:t xml:space="preserve"> Finally, we also examine the Pearson correlation between factors on a rolling window basis.</w:t>
      </w:r>
    </w:p>
    <w:p w:rsidR="00BE7D60" w:rsidRDefault="00BE7D60" w:rsidP="008A02FF">
      <w:pPr>
        <w:pStyle w:val="ListParagraph"/>
        <w:ind w:left="360"/>
        <w:jc w:val="both"/>
        <w:rPr>
          <w:rFonts w:asciiTheme="majorHAnsi" w:hAnsiTheme="majorHAnsi"/>
          <w:sz w:val="20"/>
        </w:rPr>
      </w:pPr>
    </w:p>
    <w:p w:rsidR="00002F85" w:rsidRPr="0009782E" w:rsidRDefault="00BE7D60" w:rsidP="00BE7D60">
      <w:pPr>
        <w:pStyle w:val="ListParagraph"/>
        <w:numPr>
          <w:ilvl w:val="1"/>
          <w:numId w:val="2"/>
        </w:numPr>
        <w:ind w:left="720"/>
        <w:jc w:val="both"/>
        <w:rPr>
          <w:rFonts w:asciiTheme="majorHAnsi" w:hAnsiTheme="majorHAnsi"/>
          <w:i/>
          <w:sz w:val="20"/>
        </w:rPr>
      </w:pPr>
      <w:r w:rsidRPr="0009782E">
        <w:rPr>
          <w:rFonts w:asciiTheme="majorHAnsi" w:hAnsiTheme="majorHAnsi"/>
          <w:i/>
          <w:sz w:val="20"/>
        </w:rPr>
        <w:lastRenderedPageBreak/>
        <w:t>Regression on the whole time horizon</w:t>
      </w:r>
    </w:p>
    <w:p w:rsidR="007D2242" w:rsidRPr="007D2242" w:rsidRDefault="007D2242" w:rsidP="007D2242">
      <w:pPr>
        <w:jc w:val="both"/>
        <w:rPr>
          <w:rFonts w:asciiTheme="majorHAnsi" w:hAnsiTheme="majorHAnsi"/>
          <w:sz w:val="20"/>
        </w:rPr>
      </w:pPr>
      <w:r>
        <w:rPr>
          <w:rFonts w:asciiTheme="majorHAnsi" w:hAnsiTheme="majorHAnsi"/>
          <w:sz w:val="20"/>
        </w:rPr>
        <w:t xml:space="preserve">As shown in Figure n below, </w:t>
      </w:r>
      <w:r w:rsidR="00BD08B4">
        <w:rPr>
          <w:rFonts w:asciiTheme="majorHAnsi" w:hAnsiTheme="majorHAnsi"/>
          <w:sz w:val="20"/>
        </w:rPr>
        <w:t>with both monthly data and daily data, the five factors present tight correlations. With monthly data, all factors except for HML bring in statistically significant extra returns</w:t>
      </w:r>
      <w:r w:rsidR="0009782E">
        <w:rPr>
          <w:rFonts w:asciiTheme="majorHAnsi" w:hAnsiTheme="majorHAnsi"/>
          <w:sz w:val="20"/>
        </w:rPr>
        <w:t xml:space="preserve"> (reflected by the constant term)</w:t>
      </w:r>
      <w:r w:rsidR="00BD08B4">
        <w:rPr>
          <w:rFonts w:asciiTheme="majorHAnsi" w:hAnsiTheme="majorHAnsi"/>
          <w:sz w:val="20"/>
        </w:rPr>
        <w:t xml:space="preserve"> beyond the parts that can be explained by the other four factors. Take the market excess return as an example, </w:t>
      </w:r>
      <w:r w:rsidR="0009782E">
        <w:rPr>
          <w:rFonts w:asciiTheme="majorHAnsi" w:hAnsiTheme="majorHAnsi"/>
          <w:sz w:val="20"/>
        </w:rPr>
        <w:t xml:space="preserve">except the portion that explained by SMB, RMW and CMA, it still contains 0.79% of monthly return that are unexplained to other factors. HML is the only factor that does not have a statistically significant constant term, which are consistent with the conclusion that HML is redundant by a lot of research papers. </w:t>
      </w:r>
    </w:p>
    <w:tbl>
      <w:tblPr>
        <w:tblStyle w:val="TableGrid"/>
        <w:tblW w:w="0" w:type="auto"/>
        <w:tblInd w:w="85" w:type="dxa"/>
        <w:tblLook w:val="04A0" w:firstRow="1" w:lastRow="0" w:firstColumn="1" w:lastColumn="0" w:noHBand="0" w:noVBand="1"/>
      </w:tblPr>
      <w:tblGrid>
        <w:gridCol w:w="4432"/>
      </w:tblGrid>
      <w:tr w:rsidR="004C37AA" w:rsidTr="00BE7D60">
        <w:tc>
          <w:tcPr>
            <w:tcW w:w="4432" w:type="dxa"/>
            <w:tcBorders>
              <w:top w:val="dashSmallGap" w:sz="4" w:space="0" w:color="auto"/>
              <w:left w:val="dashSmallGap" w:sz="4" w:space="0" w:color="auto"/>
              <w:bottom w:val="nil"/>
              <w:right w:val="nil"/>
            </w:tcBorders>
          </w:tcPr>
          <w:p w:rsidR="004C37AA" w:rsidRPr="004C37AA" w:rsidRDefault="004C37AA" w:rsidP="00BE7D60">
            <w:pPr>
              <w:ind w:left="-27"/>
              <w:jc w:val="both"/>
              <w:rPr>
                <w:rFonts w:asciiTheme="majorHAnsi" w:hAnsiTheme="majorHAnsi"/>
                <w:i/>
                <w:sz w:val="20"/>
              </w:rPr>
            </w:pPr>
            <w:r>
              <w:rPr>
                <w:rFonts w:asciiTheme="majorHAnsi" w:hAnsiTheme="majorHAnsi"/>
                <w:i/>
                <w:sz w:val="18"/>
              </w:rPr>
              <w:t xml:space="preserve">Figure n: </w:t>
            </w:r>
            <w:r w:rsidRPr="004C37AA">
              <w:rPr>
                <w:rFonts w:asciiTheme="majorHAnsi" w:hAnsiTheme="majorHAnsi"/>
                <w:i/>
                <w:sz w:val="18"/>
              </w:rPr>
              <w:t>Regression among 5 Factor</w:t>
            </w:r>
            <w:r>
              <w:rPr>
                <w:rFonts w:asciiTheme="majorHAnsi" w:hAnsiTheme="majorHAnsi"/>
                <w:i/>
                <w:sz w:val="18"/>
              </w:rPr>
              <w:t>s</w:t>
            </w:r>
            <w:r w:rsidR="00BE7D60">
              <w:rPr>
                <w:rFonts w:asciiTheme="majorHAnsi" w:hAnsiTheme="majorHAnsi"/>
                <w:i/>
                <w:sz w:val="18"/>
              </w:rPr>
              <w:t xml:space="preserve"> with monthly 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6">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9782E" w:rsidRDefault="0009782E" w:rsidP="00002F85">
      <w:pPr>
        <w:pStyle w:val="ListParagraph"/>
        <w:ind w:left="0"/>
        <w:jc w:val="both"/>
        <w:rPr>
          <w:rFonts w:asciiTheme="majorHAnsi" w:hAnsiTheme="majorHAnsi"/>
          <w:sz w:val="20"/>
        </w:rPr>
      </w:pPr>
      <w:r>
        <w:rPr>
          <w:rFonts w:asciiTheme="majorHAnsi" w:hAnsiTheme="majorHAnsi"/>
          <w:sz w:val="20"/>
        </w:rPr>
        <w:t xml:space="preserve">However, if we shift to daily data, the HML factor is saved, and </w:t>
      </w:r>
      <w:r w:rsidR="00AE3F05">
        <w:rPr>
          <w:rFonts w:asciiTheme="majorHAnsi" w:hAnsiTheme="majorHAnsi"/>
          <w:sz w:val="20"/>
        </w:rPr>
        <w:t xml:space="preserve">actually </w:t>
      </w:r>
      <w:r>
        <w:rPr>
          <w:rFonts w:asciiTheme="majorHAnsi" w:hAnsiTheme="majorHAnsi"/>
          <w:sz w:val="20"/>
        </w:rPr>
        <w:t xml:space="preserve">all the five factors have statistically significant constant terms. And we can say that with daily data, the five factors are more tightly correlated with each other in terms that in each of the regression, all the four factors are always significant simultaneously. However, compared with monthly data, </w:t>
      </w:r>
      <w:proofErr w:type="gramStart"/>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with</w:t>
      </w:r>
      <w:proofErr w:type="gramEnd"/>
      <w:r>
        <w:rPr>
          <w:rFonts w:asciiTheme="majorHAnsi" w:hAnsiTheme="majorHAnsi"/>
          <w:sz w:val="20"/>
        </w:rPr>
        <w:t xml:space="preserve"> daily data a slightly lower, which can contribute to more noise in the daily data.</w:t>
      </w:r>
    </w:p>
    <w:p w:rsidR="00AE3F05" w:rsidRDefault="00AE3F05" w:rsidP="00002F85">
      <w:pPr>
        <w:pStyle w:val="ListParagraph"/>
        <w:ind w:left="0"/>
        <w:jc w:val="both"/>
        <w:rPr>
          <w:rFonts w:asciiTheme="majorHAnsi" w:hAnsiTheme="majorHAnsi"/>
          <w:sz w:val="20"/>
        </w:rPr>
      </w:pPr>
    </w:p>
    <w:tbl>
      <w:tblPr>
        <w:tblStyle w:val="TableGrid"/>
        <w:tblW w:w="0" w:type="auto"/>
        <w:tblLook w:val="04A0" w:firstRow="1" w:lastRow="0" w:firstColumn="1" w:lastColumn="0" w:noHBand="0" w:noVBand="1"/>
      </w:tblPr>
      <w:tblGrid>
        <w:gridCol w:w="4315"/>
      </w:tblGrid>
      <w:tr w:rsidR="004C37AA" w:rsidTr="004C37AA">
        <w:tc>
          <w:tcPr>
            <w:tcW w:w="4315" w:type="dxa"/>
            <w:tcBorders>
              <w:top w:val="dashSmallGap" w:sz="4" w:space="0" w:color="auto"/>
              <w:left w:val="dashSmallGap" w:sz="4" w:space="0" w:color="auto"/>
              <w:bottom w:val="nil"/>
              <w:right w:val="nil"/>
            </w:tcBorders>
          </w:tcPr>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Figure n: Regression among</w:t>
            </w:r>
            <w:r w:rsidR="00BE7D60">
              <w:rPr>
                <w:rFonts w:asciiTheme="majorHAnsi" w:hAnsiTheme="majorHAnsi"/>
                <w:i/>
                <w:sz w:val="18"/>
              </w:rPr>
              <w:t xml:space="preserve"> 5 Factors with d</w:t>
            </w:r>
            <w:r w:rsidRPr="004C37AA">
              <w:rPr>
                <w:rFonts w:asciiTheme="majorHAnsi" w:hAnsiTheme="majorHAnsi"/>
                <w:i/>
                <w:sz w:val="18"/>
              </w:rPr>
              <w:t xml:space="preserve">aily </w:t>
            </w:r>
            <w:r w:rsidR="00BE7D60">
              <w:rPr>
                <w:rFonts w:asciiTheme="majorHAnsi" w:hAnsiTheme="majorHAnsi"/>
                <w:i/>
                <w:sz w:val="18"/>
              </w:rPr>
              <w:t>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7">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343948" w:rsidRDefault="00343948" w:rsidP="00002F85">
      <w:pPr>
        <w:pStyle w:val="ListParagraph"/>
        <w:ind w:left="0"/>
        <w:jc w:val="both"/>
        <w:rPr>
          <w:rFonts w:asciiTheme="majorHAnsi" w:hAnsiTheme="majorHAnsi"/>
          <w:sz w:val="20"/>
        </w:rPr>
      </w:pPr>
    </w:p>
    <w:p w:rsidR="00002F85"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Positive V.S. Negative Month</w:t>
      </w:r>
    </w:p>
    <w:p w:rsidR="005C0BED" w:rsidRDefault="00AE3F05" w:rsidP="00AE3F05">
      <w:pPr>
        <w:jc w:val="both"/>
        <w:rPr>
          <w:rFonts w:asciiTheme="majorHAnsi" w:hAnsiTheme="majorHAnsi"/>
          <w:sz w:val="20"/>
        </w:rPr>
      </w:pPr>
      <w:r>
        <w:rPr>
          <w:rFonts w:asciiTheme="majorHAnsi" w:hAnsiTheme="majorHAnsi"/>
          <w:sz w:val="20"/>
        </w:rPr>
        <w:t xml:space="preserve">We divided the history into two buckets, one is the months when S&amp;P 500 index </w:t>
      </w:r>
      <w:r w:rsidR="00343948">
        <w:rPr>
          <w:rFonts w:asciiTheme="majorHAnsi" w:hAnsiTheme="majorHAnsi"/>
          <w:sz w:val="20"/>
        </w:rPr>
        <w:t xml:space="preserve">or the target size portfolio </w:t>
      </w:r>
      <w:r>
        <w:rPr>
          <w:rFonts w:asciiTheme="majorHAnsi" w:hAnsiTheme="majorHAnsi"/>
          <w:sz w:val="20"/>
        </w:rPr>
        <w:t xml:space="preserve">had positive returns and the other is the </w:t>
      </w:r>
      <w:r w:rsidR="00343948">
        <w:rPr>
          <w:rFonts w:asciiTheme="majorHAnsi" w:hAnsiTheme="majorHAnsi"/>
          <w:sz w:val="20"/>
        </w:rPr>
        <w:t xml:space="preserve">opposite months. </w:t>
      </w:r>
    </w:p>
    <w:p w:rsidR="00AE3F05" w:rsidRPr="00AE3F05" w:rsidRDefault="00343948" w:rsidP="00AE3F05">
      <w:pPr>
        <w:jc w:val="both"/>
        <w:rPr>
          <w:rFonts w:asciiTheme="majorHAnsi" w:hAnsiTheme="majorHAnsi"/>
          <w:sz w:val="20"/>
        </w:rPr>
      </w:pPr>
      <w:r>
        <w:rPr>
          <w:rFonts w:asciiTheme="majorHAnsi" w:hAnsiTheme="majorHAnsi"/>
          <w:sz w:val="20"/>
        </w:rPr>
        <w:t>Figure n below summarize</w:t>
      </w:r>
      <w:r w:rsidR="005C0BED">
        <w:rPr>
          <w:rFonts w:asciiTheme="majorHAnsi" w:hAnsiTheme="majorHAnsi"/>
          <w:sz w:val="20"/>
        </w:rPr>
        <w:t xml:space="preserve">d the </w:t>
      </w:r>
      <w:r>
        <w:rPr>
          <w:rFonts w:asciiTheme="majorHAnsi" w:hAnsiTheme="majorHAnsi"/>
          <w:sz w:val="20"/>
        </w:rPr>
        <w:t>regressions</w:t>
      </w:r>
      <w:r w:rsidR="005C0BED">
        <w:rPr>
          <w:rFonts w:asciiTheme="majorHAnsi" w:hAnsiTheme="majorHAnsi"/>
          <w:sz w:val="20"/>
        </w:rPr>
        <w:t xml:space="preserve"> of three size factors when they have positive/negative monthly returns on the five factors. HML and RMW are not significant to the Low 30% size portfolio when it had negative monthly returns, and CMA is insignificant for any portfolios and any of the two scenarios. For all the three portfolios, the coefficient is larger in the negative-return periods than in the positive-return periods. SMB’s coefficient in positive and negative-return periods are similar for each portfolio. It is an interesting observation that the HML and RMW will have coefficients in opposite sign in positive and negative-return periods.</w:t>
      </w:r>
    </w:p>
    <w:tbl>
      <w:tblPr>
        <w:tblStyle w:val="TableGrid"/>
        <w:tblW w:w="0" w:type="auto"/>
        <w:tblLook w:val="04A0" w:firstRow="1" w:lastRow="0" w:firstColumn="1" w:lastColumn="0" w:noHBand="0" w:noVBand="1"/>
      </w:tblPr>
      <w:tblGrid>
        <w:gridCol w:w="4405"/>
      </w:tblGrid>
      <w:tr w:rsidR="004C37AA" w:rsidTr="00DE46AC">
        <w:tc>
          <w:tcPr>
            <w:tcW w:w="4405" w:type="dxa"/>
            <w:tcBorders>
              <w:top w:val="dashSmallGap" w:sz="4" w:space="0" w:color="auto"/>
              <w:left w:val="dashSmallGap" w:sz="4" w:space="0" w:color="auto"/>
              <w:bottom w:val="nil"/>
              <w:right w:val="nil"/>
            </w:tcBorders>
          </w:tcPr>
          <w:p w:rsidR="00DE46AC" w:rsidRDefault="004C37AA" w:rsidP="004C37AA">
            <w:pPr>
              <w:jc w:val="both"/>
              <w:rPr>
                <w:rFonts w:asciiTheme="majorHAnsi" w:hAnsiTheme="majorHAnsi"/>
                <w:i/>
                <w:sz w:val="18"/>
              </w:rPr>
            </w:pPr>
            <w:r w:rsidRPr="004C37AA">
              <w:rPr>
                <w:rFonts w:asciiTheme="majorHAnsi" w:hAnsiTheme="majorHAnsi"/>
                <w:i/>
                <w:sz w:val="18"/>
              </w:rPr>
              <w:t xml:space="preserve">Figure n: </w:t>
            </w:r>
          </w:p>
          <w:p w:rsidR="004C37AA" w:rsidRDefault="004C37AA" w:rsidP="00DE46AC">
            <w:pPr>
              <w:jc w:val="both"/>
              <w:rPr>
                <w:rFonts w:asciiTheme="majorHAnsi" w:hAnsiTheme="majorHAnsi"/>
                <w:sz w:val="20"/>
              </w:rPr>
            </w:pPr>
            <w:r w:rsidRPr="004C37AA">
              <w:rPr>
                <w:rFonts w:asciiTheme="majorHAnsi" w:hAnsiTheme="majorHAnsi"/>
                <w:i/>
                <w:sz w:val="18"/>
              </w:rPr>
              <w:t xml:space="preserve">Regression </w:t>
            </w:r>
            <w:r w:rsidR="00DE46AC">
              <w:rPr>
                <w:rFonts w:asciiTheme="majorHAnsi" w:hAnsiTheme="majorHAnsi"/>
                <w:i/>
                <w:sz w:val="18"/>
              </w:rPr>
              <w:t>by</w:t>
            </w:r>
            <w:r>
              <w:rPr>
                <w:rFonts w:asciiTheme="majorHAnsi" w:hAnsiTheme="majorHAnsi"/>
                <w:i/>
                <w:sz w:val="18"/>
              </w:rPr>
              <w:t xml:space="preserve"> Positive/Negative S</w:t>
            </w:r>
            <w:r w:rsidR="00DE46AC">
              <w:rPr>
                <w:rFonts w:asciiTheme="majorHAnsi" w:hAnsiTheme="majorHAnsi"/>
                <w:i/>
                <w:sz w:val="18"/>
              </w:rPr>
              <w:t>&amp;</w:t>
            </w:r>
            <w:r>
              <w:rPr>
                <w:rFonts w:asciiTheme="majorHAnsi" w:hAnsiTheme="majorHAnsi"/>
                <w:i/>
                <w:sz w:val="18"/>
              </w:rPr>
              <w:t>P500 Return Months</w:t>
            </w:r>
          </w:p>
        </w:tc>
      </w:tr>
    </w:tbl>
    <w:p w:rsidR="00DE46AC"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430321" cy="1548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8">
                      <a:extLst>
                        <a:ext uri="{28A0092B-C50C-407E-A947-70E740481C1C}">
                          <a14:useLocalDpi xmlns:a14="http://schemas.microsoft.com/office/drawing/2010/main" val="0"/>
                        </a:ext>
                      </a:extLst>
                    </a:blip>
                    <a:srcRect l="2748" t="35398" r="48401" b="8462"/>
                    <a:stretch/>
                  </pic:blipFill>
                  <pic:spPr bwMode="auto">
                    <a:xfrm>
                      <a:off x="0" y="0"/>
                      <a:ext cx="3559785" cy="1606747"/>
                    </a:xfrm>
                    <a:prstGeom prst="rect">
                      <a:avLst/>
                    </a:prstGeom>
                    <a:ln>
                      <a:noFill/>
                    </a:ln>
                    <a:extLst>
                      <a:ext uri="{53640926-AAD7-44D8-BBD7-CCE9431645EC}">
                        <a14:shadowObscured xmlns:a14="http://schemas.microsoft.com/office/drawing/2010/main"/>
                      </a:ext>
                    </a:extLst>
                  </pic:spPr>
                </pic:pic>
              </a:graphicData>
            </a:graphic>
          </wp:inline>
        </w:drawing>
      </w:r>
    </w:p>
    <w:p w:rsidR="00DE46AC" w:rsidRDefault="00DE46AC" w:rsidP="003816A4">
      <w:pPr>
        <w:jc w:val="both"/>
        <w:rPr>
          <w:rFonts w:asciiTheme="majorHAnsi" w:hAnsiTheme="majorHAnsi"/>
          <w:sz w:val="20"/>
        </w:rPr>
      </w:pP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lastRenderedPageBreak/>
              <w:t xml:space="preserve">Figure n: </w:t>
            </w:r>
          </w:p>
          <w:p w:rsidR="00DE46AC" w:rsidRDefault="00DE46AC" w:rsidP="00DE46AC">
            <w:pPr>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Factors in positive S&amp;P500 return months</w:t>
            </w:r>
          </w:p>
        </w:tc>
      </w:tr>
    </w:tbl>
    <w:p w:rsidR="00DE46AC"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9">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BE7D60">
            <w:pPr>
              <w:jc w:val="both"/>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w:t>
            </w:r>
            <w:r w:rsidRPr="004C37AA">
              <w:rPr>
                <w:rFonts w:asciiTheme="majorHAnsi" w:hAnsiTheme="majorHAnsi"/>
                <w:i/>
                <w:sz w:val="18"/>
              </w:rPr>
              <w:t xml:space="preserve">Factors </w:t>
            </w:r>
            <w:r>
              <w:rPr>
                <w:rFonts w:asciiTheme="majorHAnsi" w:hAnsiTheme="majorHAnsi"/>
                <w:i/>
                <w:sz w:val="18"/>
              </w:rPr>
              <w:t>in n</w:t>
            </w:r>
            <w:r w:rsidR="00BE7D60">
              <w:rPr>
                <w:rFonts w:asciiTheme="majorHAnsi" w:hAnsiTheme="majorHAnsi"/>
                <w:i/>
                <w:sz w:val="18"/>
              </w:rPr>
              <w:t>egative S&amp;P500 return m</w:t>
            </w:r>
            <w:r>
              <w:rPr>
                <w:rFonts w:asciiTheme="majorHAnsi" w:hAnsiTheme="majorHAnsi"/>
                <w:i/>
                <w:sz w:val="18"/>
              </w:rPr>
              <w:t>onths</w:t>
            </w:r>
          </w:p>
        </w:tc>
      </w:tr>
    </w:tbl>
    <w:p w:rsidR="00002F85"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20">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DE46AC" w:rsidRPr="0009782E"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Bull V.S. Bear market</w:t>
      </w:r>
    </w:p>
    <w:p w:rsidR="00DE46AC" w:rsidRDefault="00DE46AC" w:rsidP="00DE46AC">
      <w:pPr>
        <w:pStyle w:val="ListParagraph"/>
        <w:tabs>
          <w:tab w:val="left" w:pos="0"/>
        </w:tabs>
        <w:ind w:left="0"/>
        <w:jc w:val="both"/>
        <w:rPr>
          <w:rFonts w:asciiTheme="majorHAnsi" w:hAnsiTheme="majorHAnsi"/>
          <w:sz w:val="20"/>
        </w:rPr>
      </w:pPr>
    </w:p>
    <w:p w:rsidR="00DE46AC" w:rsidRDefault="00DE46AC" w:rsidP="00DE46AC">
      <w:pPr>
        <w:pStyle w:val="ListParagraph"/>
        <w:tabs>
          <w:tab w:val="left" w:pos="0"/>
        </w:tabs>
        <w:ind w:left="0"/>
        <w:jc w:val="both"/>
        <w:rPr>
          <w:rFonts w:asciiTheme="majorHAnsi" w:hAnsiTheme="majorHAnsi"/>
          <w:sz w:val="20"/>
        </w:rPr>
      </w:pPr>
    </w:p>
    <w:p w:rsidR="00DE46AC" w:rsidRDefault="00DE46AC" w:rsidP="00DE46AC">
      <w:pPr>
        <w:pStyle w:val="ListParagraph"/>
        <w:tabs>
          <w:tab w:val="left" w:pos="0"/>
        </w:tabs>
        <w:ind w:left="0"/>
        <w:jc w:val="both"/>
        <w:rPr>
          <w:rFonts w:asciiTheme="majorHAnsi" w:hAnsiTheme="majorHAnsi"/>
          <w:sz w:val="20"/>
        </w:rPr>
      </w:pPr>
    </w:p>
    <w:p w:rsidR="00DE46AC" w:rsidRDefault="00DE46AC" w:rsidP="00DE46AC">
      <w:pPr>
        <w:pStyle w:val="ListParagraph"/>
        <w:tabs>
          <w:tab w:val="left" w:pos="0"/>
        </w:tabs>
        <w:ind w:left="0"/>
        <w:jc w:val="both"/>
        <w:rPr>
          <w:rFonts w:asciiTheme="majorHAnsi" w:hAnsiTheme="majorHAnsi"/>
          <w:sz w:val="20"/>
        </w:rPr>
      </w:pPr>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Default="00DE46AC" w:rsidP="00DE46AC">
            <w:pPr>
              <w:pStyle w:val="ListParagraph"/>
              <w:tabs>
                <w:tab w:val="left" w:pos="0"/>
              </w:tabs>
              <w:ind w:left="0"/>
              <w:jc w:val="both"/>
              <w:rPr>
                <w:rFonts w:asciiTheme="majorHAnsi" w:hAnsiTheme="majorHAnsi"/>
                <w:sz w:val="20"/>
              </w:rPr>
            </w:pPr>
            <w:r w:rsidRPr="004C37AA">
              <w:rPr>
                <w:rFonts w:asciiTheme="majorHAnsi" w:hAnsiTheme="majorHAnsi"/>
                <w:i/>
                <w:sz w:val="18"/>
              </w:rPr>
              <w:t xml:space="preserve">Figure n: Regression </w:t>
            </w:r>
            <w:r>
              <w:rPr>
                <w:rFonts w:asciiTheme="majorHAnsi" w:hAnsiTheme="majorHAnsi"/>
                <w:i/>
                <w:sz w:val="18"/>
              </w:rPr>
              <w:t>b</w:t>
            </w:r>
            <w:r w:rsidR="00BE7D60">
              <w:rPr>
                <w:rFonts w:asciiTheme="majorHAnsi" w:hAnsiTheme="majorHAnsi"/>
                <w:i/>
                <w:sz w:val="18"/>
              </w:rPr>
              <w:t>y Bull/Bear p</w:t>
            </w:r>
            <w:r>
              <w:rPr>
                <w:rFonts w:asciiTheme="majorHAnsi" w:hAnsiTheme="majorHAnsi"/>
                <w:i/>
                <w:sz w:val="18"/>
              </w:rPr>
              <w:t>eriods (daily data)</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bookmarkStart w:id="0" w:name="_GoBack"/>
      <w:r>
        <w:rPr>
          <w:noProof/>
          <w:lang w:eastAsia="en-US"/>
        </w:rPr>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21">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bookmarkEnd w:id="0"/>
    </w:p>
    <w:tbl>
      <w:tblPr>
        <w:tblStyle w:val="TableGrid"/>
        <w:tblW w:w="0" w:type="auto"/>
        <w:tblLook w:val="04A0" w:firstRow="1" w:lastRow="0" w:firstColumn="1" w:lastColumn="0" w:noHBand="0" w:noVBand="1"/>
      </w:tblPr>
      <w:tblGrid>
        <w:gridCol w:w="4135"/>
      </w:tblGrid>
      <w:tr w:rsidR="00DE46AC" w:rsidTr="00DE46AC">
        <w:tc>
          <w:tcPr>
            <w:tcW w:w="413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Bull Periods</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r>
        <w:rPr>
          <w:noProof/>
          <w:lang w:eastAsia="en-US"/>
        </w:rPr>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22">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Bear Periods</w:t>
            </w:r>
          </w:p>
        </w:tc>
      </w:tr>
    </w:tbl>
    <w:p w:rsidR="00DE46AC" w:rsidRDefault="00DE46AC" w:rsidP="00DE46AC">
      <w:pPr>
        <w:pStyle w:val="ListParagraph"/>
        <w:tabs>
          <w:tab w:val="left" w:pos="0"/>
        </w:tabs>
        <w:ind w:left="0"/>
        <w:jc w:val="both"/>
        <w:rPr>
          <w:rFonts w:asciiTheme="majorHAnsi" w:hAnsiTheme="majorHAnsi"/>
          <w:sz w:val="20"/>
        </w:rPr>
      </w:pPr>
    </w:p>
    <w:p w:rsidR="00D77002" w:rsidRPr="00DE46AC" w:rsidRDefault="00021429" w:rsidP="00DE46AC">
      <w:pPr>
        <w:pStyle w:val="ListParagraph"/>
        <w:tabs>
          <w:tab w:val="left" w:pos="0"/>
        </w:tabs>
        <w:ind w:left="0"/>
        <w:jc w:val="both"/>
        <w:rPr>
          <w:rFonts w:asciiTheme="majorHAnsi" w:hAnsiTheme="majorHAnsi"/>
          <w:sz w:val="20"/>
        </w:rPr>
      </w:pPr>
      <w:r>
        <w:rPr>
          <w:noProof/>
          <w:lang w:eastAsia="en-US"/>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23">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D77002" w:rsidRPr="0009782E" w:rsidRDefault="007D2242"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 xml:space="preserve">Pearson </w:t>
      </w:r>
      <w:r w:rsidR="00002F85" w:rsidRPr="0009782E">
        <w:rPr>
          <w:rFonts w:asciiTheme="majorHAnsi" w:hAnsiTheme="majorHAnsi"/>
          <w:i/>
          <w:sz w:val="20"/>
        </w:rPr>
        <w:t>Correlation between factors</w:t>
      </w:r>
      <w:r w:rsidRPr="0009782E">
        <w:rPr>
          <w:rFonts w:asciiTheme="majorHAnsi" w:hAnsiTheme="majorHAnsi"/>
          <w:i/>
          <w:sz w:val="20"/>
        </w:rPr>
        <w:t xml:space="preserve"> over time</w:t>
      </w:r>
    </w:p>
    <w:tbl>
      <w:tblPr>
        <w:tblStyle w:val="TableGrid"/>
        <w:tblW w:w="0" w:type="auto"/>
        <w:tblLook w:val="04A0" w:firstRow="1" w:lastRow="0" w:firstColumn="1" w:lastColumn="0" w:noHBand="0" w:noVBand="1"/>
      </w:tblPr>
      <w:tblGrid>
        <w:gridCol w:w="3775"/>
      </w:tblGrid>
      <w:tr w:rsidR="00DE46AC" w:rsidTr="00DE46AC">
        <w:tc>
          <w:tcPr>
            <w:tcW w:w="3775" w:type="dxa"/>
            <w:tcBorders>
              <w:top w:val="dashSmallGap" w:sz="4" w:space="0" w:color="auto"/>
              <w:left w:val="dashSmallGap" w:sz="4" w:space="0" w:color="auto"/>
              <w:bottom w:val="nil"/>
              <w:right w:val="nil"/>
            </w:tcBorders>
          </w:tcPr>
          <w:p w:rsidR="00DE46AC" w:rsidRPr="00DE46AC" w:rsidRDefault="00DE46AC" w:rsidP="0094750C">
            <w:pPr>
              <w:jc w:val="both"/>
              <w:rPr>
                <w:rFonts w:asciiTheme="majorHAnsi" w:hAnsiTheme="majorHAnsi"/>
                <w:i/>
                <w:sz w:val="20"/>
              </w:rPr>
            </w:pPr>
            <w:r w:rsidRPr="00DE46AC">
              <w:rPr>
                <w:rFonts w:asciiTheme="majorHAnsi" w:hAnsiTheme="majorHAnsi"/>
                <w:i/>
                <w:sz w:val="18"/>
              </w:rPr>
              <w:t>Figure n: Pearson Correlation among 5 Factors</w:t>
            </w:r>
          </w:p>
        </w:tc>
      </w:tr>
    </w:tbl>
    <w:p w:rsidR="00DE46AC" w:rsidRDefault="00DE46AC" w:rsidP="0094750C">
      <w:pPr>
        <w:jc w:val="both"/>
        <w:rPr>
          <w:rFonts w:asciiTheme="majorHAnsi" w:hAnsiTheme="majorHAnsi"/>
          <w:sz w:val="20"/>
        </w:rPr>
      </w:pPr>
    </w:p>
    <w:p w:rsidR="0094750C" w:rsidRDefault="0094750C" w:rsidP="0094750C">
      <w:pPr>
        <w:jc w:val="both"/>
        <w:rPr>
          <w:rFonts w:asciiTheme="majorHAnsi" w:hAnsiTheme="majorHAnsi"/>
          <w:sz w:val="20"/>
        </w:rPr>
      </w:pPr>
      <w:r>
        <w:rPr>
          <w:rFonts w:asciiTheme="majorHAnsi" w:hAnsiTheme="majorHAnsi"/>
          <w:noProof/>
          <w:sz w:val="20"/>
          <w:lang w:eastAsia="en-US"/>
        </w:rPr>
        <w:lastRenderedPageBreak/>
        <w:drawing>
          <wp:inline distT="0" distB="0" distL="0" distR="0">
            <wp:extent cx="3046095" cy="2984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6095" cy="2984500"/>
                    </a:xfrm>
                    <a:prstGeom prst="rect">
                      <a:avLst/>
                    </a:prstGeom>
                  </pic:spPr>
                </pic:pic>
              </a:graphicData>
            </a:graphic>
          </wp:inline>
        </w:drawing>
      </w:r>
    </w:p>
    <w:p w:rsidR="00DE46AC" w:rsidRPr="0094750C" w:rsidRDefault="00DE46AC" w:rsidP="0094750C">
      <w:pPr>
        <w:jc w:val="both"/>
        <w:rPr>
          <w:rFonts w:asciiTheme="majorHAnsi" w:hAnsiTheme="majorHAnsi"/>
          <w:sz w:val="20"/>
        </w:rPr>
      </w:pPr>
    </w:p>
    <w:p w:rsidR="0094750C" w:rsidRPr="0094750C" w:rsidRDefault="0094750C" w:rsidP="0094750C">
      <w:pPr>
        <w:jc w:val="both"/>
        <w:rPr>
          <w:rFonts w:asciiTheme="majorHAnsi" w:hAnsiTheme="majorHAnsi"/>
          <w:sz w:val="20"/>
        </w:rPr>
      </w:pPr>
    </w:p>
    <w:p w:rsidR="00D77002" w:rsidRDefault="008631FC" w:rsidP="008631FC">
      <w:pPr>
        <w:pStyle w:val="ListParagraph"/>
        <w:numPr>
          <w:ilvl w:val="0"/>
          <w:numId w:val="2"/>
        </w:numPr>
        <w:jc w:val="both"/>
        <w:rPr>
          <w:rFonts w:asciiTheme="majorHAnsi" w:hAnsiTheme="majorHAnsi"/>
          <w:sz w:val="20"/>
        </w:rPr>
      </w:pPr>
      <w:r>
        <w:rPr>
          <w:rFonts w:asciiTheme="majorHAnsi" w:hAnsiTheme="majorHAnsi"/>
          <w:sz w:val="20"/>
        </w:rPr>
        <w:t>Conclusion</w:t>
      </w:r>
    </w:p>
    <w:p w:rsidR="008631FC" w:rsidRPr="008631FC" w:rsidRDefault="008631FC" w:rsidP="008631FC">
      <w:pPr>
        <w:pStyle w:val="ListParagraph"/>
        <w:numPr>
          <w:ilvl w:val="0"/>
          <w:numId w:val="2"/>
        </w:numPr>
        <w:jc w:val="both"/>
        <w:rPr>
          <w:rFonts w:asciiTheme="majorHAnsi" w:hAnsiTheme="majorHAnsi"/>
          <w:sz w:val="20"/>
        </w:rPr>
      </w:pPr>
      <w:r>
        <w:rPr>
          <w:rFonts w:asciiTheme="majorHAnsi" w:hAnsiTheme="majorHAnsi"/>
          <w:sz w:val="20"/>
        </w:rPr>
        <w:t>Future Plan</w:t>
      </w: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5"/>
          <w:footerReference w:type="default" r:id="rId26"/>
          <w:headerReference w:type="first" r:id="rId27"/>
          <w:footerReference w:type="first" r:id="rId28"/>
          <w:pgSz w:w="12240" w:h="15840"/>
          <w:pgMar w:top="-2160" w:right="990" w:bottom="1440" w:left="1080" w:header="1152" w:footer="720" w:gutter="0"/>
          <w:pgNumType w:start="0"/>
          <w:cols w:num="2" w:space="576"/>
          <w:titlePg/>
          <w:docGrid w:linePitch="360"/>
        </w:sectPr>
      </w:pPr>
    </w:p>
    <w:p w:rsidR="00C64700" w:rsidRPr="00BD7197" w:rsidRDefault="00252F36" w:rsidP="003816A4">
      <w:pPr>
        <w:jc w:val="both"/>
        <w:rPr>
          <w:rFonts w:asciiTheme="majorHAnsi" w:hAnsiTheme="majorHAnsi"/>
          <w:sz w:val="20"/>
        </w:rPr>
      </w:pPr>
      <w:hyperlink r:id="rId29" w:history="1">
        <w:r w:rsidR="00D37568">
          <w:rPr>
            <w:rStyle w:val="Hyperlink"/>
          </w:rPr>
          <w:t>https://www.blackrock.com/us/individual/investment-ideas/what-is-factor-investing/factor-commentary/andrews-angle/factor-growth</w:t>
        </w:r>
      </w:hyperlink>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36" w:rsidRDefault="00252F36" w:rsidP="00C2682C">
      <w:pPr>
        <w:spacing w:after="0" w:line="240" w:lineRule="auto"/>
      </w:pPr>
      <w:r>
        <w:separator/>
      </w:r>
    </w:p>
  </w:endnote>
  <w:endnote w:type="continuationSeparator" w:id="0">
    <w:p w:rsidR="00252F36" w:rsidRDefault="00252F36"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5C0BED" w:rsidRPr="005C0BED">
      <w:rPr>
        <w:rFonts w:asciiTheme="majorHAnsi" w:eastAsiaTheme="majorEastAsia" w:hAnsiTheme="majorHAnsi" w:cstheme="majorBidi"/>
        <w:noProof/>
        <w:sz w:val="20"/>
        <w:szCs w:val="20"/>
      </w:rPr>
      <w:t>10</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5C0BED" w:rsidRPr="005C0BED">
      <w:rPr>
        <w:rFonts w:asciiTheme="majorHAnsi" w:eastAsiaTheme="majorEastAsia" w:hAnsiTheme="majorHAnsi" w:cstheme="majorBidi"/>
        <w:noProof/>
        <w:sz w:val="20"/>
        <w:szCs w:val="20"/>
      </w:rPr>
      <w:t>11</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36" w:rsidRDefault="00252F36" w:rsidP="00C2682C">
      <w:pPr>
        <w:spacing w:after="0" w:line="240" w:lineRule="auto"/>
      </w:pPr>
      <w:r>
        <w:separator/>
      </w:r>
    </w:p>
  </w:footnote>
  <w:footnote w:type="continuationSeparator" w:id="0">
    <w:p w:rsidR="00252F36" w:rsidRDefault="00252F36" w:rsidP="00C2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lang w:eastAsia="en-US"/>
      </w:rPr>
      <w:drawing>
        <wp:anchor distT="0" distB="0" distL="114300" distR="114300" simplePos="0" relativeHeight="251658240" behindDoc="0" locked="0" layoutInCell="1" allowOverlap="1" wp14:anchorId="27BD1121" wp14:editId="1B46E6C6">
          <wp:simplePos x="0" y="0"/>
          <wp:positionH relativeFrom="column">
            <wp:posOffset>123825</wp:posOffset>
          </wp:positionH>
          <wp:positionV relativeFrom="paragraph">
            <wp:posOffset>-179070</wp:posOffset>
          </wp:positionV>
          <wp:extent cx="847725" cy="4572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523A32">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523A32">
      <w:rPr>
        <w:rFonts w:asciiTheme="majorHAnsi" w:hAnsiTheme="majorHAnsi"/>
        <w:b/>
        <w:color w:val="00B0F0"/>
        <w:sz w:val="20"/>
        <w:szCs w:val="20"/>
      </w:rPr>
      <w:t>August</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B14369">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w:t>
    </w:r>
    <w:r w:rsidR="00BE7D60">
      <w:rPr>
        <w:rFonts w:asciiTheme="majorHAnsi" w:hAnsiTheme="majorHAnsi"/>
        <w:b/>
        <w:color w:val="00B0F0"/>
        <w:sz w:val="20"/>
        <w:u w:val="single"/>
      </w:rPr>
      <w:t xml:space="preserve"> Market Downturns</w:t>
    </w:r>
    <w:r w:rsidR="009A324C" w:rsidRPr="0016512A">
      <w:rPr>
        <w:rFonts w:asciiTheme="majorHAnsi" w:hAnsiTheme="majorHAnsi"/>
        <w:b/>
        <w:color w:val="00B0F0"/>
        <w:sz w:val="20"/>
        <w:u w:val="single"/>
      </w:rPr>
      <w:t xml:space="preserve"> and Five Factor Model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F45" w:rsidRDefault="00C47F45">
    <w:pPr>
      <w:pStyle w:val="Header"/>
      <w:rPr>
        <w:rFonts w:asciiTheme="majorHAnsi" w:hAnsiTheme="majorHAnsi" w:cs="Aharoni"/>
        <w:b/>
        <w:i/>
        <w:color w:val="00B0F0"/>
        <w:sz w:val="32"/>
        <w:szCs w:val="32"/>
        <w:u w:val="single"/>
      </w:rPr>
    </w:pPr>
    <w:r w:rsidRPr="00C47F45">
      <w:rPr>
        <w:b/>
        <w:noProof/>
        <w:color w:val="00B0F0"/>
        <w:sz w:val="28"/>
        <w:lang w:eastAsia="en-US"/>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1"/>
    <w:rsid w:val="00002422"/>
    <w:rsid w:val="00002F85"/>
    <w:rsid w:val="00011E66"/>
    <w:rsid w:val="00021429"/>
    <w:rsid w:val="000307CB"/>
    <w:rsid w:val="000823E8"/>
    <w:rsid w:val="0009782E"/>
    <w:rsid w:val="000C0173"/>
    <w:rsid w:val="001307EE"/>
    <w:rsid w:val="00143364"/>
    <w:rsid w:val="001548F9"/>
    <w:rsid w:val="0016512A"/>
    <w:rsid w:val="00175D83"/>
    <w:rsid w:val="00183819"/>
    <w:rsid w:val="00196AC0"/>
    <w:rsid w:val="001C37E2"/>
    <w:rsid w:val="001D3E84"/>
    <w:rsid w:val="001D7BBC"/>
    <w:rsid w:val="001F165B"/>
    <w:rsid w:val="002006B3"/>
    <w:rsid w:val="002112AA"/>
    <w:rsid w:val="002223B4"/>
    <w:rsid w:val="00232BA7"/>
    <w:rsid w:val="00252F36"/>
    <w:rsid w:val="00273BF7"/>
    <w:rsid w:val="002B1405"/>
    <w:rsid w:val="002C192A"/>
    <w:rsid w:val="00343948"/>
    <w:rsid w:val="0036768F"/>
    <w:rsid w:val="003816A4"/>
    <w:rsid w:val="00381FA8"/>
    <w:rsid w:val="00396ADA"/>
    <w:rsid w:val="003A5245"/>
    <w:rsid w:val="003C189A"/>
    <w:rsid w:val="003C77A1"/>
    <w:rsid w:val="003D4428"/>
    <w:rsid w:val="003D6FAC"/>
    <w:rsid w:val="003F2367"/>
    <w:rsid w:val="0041539A"/>
    <w:rsid w:val="00447531"/>
    <w:rsid w:val="00467909"/>
    <w:rsid w:val="004C37AA"/>
    <w:rsid w:val="00523A32"/>
    <w:rsid w:val="00566A84"/>
    <w:rsid w:val="005A634F"/>
    <w:rsid w:val="005C0BED"/>
    <w:rsid w:val="005E5DB4"/>
    <w:rsid w:val="006226B1"/>
    <w:rsid w:val="00640B4B"/>
    <w:rsid w:val="006806AB"/>
    <w:rsid w:val="0069580E"/>
    <w:rsid w:val="006975FF"/>
    <w:rsid w:val="006B7E8B"/>
    <w:rsid w:val="006D5D8F"/>
    <w:rsid w:val="006E4869"/>
    <w:rsid w:val="00734E77"/>
    <w:rsid w:val="00774F3F"/>
    <w:rsid w:val="007B392E"/>
    <w:rsid w:val="007C42E6"/>
    <w:rsid w:val="007C6E18"/>
    <w:rsid w:val="007D2242"/>
    <w:rsid w:val="007E1F92"/>
    <w:rsid w:val="007E3903"/>
    <w:rsid w:val="007F4C02"/>
    <w:rsid w:val="00804557"/>
    <w:rsid w:val="0082164B"/>
    <w:rsid w:val="00822185"/>
    <w:rsid w:val="00851CFE"/>
    <w:rsid w:val="008631FC"/>
    <w:rsid w:val="008701D2"/>
    <w:rsid w:val="00877981"/>
    <w:rsid w:val="0089617F"/>
    <w:rsid w:val="008A02FF"/>
    <w:rsid w:val="008A56C9"/>
    <w:rsid w:val="008D6C5E"/>
    <w:rsid w:val="008E16A0"/>
    <w:rsid w:val="008E35DB"/>
    <w:rsid w:val="008E5DA4"/>
    <w:rsid w:val="008F29AE"/>
    <w:rsid w:val="009207A7"/>
    <w:rsid w:val="00921B5C"/>
    <w:rsid w:val="009378E2"/>
    <w:rsid w:val="0094750C"/>
    <w:rsid w:val="0096485F"/>
    <w:rsid w:val="009900D4"/>
    <w:rsid w:val="009A324C"/>
    <w:rsid w:val="009C0F5E"/>
    <w:rsid w:val="009C70A9"/>
    <w:rsid w:val="009D3539"/>
    <w:rsid w:val="009E5788"/>
    <w:rsid w:val="00A54D76"/>
    <w:rsid w:val="00A56645"/>
    <w:rsid w:val="00A569C5"/>
    <w:rsid w:val="00A74028"/>
    <w:rsid w:val="00A86CCA"/>
    <w:rsid w:val="00AA3456"/>
    <w:rsid w:val="00AE3F05"/>
    <w:rsid w:val="00AF7061"/>
    <w:rsid w:val="00AF7D10"/>
    <w:rsid w:val="00B009C1"/>
    <w:rsid w:val="00B14369"/>
    <w:rsid w:val="00B32D29"/>
    <w:rsid w:val="00B42B10"/>
    <w:rsid w:val="00B51F39"/>
    <w:rsid w:val="00B65F55"/>
    <w:rsid w:val="00B952B5"/>
    <w:rsid w:val="00BA7F0F"/>
    <w:rsid w:val="00BD08B4"/>
    <w:rsid w:val="00BD29A7"/>
    <w:rsid w:val="00BD7197"/>
    <w:rsid w:val="00BE0B46"/>
    <w:rsid w:val="00BE7D60"/>
    <w:rsid w:val="00BF2A2A"/>
    <w:rsid w:val="00C04658"/>
    <w:rsid w:val="00C10706"/>
    <w:rsid w:val="00C2682C"/>
    <w:rsid w:val="00C35C07"/>
    <w:rsid w:val="00C42976"/>
    <w:rsid w:val="00C42A5B"/>
    <w:rsid w:val="00C47F45"/>
    <w:rsid w:val="00C55D70"/>
    <w:rsid w:val="00C64700"/>
    <w:rsid w:val="00C671FB"/>
    <w:rsid w:val="00C75FC2"/>
    <w:rsid w:val="00C93204"/>
    <w:rsid w:val="00C935DF"/>
    <w:rsid w:val="00CD0DCD"/>
    <w:rsid w:val="00D01C7C"/>
    <w:rsid w:val="00D15946"/>
    <w:rsid w:val="00D17CB0"/>
    <w:rsid w:val="00D348E5"/>
    <w:rsid w:val="00D37568"/>
    <w:rsid w:val="00D77002"/>
    <w:rsid w:val="00DA23C1"/>
    <w:rsid w:val="00DB3308"/>
    <w:rsid w:val="00DE46AC"/>
    <w:rsid w:val="00DE7C8A"/>
    <w:rsid w:val="00E17349"/>
    <w:rsid w:val="00E20221"/>
    <w:rsid w:val="00E703EB"/>
    <w:rsid w:val="00EA5C63"/>
    <w:rsid w:val="00EC1946"/>
    <w:rsid w:val="00EC377B"/>
    <w:rsid w:val="00ED0FB7"/>
    <w:rsid w:val="00EE19D5"/>
    <w:rsid w:val="00F301A5"/>
    <w:rsid w:val="00F374A2"/>
    <w:rsid w:val="00F67253"/>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92362"/>
  <w15:docId w15:val="{24BB003A-AD96-4AC7-ACF3-3CD9430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 w:type="table" w:styleId="TableGrid">
    <w:name w:val="Table Grid"/>
    <w:basedOn w:val="TableNormal"/>
    <w:uiPriority w:val="59"/>
    <w:rsid w:val="004C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media/boe/files/working-paper/2018/judgement-day-algorithmic-trading-around-the-swiss-franc-cap-removal.pdf?la=en&amp;hash=5E965E36678B2945FC099BBCB8C25A9604D29A8C&amp;lipi=urn%3Ali%3Apage%3Ad_flagship3_feed%3BOjyZlCsTSiq%2BafJe5UxXZQ%3D%3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blackrock.com/us/individual/investment-ideas/what-is-factor-investing/factor-commentary/andrews-angle/factor-grow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b.europa.eu/pub/pdf/scpwps/ecbwp1573.pdf?40ae3304b4924411e5ee781637bcfc3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Template>
  <TotalTime>115</TotalTime>
  <Pages>12</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subject/>
  <dc:creator>Zou, Yue</dc:creator>
  <cp:keywords/>
  <dc:description/>
  <cp:lastModifiedBy>yz2991</cp:lastModifiedBy>
  <cp:revision>5</cp:revision>
  <cp:lastPrinted>2019-07-17T01:50:00Z</cp:lastPrinted>
  <dcterms:created xsi:type="dcterms:W3CDTF">2019-07-20T18:22:00Z</dcterms:created>
  <dcterms:modified xsi:type="dcterms:W3CDTF">2019-07-20T20:17:00Z</dcterms:modified>
</cp:coreProperties>
</file>