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Pr="008631FC" w:rsidRDefault="00C42976" w:rsidP="008631FC">
      <w:pPr>
        <w:pStyle w:val="ListParagraph"/>
        <w:numPr>
          <w:ilvl w:val="0"/>
          <w:numId w:val="3"/>
        </w:numPr>
        <w:spacing w:before="200"/>
        <w:jc w:val="both"/>
        <w:rPr>
          <w:rFonts w:asciiTheme="majorHAnsi" w:hAnsiTheme="majorHAnsi"/>
          <w:b/>
          <w:i/>
          <w:color w:val="00B0F0"/>
        </w:rPr>
      </w:pPr>
      <w:r>
        <w:rPr>
          <w:rFonts w:asciiTheme="majorHAnsi" w:hAnsiTheme="majorHAnsi"/>
          <w:b/>
          <w:i/>
          <w:color w:val="00B0F0"/>
        </w:rPr>
        <w:lastRenderedPageBreak/>
        <w:t>Historical Market Downturn Triggers</w:t>
      </w: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566A84"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C75FC2" w:rsidRPr="00BD7197" w:rsidRDefault="00C75FC2" w:rsidP="003816A4">
      <w:pPr>
        <w:jc w:val="both"/>
        <w:rPr>
          <w:rFonts w:asciiTheme="majorHAnsi" w:hAnsiTheme="majorHAnsi"/>
          <w:sz w:val="20"/>
        </w:rPr>
      </w:pPr>
      <w:r>
        <w:rPr>
          <w:rFonts w:asciiTheme="majorHAnsi" w:hAnsiTheme="majorHAnsi"/>
          <w:sz w:val="20"/>
        </w:rPr>
        <w:t>&lt;US interest rate, unemployment rate, S&amp;P 500/DJIA&gt;</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6E48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lastRenderedPageBreak/>
        <w:t xml:space="preserve">A working paper from European Central Bank found that major transmission channels of the euro debt crisis to countries outside Eurozone were trade and economic links, while the financial channel turned out to be weak. 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 </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Default="006E4869" w:rsidP="006E4869">
      <w:pPr>
        <w:jc w:val="both"/>
        <w:rPr>
          <w:rFonts w:asciiTheme="majorHAnsi" w:hAnsiTheme="majorHAnsi"/>
          <w:sz w:val="20"/>
        </w:rPr>
      </w:pPr>
      <w:r>
        <w:rPr>
          <w:rFonts w:asciiTheme="majorHAnsi" w:hAnsiTheme="majorHAnsi"/>
          <w:sz w:val="20"/>
        </w:rPr>
        <w:t xml:space="preserve">&lt;S&amp;P index </w:t>
      </w:r>
      <w:proofErr w:type="spellStart"/>
      <w:r>
        <w:rPr>
          <w:rFonts w:asciiTheme="majorHAnsi" w:hAnsiTheme="majorHAnsi"/>
          <w:sz w:val="20"/>
        </w:rPr>
        <w:t>v.s</w:t>
      </w:r>
      <w:proofErr w:type="spellEnd"/>
      <w:r>
        <w:rPr>
          <w:rFonts w:asciiTheme="majorHAnsi" w:hAnsiTheme="majorHAnsi"/>
          <w:sz w:val="20"/>
        </w:rPr>
        <w:t>. German, market emotion&gt;</w:t>
      </w:r>
    </w:p>
    <w:p w:rsidR="006E4869" w:rsidRPr="003816A4" w:rsidRDefault="006E4869" w:rsidP="006E4869">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w:t>
      </w:r>
      <w:r w:rsidR="00F8398E" w:rsidRPr="00BD7197">
        <w:rPr>
          <w:rFonts w:asciiTheme="majorHAnsi" w:hAnsiTheme="majorHAnsi"/>
          <w:sz w:val="20"/>
        </w:rPr>
        <w:lastRenderedPageBreak/>
        <w:t xml:space="preserve">Meanwhile, interest rate lower than the prior decades when the Fed fought high inflation with tightening monetary policy provided a favorable environment for 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Pr="003816A4" w:rsidRDefault="00C75FC2" w:rsidP="003816A4">
      <w:pPr>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venture</w:t>
      </w:r>
      <w:proofErr w:type="gramEnd"/>
      <w:r>
        <w:rPr>
          <w:rFonts w:asciiTheme="majorHAnsi" w:hAnsiTheme="majorHAnsi"/>
          <w:sz w:val="20"/>
        </w:rPr>
        <w:t xml:space="preserve"> capital, number of dotcom companies, NASDAP&gt;</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w:t>
      </w:r>
      <w:r>
        <w:rPr>
          <w:rFonts w:asciiTheme="majorHAnsi" w:hAnsiTheme="majorHAnsi"/>
          <w:sz w:val="20"/>
        </w:rPr>
        <w:lastRenderedPageBreak/>
        <w:t xml:space="preserve">investment brokerages and other financial businesses, regulations on CDS trading being relaxed the same year, in 2004 the Securities and Exchange Commission’s removed the leverage limit for companies with larger than 5 Billion assets, and therefore top banks usually used thirty times leverage rather than twelve as 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compared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t>
      </w:r>
      <w:r>
        <w:rPr>
          <w:rFonts w:asciiTheme="majorHAnsi" w:hAnsiTheme="majorHAnsi"/>
          <w:sz w:val="20"/>
        </w:rPr>
        <w:lastRenderedPageBreak/>
        <w:t xml:space="preserve">was rebuilt and the 2008 stock market crash was finally ended in July of 2009. </w:t>
      </w:r>
    </w:p>
    <w:p w:rsidR="006975FF" w:rsidRDefault="006975FF" w:rsidP="003816A4">
      <w:pPr>
        <w:jc w:val="both"/>
        <w:rPr>
          <w:rFonts w:asciiTheme="majorHAnsi" w:hAnsiTheme="majorHAnsi"/>
          <w:sz w:val="20"/>
        </w:rPr>
      </w:pPr>
      <w:r>
        <w:rPr>
          <w:rFonts w:asciiTheme="majorHAnsi" w:hAnsiTheme="majorHAnsi"/>
          <w:sz w:val="20"/>
        </w:rPr>
        <w:t xml:space="preserve">&lt;VIX, </w:t>
      </w:r>
      <w:r w:rsidR="003816A4">
        <w:rPr>
          <w:rFonts w:asciiTheme="majorHAnsi" w:hAnsiTheme="majorHAnsi"/>
          <w:sz w:val="20"/>
        </w:rPr>
        <w:t>DJIA, SP500, housing price&gt;</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Debt Crisis, the demand for Swiss Franc continued to increase, putting a strong pressure on Switzerland’s export, which contributed to more than 70% of Switzerland’s GDP in 2013. Switzerland decided to peg it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D01C7C">
        <w:rPr>
          <w:rFonts w:asciiTheme="majorHAnsi" w:hAnsiTheme="majorHAnsi"/>
          <w:sz w:val="20"/>
        </w:rPr>
        <w:t xml:space="preserve"> as well as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A working paper by the Bank of England found that computerized algorithmic (</w:t>
      </w:r>
      <w:proofErr w:type="spellStart"/>
      <w:r w:rsidR="002006B3">
        <w:rPr>
          <w:rFonts w:asciiTheme="majorHAnsi" w:hAnsiTheme="majorHAnsi"/>
          <w:sz w:val="20"/>
        </w:rPr>
        <w:t>Algo</w:t>
      </w:r>
      <w:proofErr w:type="spellEnd"/>
      <w:r w:rsidR="002006B3">
        <w:rPr>
          <w:rFonts w:asciiTheme="majorHAnsi" w:hAnsiTheme="majorHAnsi"/>
          <w:sz w:val="20"/>
        </w:rPr>
        <w:t xml:space="preserve">) trading consumed liquidity and reinforced the price disruption in Swiss Franc currency pairs while the human traders did the opposite.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igures of earnings and returns in 2014Q4 and reported huge losses through the Swiss Franc Crisis.</w:t>
      </w:r>
    </w:p>
    <w:p w:rsidR="003816A4" w:rsidRPr="003816A4" w:rsidRDefault="0096485F" w:rsidP="003816A4">
      <w:pPr>
        <w:jc w:val="both"/>
        <w:rPr>
          <w:rFonts w:asciiTheme="majorHAnsi" w:hAnsiTheme="majorHAnsi"/>
          <w:sz w:val="20"/>
        </w:rPr>
      </w:pPr>
      <w:r>
        <w:rPr>
          <w:rFonts w:asciiTheme="majorHAnsi" w:hAnsiTheme="majorHAnsi"/>
          <w:sz w:val="20"/>
        </w:rPr>
        <w:t>&lt;Swiss Franc value&gt;</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w:t>
      </w:r>
      <w:r w:rsidRPr="00BD7197">
        <w:rPr>
          <w:rFonts w:asciiTheme="majorHAnsi" w:hAnsiTheme="majorHAnsi"/>
          <w:sz w:val="20"/>
        </w:rPr>
        <w:lastRenderedPageBreak/>
        <w:t xml:space="preserve">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3816A4" w:rsidRPr="00BD7197" w:rsidRDefault="003816A4" w:rsidP="003816A4">
      <w:pPr>
        <w:jc w:val="both"/>
        <w:rPr>
          <w:rFonts w:asciiTheme="majorHAnsi" w:hAnsiTheme="majorHAnsi"/>
          <w:sz w:val="20"/>
        </w:rPr>
      </w:pPr>
      <w:r>
        <w:rPr>
          <w:rFonts w:asciiTheme="majorHAnsi" w:hAnsiTheme="majorHAnsi"/>
          <w:sz w:val="20"/>
        </w:rPr>
        <w:t>&lt;DJIA&gt;</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 xml:space="preserve">All these factors together led to a long-lasting stagflation and negative GDP growths lasted for 5 quarters from 1973 Q3 till 1975 Q1, and unemployment </w:t>
      </w:r>
      <w:r w:rsidRPr="00BD7197">
        <w:rPr>
          <w:rFonts w:asciiTheme="majorHAnsi" w:hAnsiTheme="majorHAnsi"/>
          <w:sz w:val="20"/>
        </w:rPr>
        <w:lastRenderedPageBreak/>
        <w:t>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6975FF" w:rsidRPr="00BD7197" w:rsidRDefault="006975FF" w:rsidP="003816A4">
      <w:pPr>
        <w:spacing w:before="200"/>
        <w:jc w:val="both"/>
        <w:rPr>
          <w:rFonts w:asciiTheme="majorHAnsi" w:hAnsiTheme="majorHAnsi"/>
          <w:sz w:val="20"/>
        </w:rPr>
      </w:pPr>
      <w:r>
        <w:rPr>
          <w:rFonts w:asciiTheme="majorHAnsi" w:hAnsiTheme="majorHAnsi"/>
          <w:sz w:val="20"/>
        </w:rPr>
        <w:t>&lt;</w:t>
      </w:r>
      <w:proofErr w:type="gramStart"/>
      <w:r>
        <w:rPr>
          <w:rFonts w:asciiTheme="majorHAnsi" w:hAnsiTheme="majorHAnsi"/>
          <w:sz w:val="20"/>
        </w:rPr>
        <w:t>oil</w:t>
      </w:r>
      <w:proofErr w:type="gramEnd"/>
      <w:r>
        <w:rPr>
          <w:rFonts w:asciiTheme="majorHAnsi" w:hAnsiTheme="majorHAnsi"/>
          <w:sz w:val="20"/>
        </w:rPr>
        <w:t xml:space="preserve"> price, US Dollar, unemployment rate , S&amp;P 500&gt;</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3816A4" w:rsidRPr="003816A4" w:rsidRDefault="003816A4" w:rsidP="003816A4">
      <w:pPr>
        <w:jc w:val="both"/>
        <w:rPr>
          <w:rFonts w:asciiTheme="majorHAnsi" w:hAnsiTheme="majorHAnsi"/>
          <w:b/>
          <w:i/>
          <w:sz w:val="20"/>
        </w:rPr>
      </w:pPr>
      <w:r w:rsidRPr="003816A4">
        <w:rPr>
          <w:rFonts w:asciiTheme="majorHAnsi" w:hAnsiTheme="majorHAnsi"/>
          <w:b/>
          <w:i/>
          <w:sz w:val="20"/>
          <w:u w:val="double"/>
        </w:rPr>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3816A4" w:rsidRPr="00BD7197" w:rsidRDefault="003816A4" w:rsidP="003816A4">
      <w:pPr>
        <w:jc w:val="both"/>
        <w:rPr>
          <w:rFonts w:asciiTheme="majorHAnsi" w:hAnsiTheme="majorHAnsi"/>
          <w:sz w:val="20"/>
        </w:rPr>
      </w:pPr>
      <w:r>
        <w:rPr>
          <w:rFonts w:asciiTheme="majorHAnsi" w:hAnsiTheme="majorHAnsi"/>
          <w:sz w:val="20"/>
        </w:rPr>
        <w:t>&lt;S&amp;P 500, DJIA, airline/insurance/defense/military industry&gt;</w:t>
      </w:r>
    </w:p>
    <w:p w:rsidR="00AF7061" w:rsidRPr="00BD7197" w:rsidRDefault="00AF7061" w:rsidP="003816A4">
      <w:pPr>
        <w:jc w:val="both"/>
        <w:rPr>
          <w:rFonts w:asciiTheme="majorHAnsi" w:hAnsiTheme="majorHAnsi"/>
          <w:sz w:val="20"/>
        </w:rPr>
      </w:pPr>
    </w:p>
    <w:p w:rsidR="00AF7061" w:rsidRDefault="00C935DF" w:rsidP="003816A4">
      <w:pPr>
        <w:jc w:val="both"/>
      </w:pPr>
      <w:hyperlink r:id="rId9" w:history="1">
        <w:r w:rsidR="002006B3">
          <w:rPr>
            <w:rStyle w:val="Hyperlink"/>
          </w:rPr>
          <w:t>https://www.bankofengland.co.uk/-/media/boe/files/working-paper/2018/judgement-day-algorithmic-trading-around-the-swiss-franc-cap-removal.pdf?la=en&amp;hash=5E965E36678B2945FC099BBCB8C25A9604D29A8C&amp;lipi=urn%3Ali%3Apage%3Ad_flagship3_feed%3BOjyZlCsTSiq%2BafJe5UxXZQ%3D%3D</w:t>
        </w:r>
      </w:hyperlink>
    </w:p>
    <w:p w:rsidR="002006B3" w:rsidRDefault="00C935DF" w:rsidP="003816A4">
      <w:pPr>
        <w:jc w:val="both"/>
      </w:pPr>
      <w:hyperlink r:id="rId10" w:history="1">
        <w:r w:rsidR="00273BF7">
          <w:rPr>
            <w:rStyle w:val="Hyperlink"/>
          </w:rPr>
          <w:t>https://www.ecb.europa.eu/pub/pdf/scpwps/ecbwp1573.pdf?40ae3304b4924411e5ee781637bcfc3d</w:t>
        </w:r>
      </w:hyperlink>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D77002" w:rsidRPr="00C42976" w:rsidRDefault="006E4869" w:rsidP="00C42976">
      <w:pPr>
        <w:pStyle w:val="ListParagraph"/>
        <w:numPr>
          <w:ilvl w:val="0"/>
          <w:numId w:val="3"/>
        </w:numPr>
        <w:jc w:val="both"/>
        <w:rPr>
          <w:rFonts w:asciiTheme="majorHAnsi" w:hAnsiTheme="majorHAnsi"/>
          <w:b/>
          <w:i/>
          <w:color w:val="00B0F0"/>
        </w:rPr>
      </w:pPr>
      <w:proofErr w:type="spellStart"/>
      <w:r>
        <w:rPr>
          <w:rFonts w:asciiTheme="majorHAnsi" w:hAnsiTheme="majorHAnsi"/>
          <w:b/>
          <w:i/>
          <w:color w:val="00B0F0"/>
        </w:rPr>
        <w:lastRenderedPageBreak/>
        <w:t>Fama</w:t>
      </w:r>
      <w:proofErr w:type="spellEnd"/>
      <w:r>
        <w:rPr>
          <w:rFonts w:asciiTheme="majorHAnsi" w:hAnsiTheme="majorHAnsi"/>
          <w:b/>
          <w:i/>
          <w:color w:val="00B0F0"/>
        </w:rPr>
        <w:t xml:space="preserve"> and French </w:t>
      </w:r>
      <w:r w:rsidR="002112AA" w:rsidRPr="00C42976">
        <w:rPr>
          <w:rFonts w:asciiTheme="majorHAnsi" w:hAnsiTheme="majorHAnsi"/>
          <w:b/>
          <w:i/>
          <w:color w:val="00B0F0"/>
        </w:rPr>
        <w:t>Five Factor Model</w:t>
      </w:r>
    </w:p>
    <w:p w:rsidR="00021429" w:rsidRDefault="00021429"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Introduction of Five Factor Model</w:t>
      </w:r>
    </w:p>
    <w:p w:rsidR="00196AC0" w:rsidRDefault="00196AC0" w:rsidP="00C42976">
      <w:pPr>
        <w:pStyle w:val="ListParagraph"/>
        <w:numPr>
          <w:ilvl w:val="0"/>
          <w:numId w:val="2"/>
        </w:numPr>
        <w:ind w:left="360"/>
        <w:jc w:val="both"/>
        <w:rPr>
          <w:rFonts w:asciiTheme="majorHAnsi" w:hAnsiTheme="majorHAnsi"/>
          <w:noProof/>
          <w:sz w:val="20"/>
          <w:lang w:eastAsia="en-US"/>
        </w:rPr>
      </w:pPr>
      <w:r>
        <w:rPr>
          <w:rFonts w:asciiTheme="majorHAnsi" w:hAnsiTheme="majorHAnsi"/>
          <w:noProof/>
          <w:sz w:val="20"/>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 xml:space="preserve">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 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with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(126 data points), and with monthly data we used a 10-year rolling window (120 data points).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6806AB" w:rsidRDefault="00021429" w:rsidP="006E4869">
      <w:pPr>
        <w:pStyle w:val="ListParagraph"/>
        <w:numPr>
          <w:ilvl w:val="0"/>
          <w:numId w:val="2"/>
        </w:numPr>
        <w:ind w:left="360"/>
        <w:jc w:val="both"/>
        <w:rPr>
          <w:rFonts w:asciiTheme="majorHAnsi" w:hAnsiTheme="majorHAnsi"/>
          <w:noProof/>
          <w:sz w:val="20"/>
          <w:lang w:eastAsia="en-US"/>
        </w:rPr>
      </w:pPr>
      <w:r w:rsidRPr="006806AB">
        <w:rPr>
          <w:rFonts w:asciiTheme="majorHAnsi" w:hAnsiTheme="majorHAnsi"/>
          <w:noProof/>
          <w:sz w:val="20"/>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rPr>
        <w:lastRenderedPageBreak/>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Default="00021429" w:rsidP="00C42976">
      <w:pPr>
        <w:pStyle w:val="ListParagraph"/>
        <w:numPr>
          <w:ilvl w:val="0"/>
          <w:numId w:val="2"/>
        </w:numPr>
        <w:ind w:left="360"/>
        <w:jc w:val="both"/>
        <w:rPr>
          <w:rFonts w:asciiTheme="majorHAnsi" w:hAnsiTheme="majorHAnsi"/>
          <w:sz w:val="20"/>
        </w:rPr>
      </w:pPr>
      <w:r>
        <w:rPr>
          <w:rFonts w:asciiTheme="majorHAnsi" w:hAnsiTheme="majorHAnsi"/>
          <w:sz w:val="20"/>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on different size cuts and data frequency, we did regressions with </w:t>
      </w:r>
      <w:r w:rsidR="00EA5C63">
        <w:rPr>
          <w:rFonts w:asciiTheme="majorHAnsi" w:hAnsiTheme="majorHAnsi"/>
          <w:sz w:val="20"/>
        </w:rPr>
        <w:t>portfolios that cut the universe into 3 and 5 and 10 based on market capitalization (size portfolios) and each portfolio with daily returns and monthly returns respectively</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6E4869">
        <w:rPr>
          <w:rFonts w:asciiTheme="majorHAnsi" w:hAnsiTheme="majorHAnsi"/>
          <w:sz w:val="20"/>
        </w:rPr>
        <w:t xml:space="preserve">type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w:proofErr w:type="gramStart"/>
      <w:r w:rsidR="00E20221">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w:t>
      </w:r>
      <w:proofErr w:type="gramEnd"/>
      <w:r w:rsidR="00E20221">
        <w:rPr>
          <w:rFonts w:asciiTheme="majorHAnsi" w:hAnsiTheme="majorHAnsi"/>
          <w:sz w:val="20"/>
        </w:rPr>
        <w:t xml:space="preserve"> each type of regressions.</w:t>
      </w:r>
    </w:p>
    <w:p w:rsidR="00002422" w:rsidRDefault="00002422" w:rsidP="008631FC">
      <w:pPr>
        <w:jc w:val="both"/>
        <w:rPr>
          <w:rFonts w:asciiTheme="majorHAnsi" w:hAnsiTheme="majorHAnsi"/>
          <w:sz w:val="20"/>
        </w:rPr>
      </w:pPr>
      <w:r>
        <w:rPr>
          <w:noProof/>
        </w:rPr>
        <w:drawing>
          <wp:inline distT="0" distB="0" distL="0" distR="0">
            <wp:extent cx="4086970" cy="990437"/>
            <wp:effectExtent l="0" t="0" r="0" b="635"/>
            <wp:docPr id="13" name="Picture 13" descr="http://localhost:8888/files/R%20Square%20of%20Dai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files/R%20Square%20of%20Daily%20Return%20by%20Portfoli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378"/>
                    <a:stretch/>
                  </pic:blipFill>
                  <pic:spPr bwMode="auto">
                    <a:xfrm>
                      <a:off x="0" y="0"/>
                      <a:ext cx="4089241" cy="990987"/>
                    </a:xfrm>
                    <a:prstGeom prst="rect">
                      <a:avLst/>
                    </a:prstGeom>
                    <a:noFill/>
                    <a:ln>
                      <a:noFill/>
                    </a:ln>
                    <a:extLst>
                      <a:ext uri="{53640926-AAD7-44D8-BBD7-CCE9431645EC}">
                        <a14:shadowObscured xmlns:a14="http://schemas.microsoft.com/office/drawing/2010/main"/>
                      </a:ext>
                    </a:extLst>
                  </pic:spPr>
                </pic:pic>
              </a:graphicData>
            </a:graphic>
          </wp:inline>
        </w:drawing>
      </w:r>
    </w:p>
    <w:p w:rsidR="00B952B5" w:rsidRPr="00B952B5" w:rsidRDefault="00002422" w:rsidP="00B952B5">
      <w:pPr>
        <w:jc w:val="both"/>
        <w:rPr>
          <w:rFonts w:asciiTheme="majorHAnsi" w:hAnsiTheme="majorHAnsi"/>
          <w:sz w:val="20"/>
        </w:rPr>
      </w:pPr>
      <w:r>
        <w:rPr>
          <w:noProof/>
        </w:rPr>
        <w:drawing>
          <wp:inline distT="0" distB="0" distL="0" distR="0">
            <wp:extent cx="3649648" cy="957468"/>
            <wp:effectExtent l="0" t="0" r="0" b="0"/>
            <wp:docPr id="14" name="Picture 14" descr="http://localhost:8888/files/R%20Square%20of%20Month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files/R%20Square%20of%20Monthly%20Return%20by%20Portfolio.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314" r="8050"/>
                    <a:stretch/>
                  </pic:blipFill>
                  <pic:spPr bwMode="auto">
                    <a:xfrm>
                      <a:off x="0" y="0"/>
                      <a:ext cx="3652273" cy="958157"/>
                    </a:xfrm>
                    <a:prstGeom prst="rect">
                      <a:avLst/>
                    </a:prstGeom>
                    <a:noFill/>
                    <a:ln>
                      <a:noFill/>
                    </a:ln>
                    <a:extLst>
                      <a:ext uri="{53640926-AAD7-44D8-BBD7-CCE9431645EC}">
                        <a14:shadowObscured xmlns:a14="http://schemas.microsoft.com/office/drawing/2010/main"/>
                      </a:ext>
                    </a:extLst>
                  </pic:spPr>
                </pic:pic>
              </a:graphicData>
            </a:graphic>
          </wp:inline>
        </w:drawing>
      </w:r>
    </w:p>
    <w:p w:rsidR="00E20221" w:rsidRDefault="00E20221" w:rsidP="00E20221">
      <w:pPr>
        <w:pStyle w:val="ListParagraph"/>
        <w:numPr>
          <w:ilvl w:val="0"/>
          <w:numId w:val="5"/>
        </w:numPr>
        <w:jc w:val="both"/>
        <w:rPr>
          <w:rFonts w:asciiTheme="majorHAnsi" w:hAnsiTheme="majorHAnsi"/>
          <w:sz w:val="20"/>
        </w:rPr>
      </w:pPr>
      <w:r>
        <w:rPr>
          <w:rFonts w:asciiTheme="majorHAnsi" w:hAnsiTheme="majorHAnsi"/>
          <w:sz w:val="20"/>
        </w:rPr>
        <w:t xml:space="preserve">The five factor model explains the market better with monthly data than daily data. This observation holds for all time periods and all </w:t>
      </w:r>
      <w:r>
        <w:rPr>
          <w:rFonts w:asciiTheme="majorHAnsi" w:hAnsiTheme="majorHAnsi"/>
          <w:sz w:val="20"/>
        </w:rPr>
        <w:lastRenderedPageBreak/>
        <w:t>portfolio cuts. This is intuitive, as monthly data digested more noise than daily data does.</w:t>
      </w:r>
    </w:p>
    <w:p w:rsidR="00C55D70" w:rsidRDefault="00C55D70" w:rsidP="00E20221">
      <w:pPr>
        <w:pStyle w:val="ListParagraph"/>
        <w:numPr>
          <w:ilvl w:val="0"/>
          <w:numId w:val="5"/>
        </w:numPr>
        <w:jc w:val="both"/>
        <w:rPr>
          <w:rFonts w:asciiTheme="majorHAnsi" w:hAnsiTheme="majorHAnsi"/>
          <w:sz w:val="20"/>
        </w:rPr>
      </w:pPr>
      <w:r>
        <w:rPr>
          <w:rFonts w:asciiTheme="majorHAnsi" w:hAnsiTheme="majorHAnsi"/>
          <w:sz w:val="20"/>
        </w:rPr>
        <w:t>The finer we cut the universe by size, the more diverge the five factor model’s performance is among size portfolios. For regressions with daily return</w:t>
      </w:r>
      <w:r w:rsidR="008701D2">
        <w:rPr>
          <w:rFonts w:asciiTheme="majorHAnsi" w:hAnsiTheme="majorHAnsi"/>
          <w:sz w:val="20"/>
        </w:rPr>
        <w:t>s</w:t>
      </w:r>
      <w:r>
        <w:rPr>
          <w:rFonts w:asciiTheme="majorHAnsi" w:hAnsiTheme="majorHAnsi"/>
          <w:sz w:val="20"/>
        </w:rPr>
        <w:t>,</w:t>
      </w:r>
      <w:r w:rsidR="00B952B5">
        <w:rPr>
          <w:rFonts w:asciiTheme="majorHAnsi" w:hAnsiTheme="majorHAnsi"/>
          <w:sz w:val="20"/>
        </w:rPr>
        <w:t xml:space="preserve"> the three size portfolios </w:t>
      </w:r>
      <w:r w:rsidR="008701D2">
        <w:rPr>
          <w:rFonts w:asciiTheme="majorHAnsi" w:hAnsiTheme="majorHAnsi"/>
          <w:sz w:val="20"/>
        </w:rPr>
        <w:t xml:space="preserve">have very close </w:t>
      </w:r>
      <w:r>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around 95%, the five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ranged from 75% to 100%, and the ten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widely ranged from 50% to 100%. For regressions with monthly returns, </w:t>
      </w:r>
      <w:proofErr w:type="gramStart"/>
      <w:r w:rsidR="008701D2">
        <w:rPr>
          <w:rFonts w:asciiTheme="majorHAnsi" w:hAnsiTheme="majorHAnsi"/>
          <w:sz w:val="20"/>
        </w:rPr>
        <w:t>the diverge</w:t>
      </w:r>
      <w:proofErr w:type="gramEnd"/>
      <w:r w:rsidR="008701D2">
        <w:rPr>
          <w:rFonts w:asciiTheme="majorHAnsi" w:hAnsiTheme="majorHAnsi"/>
          <w:sz w:val="20"/>
        </w:rPr>
        <w:t xml:space="preserve"> is narrower, because generally monthly data is easier to explain as described in the first bullet point. But the diverge is still not negligible: the three size portfolios are </w:t>
      </w:r>
      <w:proofErr w:type="gramStart"/>
      <w:r w:rsidR="008701D2">
        <w:rPr>
          <w:rFonts w:asciiTheme="majorHAnsi" w:hAnsiTheme="majorHAnsi"/>
          <w:sz w:val="20"/>
        </w:rPr>
        <w:t>more closer</w:t>
      </w:r>
      <w:proofErr w:type="gramEnd"/>
      <w:r w:rsidR="008701D2">
        <w:rPr>
          <w:rFonts w:asciiTheme="majorHAnsi" w:hAnsiTheme="majorHAnsi"/>
          <w:sz w:val="20"/>
        </w:rPr>
        <w:t xml:space="preserve"> to 100%, the five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are from </w:t>
      </w:r>
      <w:r w:rsidR="00CD0DCD">
        <w:rPr>
          <w:rFonts w:asciiTheme="majorHAnsi" w:hAnsiTheme="majorHAnsi"/>
          <w:sz w:val="20"/>
        </w:rPr>
        <w:t xml:space="preserve">95% to 100% and the ten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CD0DCD">
        <w:rPr>
          <w:rFonts w:asciiTheme="majorHAnsi" w:hAnsiTheme="majorHAnsi"/>
          <w:sz w:val="20"/>
        </w:rPr>
        <w:t xml:space="preserve"> range from 85% to 97%.</w:t>
      </w:r>
    </w:p>
    <w:p w:rsidR="00B952B5" w:rsidRDefault="00C55D70" w:rsidP="00B952B5">
      <w:pPr>
        <w:pStyle w:val="ListParagraph"/>
        <w:numPr>
          <w:ilvl w:val="0"/>
          <w:numId w:val="5"/>
        </w:numPr>
        <w:jc w:val="both"/>
        <w:rPr>
          <w:rFonts w:asciiTheme="majorHAnsi" w:hAnsiTheme="majorHAnsi"/>
          <w:sz w:val="20"/>
        </w:rPr>
      </w:pPr>
      <w:r>
        <w:rPr>
          <w:rFonts w:asciiTheme="majorHAnsi" w:hAnsiTheme="majorHAnsi"/>
          <w:sz w:val="20"/>
        </w:rPr>
        <w:t>The explanatory power of five factor model is stronger for big-size stock portfolios and smaller for small-size stock portfolios.</w:t>
      </w:r>
      <w:r w:rsidR="008701D2">
        <w:rPr>
          <w:rFonts w:asciiTheme="majorHAnsi" w:hAnsiTheme="majorHAnsi"/>
          <w:sz w:val="20"/>
        </w:rPr>
        <w:t xml:space="preserve"> </w:t>
      </w:r>
      <w:r w:rsidR="008701D2">
        <w:rPr>
          <w:rFonts w:asciiTheme="majorHAnsi" w:hAnsiTheme="majorHAnsi"/>
          <w:sz w:val="20"/>
        </w:rPr>
        <w:t>Similar to the rationale of the first bullet point, the smaller size the listed company is, the more noisy its return could be, or namely more volatile or vulnerable it can be market signals, which could be financial events or policy changes or investors’ sentiments</w:t>
      </w:r>
      <w:r w:rsidR="008701D2">
        <w:rPr>
          <w:rFonts w:asciiTheme="majorHAnsi" w:hAnsiTheme="majorHAnsi"/>
          <w:sz w:val="20"/>
        </w:rPr>
        <w:t>, etc., and thus more difficult it is to explain them as a uniformed portfolio with only five factors.</w:t>
      </w:r>
    </w:p>
    <w:p w:rsidR="00C55D70" w:rsidRDefault="00B952B5" w:rsidP="00B952B5">
      <w:pPr>
        <w:pStyle w:val="ListParagraph"/>
        <w:numPr>
          <w:ilvl w:val="0"/>
          <w:numId w:val="5"/>
        </w:numPr>
        <w:jc w:val="both"/>
        <w:rPr>
          <w:rFonts w:asciiTheme="majorHAnsi" w:hAnsiTheme="majorHAnsi"/>
          <w:sz w:val="20"/>
        </w:rPr>
      </w:pPr>
      <w:r>
        <w:rPr>
          <w:rFonts w:asciiTheme="majorHAnsi" w:hAnsiTheme="majorHAnsi"/>
          <w:sz w:val="20"/>
        </w:rPr>
        <w:t>Despite the largest-size stocks, the explanatory powers of five factor model on portfolios tend to move closely together.</w:t>
      </w:r>
      <w:r>
        <w:rPr>
          <w:rFonts w:asciiTheme="majorHAnsi" w:hAnsiTheme="majorHAnsi"/>
          <w:sz w:val="20"/>
        </w:rPr>
        <w:t xml:space="preserve"> </w:t>
      </w:r>
      <w:r w:rsidR="003D4428" w:rsidRPr="00B952B5">
        <w:rPr>
          <w:rFonts w:asciiTheme="majorHAnsi" w:hAnsiTheme="majorHAnsi"/>
          <w:sz w:val="20"/>
        </w:rPr>
        <w:t xml:space="preserve">Based on the explanatory power of five factor model, </w:t>
      </w:r>
      <w:r w:rsidR="007E1F92" w:rsidRPr="00B952B5">
        <w:rPr>
          <w:rFonts w:asciiTheme="majorHAnsi" w:hAnsiTheme="majorHAnsi"/>
          <w:sz w:val="20"/>
        </w:rPr>
        <w:t xml:space="preserve"> </w:t>
      </w:r>
      <w:r w:rsidR="003D4428" w:rsidRPr="00B952B5">
        <w:rPr>
          <w:rFonts w:asciiTheme="majorHAnsi" w:hAnsiTheme="majorHAnsi"/>
          <w:sz w:val="20"/>
        </w:rPr>
        <w:t xml:space="preserve">we can divide the history into four periods: </w:t>
      </w:r>
      <w:r w:rsidR="007E1F92" w:rsidRPr="00B952B5">
        <w:rPr>
          <w:rFonts w:asciiTheme="majorHAnsi" w:hAnsiTheme="majorHAnsi"/>
          <w:sz w:val="20"/>
        </w:rPr>
        <w:t>the</w:t>
      </w:r>
      <w:r w:rsidR="003D4428" w:rsidRPr="00B952B5">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3D4428" w:rsidRPr="00B952B5">
        <w:rPr>
          <w:rFonts w:asciiTheme="majorHAnsi" w:hAnsiTheme="majorHAnsi"/>
          <w:sz w:val="20"/>
        </w:rPr>
        <w:t xml:space="preserve"> of</w:t>
      </w:r>
      <w:r w:rsidR="007E1F92" w:rsidRPr="00B952B5">
        <w:rPr>
          <w:rFonts w:asciiTheme="majorHAnsi" w:hAnsiTheme="majorHAnsi"/>
          <w:sz w:val="20"/>
        </w:rPr>
        <w:t xml:space="preserve"> five factor</w:t>
      </w:r>
      <w:r w:rsidR="003D4428" w:rsidRPr="00B952B5">
        <w:rPr>
          <w:rFonts w:asciiTheme="majorHAnsi" w:hAnsiTheme="majorHAnsi"/>
          <w:sz w:val="20"/>
        </w:rPr>
        <w:t xml:space="preserve"> model was s</w:t>
      </w:r>
      <w:r>
        <w:rPr>
          <w:rFonts w:asciiTheme="majorHAnsi" w:hAnsiTheme="majorHAnsi"/>
          <w:sz w:val="20"/>
        </w:rPr>
        <w:t>table; the second one is from 1993 to 2000,</w:t>
      </w:r>
      <w:r w:rsidR="007E1F92" w:rsidRPr="00B952B5">
        <w:rPr>
          <w:rFonts w:asciiTheme="majorHAnsi" w:hAnsiTheme="majorHAnsi"/>
          <w:sz w:val="20"/>
        </w:rPr>
        <w:t xml:space="preserve"> </w:t>
      </w:r>
      <w:r>
        <w:rPr>
          <w:rFonts w:asciiTheme="majorHAnsi" w:hAnsiTheme="majorHAnsi"/>
          <w:sz w:val="20"/>
        </w:rPr>
        <w:t xml:space="preserve">the explanatory power of five factor model declined after </w:t>
      </w:r>
      <w:proofErr w:type="spellStart"/>
      <w:r w:rsidR="007E1F92" w:rsidRPr="00B952B5">
        <w:rPr>
          <w:rFonts w:asciiTheme="majorHAnsi" w:hAnsiTheme="majorHAnsi"/>
          <w:sz w:val="20"/>
        </w:rPr>
        <w:t>Fama</w:t>
      </w:r>
      <w:proofErr w:type="spellEnd"/>
      <w:r w:rsidR="007E1F92" w:rsidRPr="00B952B5">
        <w:rPr>
          <w:rFonts w:asciiTheme="majorHAnsi" w:hAnsiTheme="majorHAnsi"/>
          <w:sz w:val="20"/>
        </w:rPr>
        <w:t xml:space="preserve"> and French firstly introduced the three factor model in 1993</w:t>
      </w:r>
      <w:r>
        <w:rPr>
          <w:rFonts w:asciiTheme="majorHAnsi" w:hAnsiTheme="majorHAnsi"/>
          <w:sz w:val="20"/>
        </w:rPr>
        <w:t xml:space="preserve">; the third period is from 2000 to 2014, the </w:t>
      </w:r>
      <w:r w:rsidR="007E1F92" w:rsidRPr="00B952B5">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surged quickly back and remained at a high level; and the last period is post 2014 after </w:t>
      </w:r>
      <w:proofErr w:type="spellStart"/>
      <w:r>
        <w:rPr>
          <w:rFonts w:asciiTheme="majorHAnsi" w:hAnsiTheme="majorHAnsi"/>
          <w:sz w:val="20"/>
        </w:rPr>
        <w:t>Fama</w:t>
      </w:r>
      <w:proofErr w:type="spellEnd"/>
      <w:r>
        <w:rPr>
          <w:rFonts w:asciiTheme="majorHAnsi" w:hAnsiTheme="majorHAnsi"/>
          <w:sz w:val="20"/>
        </w:rPr>
        <w:t xml:space="preserve"> and French released the five factor model</w:t>
      </w:r>
      <w:r w:rsidR="00232BA7">
        <w:rPr>
          <w:rFonts w:asciiTheme="majorHAnsi" w:hAnsiTheme="majorHAnsi"/>
          <w:sz w:val="20"/>
        </w:rPr>
        <w:t xml:space="preserv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32BA7">
        <w:rPr>
          <w:rFonts w:asciiTheme="majorHAnsi" w:hAnsiTheme="majorHAnsi"/>
          <w:sz w:val="20"/>
        </w:rPr>
        <w:t xml:space="preserve"> started to drop again</w:t>
      </w:r>
      <w:r>
        <w:rPr>
          <w:rFonts w:asciiTheme="majorHAnsi" w:hAnsiTheme="majorHAnsi"/>
          <w:sz w:val="20"/>
        </w:rPr>
        <w:t>.</w:t>
      </w:r>
      <w:r w:rsidR="00CD0DCD">
        <w:rPr>
          <w:rFonts w:asciiTheme="majorHAnsi" w:hAnsiTheme="majorHAnsi"/>
          <w:sz w:val="20"/>
        </w:rPr>
        <w:t xml:space="preserve"> </w:t>
      </w:r>
    </w:p>
    <w:p w:rsidR="008631FC" w:rsidRPr="00B952B5" w:rsidRDefault="00B952B5" w:rsidP="008631FC">
      <w:pPr>
        <w:pStyle w:val="ListParagraph"/>
        <w:numPr>
          <w:ilvl w:val="0"/>
          <w:numId w:val="5"/>
        </w:numPr>
        <w:jc w:val="both"/>
        <w:rPr>
          <w:rFonts w:asciiTheme="majorHAnsi" w:hAnsiTheme="majorHAnsi"/>
          <w:sz w:val="20"/>
        </w:rPr>
      </w:pPr>
      <w:r>
        <w:rPr>
          <w:rFonts w:asciiTheme="majorHAnsi" w:hAnsiTheme="majorHAnsi"/>
          <w:sz w:val="20"/>
        </w:rPr>
        <w:t xml:space="preserve">What happened in 2000-2002? </w:t>
      </w:r>
    </w:p>
    <w:p w:rsidR="00021429" w:rsidRDefault="00002F85" w:rsidP="00C42976">
      <w:pPr>
        <w:pStyle w:val="ListParagraph"/>
        <w:numPr>
          <w:ilvl w:val="0"/>
          <w:numId w:val="2"/>
        </w:numPr>
        <w:ind w:left="360"/>
        <w:jc w:val="both"/>
        <w:rPr>
          <w:rFonts w:asciiTheme="majorHAnsi" w:hAnsiTheme="majorHAnsi"/>
          <w:sz w:val="20"/>
        </w:rPr>
      </w:pPr>
      <w:r>
        <w:rPr>
          <w:rFonts w:asciiTheme="majorHAnsi" w:hAnsiTheme="majorHAnsi"/>
          <w:sz w:val="20"/>
        </w:rPr>
        <w:lastRenderedPageBreak/>
        <w:t>Explaining Power of Each Factor</w:t>
      </w:r>
    </w:p>
    <w:p w:rsid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Whole History</w:t>
      </w:r>
    </w:p>
    <w:p w:rsidR="00002F85" w:rsidRDefault="00002F85" w:rsidP="00002F85">
      <w:pPr>
        <w:pStyle w:val="ListParagraph"/>
        <w:ind w:left="0"/>
        <w:jc w:val="both"/>
        <w:rPr>
          <w:rFonts w:asciiTheme="majorHAnsi" w:hAnsiTheme="majorHAnsi"/>
          <w:sz w:val="20"/>
        </w:rPr>
      </w:pPr>
      <w:r>
        <w:rPr>
          <w:rFonts w:asciiTheme="majorHAnsi" w:hAnsiTheme="majorHAnsi"/>
          <w:noProof/>
          <w:sz w:val="20"/>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5">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02F85" w:rsidRDefault="00002F85" w:rsidP="00002F85">
      <w:pPr>
        <w:pStyle w:val="ListParagraph"/>
        <w:ind w:left="0"/>
        <w:jc w:val="both"/>
        <w:rPr>
          <w:rFonts w:asciiTheme="majorHAnsi" w:hAnsiTheme="majorHAnsi"/>
          <w:sz w:val="20"/>
        </w:rPr>
      </w:pPr>
      <w:r>
        <w:rPr>
          <w:rFonts w:asciiTheme="majorHAnsi" w:hAnsiTheme="majorHAnsi"/>
          <w:noProof/>
          <w:sz w:val="20"/>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6">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21429" w:rsidRDefault="00002F85" w:rsidP="00002F85">
      <w:pPr>
        <w:pStyle w:val="ListParagraph"/>
        <w:numPr>
          <w:ilvl w:val="1"/>
          <w:numId w:val="2"/>
        </w:numPr>
        <w:jc w:val="both"/>
        <w:rPr>
          <w:rFonts w:asciiTheme="majorHAnsi" w:hAnsiTheme="majorHAnsi"/>
          <w:sz w:val="20"/>
        </w:rPr>
      </w:pPr>
      <w:r>
        <w:rPr>
          <w:rFonts w:asciiTheme="majorHAnsi" w:hAnsiTheme="majorHAnsi"/>
          <w:sz w:val="20"/>
        </w:rPr>
        <w:t>Positive V.S. Negative Month</w:t>
      </w:r>
    </w:p>
    <w:p w:rsidR="00002F85" w:rsidRDefault="00021429" w:rsidP="003816A4">
      <w:pPr>
        <w:jc w:val="both"/>
        <w:rPr>
          <w:rFonts w:asciiTheme="majorHAnsi" w:hAnsiTheme="majorHAnsi"/>
          <w:sz w:val="20"/>
        </w:rPr>
      </w:pPr>
      <w:r>
        <w:rPr>
          <w:rFonts w:asciiTheme="majorHAnsi" w:hAnsiTheme="majorHAnsi"/>
          <w:noProof/>
          <w:sz w:val="20"/>
        </w:rPr>
        <w:lastRenderedPageBreak/>
        <w:drawing>
          <wp:inline distT="0" distB="0" distL="0" distR="0">
            <wp:extent cx="2938766" cy="132644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7">
                      <a:extLst>
                        <a:ext uri="{28A0092B-C50C-407E-A947-70E740481C1C}">
                          <a14:useLocalDpi xmlns:a14="http://schemas.microsoft.com/office/drawing/2010/main" val="0"/>
                        </a:ext>
                      </a:extLst>
                    </a:blip>
                    <a:srcRect l="2748" t="35398" r="48401" b="8462"/>
                    <a:stretch/>
                  </pic:blipFill>
                  <pic:spPr bwMode="auto">
                    <a:xfrm>
                      <a:off x="0" y="0"/>
                      <a:ext cx="3029229" cy="1367275"/>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8">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r w:rsidR="00002F85">
        <w:rPr>
          <w:rFonts w:asciiTheme="majorHAnsi" w:hAnsiTheme="majorHAnsi"/>
          <w:noProof/>
          <w:sz w:val="20"/>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19">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002F85" w:rsidRPr="00002F85" w:rsidRDefault="00002F85" w:rsidP="00002F85">
      <w:pPr>
        <w:pStyle w:val="ListParagraph"/>
        <w:numPr>
          <w:ilvl w:val="1"/>
          <w:numId w:val="2"/>
        </w:numPr>
        <w:jc w:val="both"/>
        <w:rPr>
          <w:rFonts w:asciiTheme="majorHAnsi" w:hAnsiTheme="majorHAnsi"/>
          <w:sz w:val="20"/>
        </w:rPr>
      </w:pPr>
      <w:r>
        <w:rPr>
          <w:rFonts w:asciiTheme="majorHAnsi" w:hAnsiTheme="majorHAnsi"/>
          <w:sz w:val="20"/>
        </w:rPr>
        <w:t>Bull V.S. Bear market</w:t>
      </w:r>
    </w:p>
    <w:p w:rsidR="00D77002" w:rsidRPr="00BD7197" w:rsidRDefault="00002F85" w:rsidP="003816A4">
      <w:pPr>
        <w:jc w:val="both"/>
        <w:rPr>
          <w:rFonts w:asciiTheme="majorHAnsi" w:hAnsiTheme="majorHAnsi"/>
          <w:sz w:val="20"/>
        </w:rPr>
      </w:pPr>
      <w:r>
        <w:rPr>
          <w:rFonts w:asciiTheme="majorHAnsi" w:hAnsiTheme="majorHAnsi"/>
          <w:noProof/>
          <w:sz w:val="20"/>
        </w:rPr>
        <w:lastRenderedPageBreak/>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20">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noProof/>
          <w:sz w:val="20"/>
        </w:rPr>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21">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r w:rsidR="00021429">
        <w:rPr>
          <w:rFonts w:asciiTheme="majorHAnsi" w:hAnsiTheme="majorHAnsi"/>
          <w:noProof/>
          <w:sz w:val="20"/>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22">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D77002" w:rsidRDefault="00002F85" w:rsidP="00002F85">
      <w:pPr>
        <w:pStyle w:val="ListParagraph"/>
        <w:numPr>
          <w:ilvl w:val="1"/>
          <w:numId w:val="2"/>
        </w:numPr>
        <w:jc w:val="both"/>
        <w:rPr>
          <w:rFonts w:asciiTheme="majorHAnsi" w:hAnsiTheme="majorHAnsi"/>
          <w:sz w:val="20"/>
        </w:rPr>
      </w:pPr>
      <w:r>
        <w:rPr>
          <w:rFonts w:asciiTheme="majorHAnsi" w:hAnsiTheme="majorHAnsi"/>
          <w:sz w:val="20"/>
        </w:rPr>
        <w:t>Correlation between factors</w:t>
      </w:r>
    </w:p>
    <w:p w:rsidR="0094750C" w:rsidRPr="0094750C" w:rsidRDefault="0094750C" w:rsidP="0094750C">
      <w:pPr>
        <w:jc w:val="both"/>
        <w:rPr>
          <w:rFonts w:asciiTheme="majorHAnsi" w:hAnsiTheme="majorHAnsi"/>
          <w:sz w:val="20"/>
        </w:rPr>
      </w:pPr>
      <w:r>
        <w:rPr>
          <w:rFonts w:asciiTheme="majorHAnsi" w:hAnsiTheme="majorHAnsi"/>
          <w:noProof/>
          <w:sz w:val="20"/>
        </w:rPr>
        <w:lastRenderedPageBreak/>
        <w:drawing>
          <wp:inline distT="0" distB="0" distL="0" distR="0">
            <wp:extent cx="3046095" cy="2984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6095" cy="2984500"/>
                    </a:xfrm>
                    <a:prstGeom prst="rect">
                      <a:avLst/>
                    </a:prstGeom>
                  </pic:spPr>
                </pic:pic>
              </a:graphicData>
            </a:graphic>
          </wp:inline>
        </w:drawing>
      </w:r>
    </w:p>
    <w:p w:rsidR="00002F85" w:rsidRDefault="00002F85" w:rsidP="00002F85">
      <w:pPr>
        <w:pStyle w:val="ListParagraph"/>
        <w:numPr>
          <w:ilvl w:val="0"/>
          <w:numId w:val="2"/>
        </w:numPr>
        <w:jc w:val="both"/>
        <w:rPr>
          <w:rFonts w:asciiTheme="majorHAnsi" w:hAnsiTheme="majorHAnsi"/>
          <w:sz w:val="20"/>
        </w:rPr>
      </w:pPr>
      <w:r>
        <w:rPr>
          <w:rFonts w:asciiTheme="majorHAnsi" w:hAnsiTheme="majorHAnsi"/>
          <w:sz w:val="20"/>
        </w:rPr>
        <w:t>Significance</w:t>
      </w:r>
    </w:p>
    <w:p w:rsidR="0094750C" w:rsidRPr="0094750C" w:rsidRDefault="0094750C" w:rsidP="0094750C">
      <w:pPr>
        <w:jc w:val="both"/>
        <w:rPr>
          <w:rFonts w:asciiTheme="majorHAnsi" w:hAnsiTheme="majorHAnsi"/>
          <w:sz w:val="20"/>
        </w:rPr>
      </w:pPr>
      <w:r>
        <w:rPr>
          <w:rFonts w:asciiTheme="majorHAnsi" w:hAnsiTheme="majorHAnsi"/>
          <w:noProof/>
          <w:sz w:val="20"/>
        </w:rPr>
        <w:drawing>
          <wp:inline distT="0" distB="0" distL="0" distR="0">
            <wp:extent cx="3046095" cy="30530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6095" cy="3053080"/>
                    </a:xfrm>
                    <a:prstGeom prst="rect">
                      <a:avLst/>
                    </a:prstGeom>
                  </pic:spPr>
                </pic:pic>
              </a:graphicData>
            </a:graphic>
          </wp:inline>
        </w:drawing>
      </w:r>
    </w:p>
    <w:p w:rsidR="00D77002" w:rsidRDefault="008631FC" w:rsidP="008631FC">
      <w:pPr>
        <w:pStyle w:val="ListParagraph"/>
        <w:numPr>
          <w:ilvl w:val="0"/>
          <w:numId w:val="2"/>
        </w:numPr>
        <w:jc w:val="both"/>
        <w:rPr>
          <w:rFonts w:asciiTheme="majorHAnsi" w:hAnsiTheme="majorHAnsi"/>
          <w:sz w:val="20"/>
        </w:rPr>
      </w:pPr>
      <w:r>
        <w:rPr>
          <w:rFonts w:asciiTheme="majorHAnsi" w:hAnsiTheme="majorHAnsi"/>
          <w:sz w:val="20"/>
        </w:rPr>
        <w:t>Conclusion</w:t>
      </w:r>
    </w:p>
    <w:p w:rsidR="008631FC" w:rsidRPr="008631FC" w:rsidRDefault="008631FC" w:rsidP="008631FC">
      <w:pPr>
        <w:pStyle w:val="ListParagraph"/>
        <w:numPr>
          <w:ilvl w:val="0"/>
          <w:numId w:val="2"/>
        </w:numPr>
        <w:jc w:val="both"/>
        <w:rPr>
          <w:rFonts w:asciiTheme="majorHAnsi" w:hAnsiTheme="majorHAnsi"/>
          <w:sz w:val="20"/>
        </w:rPr>
      </w:pPr>
      <w:r>
        <w:rPr>
          <w:rFonts w:asciiTheme="majorHAnsi" w:hAnsiTheme="majorHAnsi"/>
          <w:sz w:val="20"/>
        </w:rPr>
        <w:t>Future Plan</w:t>
      </w:r>
    </w:p>
    <w:p w:rsidR="00D77002" w:rsidRPr="00BD7197" w:rsidRDefault="00D77002" w:rsidP="003816A4">
      <w:pPr>
        <w:jc w:val="both"/>
        <w:rPr>
          <w:rFonts w:asciiTheme="majorHAnsi" w:hAnsiTheme="majorHAnsi"/>
          <w:sz w:val="20"/>
        </w:rPr>
      </w:pPr>
      <w:bookmarkStart w:id="0" w:name="_GoBack"/>
      <w:bookmarkEnd w:id="0"/>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47F45" w:rsidRPr="00BD7197" w:rsidRDefault="00C47F45"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C64700" w:rsidRPr="00BD7197" w:rsidRDefault="00C64700" w:rsidP="003816A4">
      <w:pPr>
        <w:jc w:val="both"/>
        <w:rPr>
          <w:rFonts w:asciiTheme="majorHAnsi" w:hAnsiTheme="majorHAnsi"/>
          <w:sz w:val="20"/>
        </w:rPr>
      </w:pPr>
    </w:p>
    <w:p w:rsidR="007B392E" w:rsidRPr="00BD7197" w:rsidRDefault="007B392E" w:rsidP="003816A4">
      <w:pPr>
        <w:jc w:val="both"/>
        <w:rPr>
          <w:rFonts w:asciiTheme="majorHAnsi" w:hAnsiTheme="majorHAnsi"/>
          <w:sz w:val="20"/>
        </w:rPr>
      </w:pPr>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5"/>
          <w:footerReference w:type="default" r:id="rId26"/>
          <w:headerReference w:type="first" r:id="rId27"/>
          <w:footerReference w:type="first" r:id="rId28"/>
          <w:pgSz w:w="12240" w:h="15840"/>
          <w:pgMar w:top="-2160" w:right="990" w:bottom="1440" w:left="1080" w:header="1152" w:footer="720" w:gutter="0"/>
          <w:pgNumType w:start="0"/>
          <w:cols w:num="2" w:space="576"/>
          <w:titlePg/>
          <w:docGrid w:linePitch="360"/>
        </w:sectPr>
      </w:pPr>
    </w:p>
    <w:p w:rsidR="00C64700" w:rsidRPr="00BD7197" w:rsidRDefault="00C64700"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5DF" w:rsidRDefault="00C935DF" w:rsidP="00C2682C">
      <w:pPr>
        <w:spacing w:after="0" w:line="240" w:lineRule="auto"/>
      </w:pPr>
      <w:r>
        <w:separator/>
      </w:r>
    </w:p>
  </w:endnote>
  <w:endnote w:type="continuationSeparator" w:id="0">
    <w:p w:rsidR="00C935DF" w:rsidRDefault="00C935DF"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9E5788" w:rsidRPr="009E5788">
      <w:rPr>
        <w:rFonts w:asciiTheme="majorHAnsi" w:eastAsiaTheme="majorEastAsia" w:hAnsiTheme="majorHAnsi" w:cstheme="majorBidi"/>
        <w:noProof/>
        <w:sz w:val="20"/>
        <w:szCs w:val="20"/>
      </w:rPr>
      <w:t>7</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9E5788" w:rsidRPr="009E5788">
      <w:rPr>
        <w:rFonts w:asciiTheme="majorHAnsi" w:eastAsiaTheme="majorEastAsia" w:hAnsiTheme="majorHAnsi" w:cstheme="majorBidi"/>
        <w:noProof/>
        <w:sz w:val="20"/>
        <w:szCs w:val="20"/>
      </w:rPr>
      <w:t>9</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5DF" w:rsidRDefault="00C935DF" w:rsidP="00C2682C">
      <w:pPr>
        <w:spacing w:after="0" w:line="240" w:lineRule="auto"/>
      </w:pPr>
      <w:r>
        <w:separator/>
      </w:r>
    </w:p>
  </w:footnote>
  <w:footnote w:type="continuationSeparator" w:id="0">
    <w:p w:rsidR="00C935DF" w:rsidRDefault="00C935DF" w:rsidP="00C26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rPr>
      <w:drawing>
        <wp:anchor distT="0" distB="0" distL="114300" distR="114300" simplePos="0" relativeHeight="251658240" behindDoc="0" locked="0" layoutInCell="1" allowOverlap="1" wp14:anchorId="27BD1121" wp14:editId="1B46E6C6">
          <wp:simplePos x="0" y="0"/>
          <wp:positionH relativeFrom="column">
            <wp:posOffset>123825</wp:posOffset>
          </wp:positionH>
          <wp:positionV relativeFrom="paragraph">
            <wp:posOffset>-179070</wp:posOffset>
          </wp:positionV>
          <wp:extent cx="847725" cy="457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523A32">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523A32">
      <w:rPr>
        <w:rFonts w:asciiTheme="majorHAnsi" w:hAnsiTheme="majorHAnsi"/>
        <w:b/>
        <w:color w:val="00B0F0"/>
        <w:sz w:val="20"/>
        <w:szCs w:val="20"/>
      </w:rPr>
      <w:t>August</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 Recessions and Five Factor Model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F45" w:rsidRDefault="00C47F45">
    <w:pPr>
      <w:pStyle w:val="Header"/>
      <w:rPr>
        <w:rFonts w:asciiTheme="majorHAnsi" w:hAnsiTheme="majorHAnsi" w:cs="Aharoni"/>
        <w:b/>
        <w:i/>
        <w:color w:val="00B0F0"/>
        <w:sz w:val="32"/>
        <w:szCs w:val="32"/>
        <w:u w:val="single"/>
      </w:rPr>
    </w:pPr>
    <w:r w:rsidRPr="00C47F45">
      <w:rPr>
        <w:b/>
        <w:noProof/>
        <w:color w:val="00B0F0"/>
        <w:sz w:val="28"/>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61"/>
    <w:rsid w:val="00002422"/>
    <w:rsid w:val="00002F85"/>
    <w:rsid w:val="00021429"/>
    <w:rsid w:val="000307CB"/>
    <w:rsid w:val="000823E8"/>
    <w:rsid w:val="001307EE"/>
    <w:rsid w:val="00143364"/>
    <w:rsid w:val="001548F9"/>
    <w:rsid w:val="0016512A"/>
    <w:rsid w:val="00183819"/>
    <w:rsid w:val="00196AC0"/>
    <w:rsid w:val="001C37E2"/>
    <w:rsid w:val="001D7BBC"/>
    <w:rsid w:val="001F165B"/>
    <w:rsid w:val="002006B3"/>
    <w:rsid w:val="002112AA"/>
    <w:rsid w:val="002223B4"/>
    <w:rsid w:val="00232BA7"/>
    <w:rsid w:val="00273BF7"/>
    <w:rsid w:val="002B1405"/>
    <w:rsid w:val="002C192A"/>
    <w:rsid w:val="0036768F"/>
    <w:rsid w:val="003816A4"/>
    <w:rsid w:val="00381FA8"/>
    <w:rsid w:val="00396ADA"/>
    <w:rsid w:val="003A5245"/>
    <w:rsid w:val="003C77A1"/>
    <w:rsid w:val="003D4428"/>
    <w:rsid w:val="003D6FAC"/>
    <w:rsid w:val="003F2367"/>
    <w:rsid w:val="0041539A"/>
    <w:rsid w:val="00447531"/>
    <w:rsid w:val="00467909"/>
    <w:rsid w:val="00523A32"/>
    <w:rsid w:val="00566A84"/>
    <w:rsid w:val="005A634F"/>
    <w:rsid w:val="005E5DB4"/>
    <w:rsid w:val="006226B1"/>
    <w:rsid w:val="00640B4B"/>
    <w:rsid w:val="006806AB"/>
    <w:rsid w:val="006975FF"/>
    <w:rsid w:val="006B7E8B"/>
    <w:rsid w:val="006E4869"/>
    <w:rsid w:val="00734E77"/>
    <w:rsid w:val="007B392E"/>
    <w:rsid w:val="007C42E6"/>
    <w:rsid w:val="007C6E18"/>
    <w:rsid w:val="007E1F92"/>
    <w:rsid w:val="007E3903"/>
    <w:rsid w:val="007F4C02"/>
    <w:rsid w:val="00804557"/>
    <w:rsid w:val="0082164B"/>
    <w:rsid w:val="00822185"/>
    <w:rsid w:val="00851CFE"/>
    <w:rsid w:val="008631FC"/>
    <w:rsid w:val="008701D2"/>
    <w:rsid w:val="0089617F"/>
    <w:rsid w:val="008A56C9"/>
    <w:rsid w:val="008D6C5E"/>
    <w:rsid w:val="008E16A0"/>
    <w:rsid w:val="008E35DB"/>
    <w:rsid w:val="008E5DA4"/>
    <w:rsid w:val="009207A7"/>
    <w:rsid w:val="00921B5C"/>
    <w:rsid w:val="009378E2"/>
    <w:rsid w:val="0094750C"/>
    <w:rsid w:val="0096485F"/>
    <w:rsid w:val="009900D4"/>
    <w:rsid w:val="009A324C"/>
    <w:rsid w:val="009C0F5E"/>
    <w:rsid w:val="009D3539"/>
    <w:rsid w:val="009E5788"/>
    <w:rsid w:val="00A54D76"/>
    <w:rsid w:val="00A56645"/>
    <w:rsid w:val="00A569C5"/>
    <w:rsid w:val="00A74028"/>
    <w:rsid w:val="00A86CCA"/>
    <w:rsid w:val="00AA3456"/>
    <w:rsid w:val="00AF7061"/>
    <w:rsid w:val="00B009C1"/>
    <w:rsid w:val="00B32D29"/>
    <w:rsid w:val="00B42B10"/>
    <w:rsid w:val="00B51F39"/>
    <w:rsid w:val="00B65F55"/>
    <w:rsid w:val="00B952B5"/>
    <w:rsid w:val="00BA7F0F"/>
    <w:rsid w:val="00BD7197"/>
    <w:rsid w:val="00BE0B46"/>
    <w:rsid w:val="00BF2A2A"/>
    <w:rsid w:val="00C04658"/>
    <w:rsid w:val="00C10706"/>
    <w:rsid w:val="00C2682C"/>
    <w:rsid w:val="00C35C07"/>
    <w:rsid w:val="00C42976"/>
    <w:rsid w:val="00C42A5B"/>
    <w:rsid w:val="00C47F45"/>
    <w:rsid w:val="00C55D70"/>
    <w:rsid w:val="00C64700"/>
    <w:rsid w:val="00C671FB"/>
    <w:rsid w:val="00C75FC2"/>
    <w:rsid w:val="00C93204"/>
    <w:rsid w:val="00C935DF"/>
    <w:rsid w:val="00CD0DCD"/>
    <w:rsid w:val="00D01C7C"/>
    <w:rsid w:val="00D15946"/>
    <w:rsid w:val="00D17CB0"/>
    <w:rsid w:val="00D348E5"/>
    <w:rsid w:val="00D77002"/>
    <w:rsid w:val="00DA23C1"/>
    <w:rsid w:val="00DB3308"/>
    <w:rsid w:val="00DE7C8A"/>
    <w:rsid w:val="00E20221"/>
    <w:rsid w:val="00E703EB"/>
    <w:rsid w:val="00EA5C63"/>
    <w:rsid w:val="00EC1946"/>
    <w:rsid w:val="00EC377B"/>
    <w:rsid w:val="00ED0FB7"/>
    <w:rsid w:val="00EE19D5"/>
    <w:rsid w:val="00F301A5"/>
    <w:rsid w:val="00F374A2"/>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https://www.ecb.europa.eu/pub/pdf/scpwps/ecbwp1573.pdf?40ae3304b4924411e5ee781637bcfc3d"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www.bankofengland.co.uk/-/media/boe/files/working-paper/2018/judgement-day-algorithmic-trading-around-the-swiss-franc-cap-removal.pdf?la=en&amp;hash=5E965E36678B2945FC099BBCB8C25A9604D29A8C&amp;lipi=urn%3Ali%3Apage%3Ad_flagship3_feed%3BOjyZlCsTSiq%2BafJe5UxXZQ%3D%3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Template.dotx</Template>
  <TotalTime>761</TotalTime>
  <Pages>10</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19142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creator>Zou, Yue</dc:creator>
  <cp:lastModifiedBy>Zou, Yue</cp:lastModifiedBy>
  <cp:revision>10</cp:revision>
  <cp:lastPrinted>2019-07-17T01:50:00Z</cp:lastPrinted>
  <dcterms:created xsi:type="dcterms:W3CDTF">2019-07-20T01:33:00Z</dcterms:created>
  <dcterms:modified xsi:type="dcterms:W3CDTF">2019-07-20T14:18:00Z</dcterms:modified>
</cp:coreProperties>
</file>