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/>
        <w:jc w:val="center"/>
      </w:pPr>
      <w:r>
        <w:rPr>
          <w:rFonts w:ascii="Arial" w:hAnsi="Arial" w:eastAsia="Arial" w:cs="Arial"/>
          <w:b/>
          <w:color w:val="000000"/>
          <w:sz w:val="32"/>
          <w:u w:val="none"/>
        </w:rPr>
        <w:t>The Autoreport interface settings need to be configured according to the config zone Test Report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Functional Testing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1.Autoreport Interface Settings per Config Zone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1.1.Autoreport interface settings follow the current Config Zone hierarchy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Autoreport feature is enabled at the Platform level.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Multiple Config Zones exist (e.g., 本层级, 下一层级, 上层级, 所有层级包括下层级).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Autoreport schedules with different interface settings (Email, FTP, SFTP) are configured at different Config Zone levels.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Log in to the Platform as a user associated with a specific Config Zone.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Navigate to System Management &gt; Auto Report Configuration.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View the Autoreport schedules visible to the current user.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Verify the interface settings (Email/FTP/SFTP server, port, credentials) shown for each schedule.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Switch to a user in a different Config Zone and re-open the Auto Report Configuration page.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6. Compare the interface settings visible for each schedule between the two Config Zones.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Autoreport interface settings are not aligned with the current Config Zone hierarchy (bug reproduced).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schedule configured under a different Config Zone level exposes interface settings that do not match the current user's Config Zone.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Autoreport interface settings displayed follow the user's current Config Zone hierarchy.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Each Config Zone level shows interface settings that are properly scoped to that level.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There is no leakage of interface settings from one Config Zone to another.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1.2.Autoreport schedule runs use the interface settings of the schedule's owning Config Zone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Autoreport feature is enabled.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At least one Autoreport schedule is configured with interface settings at the 本层级 Config Zone.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At least one Autoreport schedule is configured at the 所有层级包括下层级 Config Zone.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Trigger the Autoreport schedule configured at 本层级 and confirm the destination (Email/FTP/SFTP) and the sending server used.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Trigger the Autoreport schedule configured at 所有层级包括下层级 and confirm the destination and sending server used.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Verify both schedules use the interface settings of their respective owning Config Zones.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Autoreport schedule does not use the interface settings of its owning Config Zone (bug reproduced).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Interface settings from another Config Zone level may be used instead.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Each Autoreport schedule uses the interface settings of its owning Config Zone.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Reports are delivered to the destination configured at the correct Config Zone level using the correct interface settings.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1.3.Switching Config Zone updates the Autoreport interface settings accordingly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User has access to multiple Config Zones.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Autoreport schedules and their interface settings exist at more than one Config Zone level.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While logged in under Config Zone A, open Auto Report Configuration and record the interface settings.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Switch the user's Config Zone to Config Zone B.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Re-open Auto Report Configuration and record the interface settings again.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Compare the interface settings between the two Config Zones.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Interface settings do not refresh properly when the user switches Config Zone (bug reproduced).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Interface settings update immediately when the user's Config Zone is switched.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Autoreport configuration reflects the correct Config Zone after each switch.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Test Environment Information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Test Environment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Local Test Environment, HQ Test Environment, ER Test Environment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Test Browsers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Chrome, Firefox, Microsoft Edge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Related Module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System Management &gt; Auto Report Configuration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Appendix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Acceptance Criteria (from JIRA)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The Autoreport interface settings need to be configured according to the config zone.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Expected Result: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Autoreport interface settings follow the user's current Config Zone hierarchy.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Each Autoreport schedule uses the interface settings of its owning Config Zone.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Switching the user's Config Zone updates the Autoreport interface settings accordingly.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There is no leakage of interface settings from one Config Zone to another.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