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E5CE" w14:textId="7AA85A1B" w:rsidR="00A42DAB" w:rsidRPr="006C4138" w:rsidRDefault="00923C4E" w:rsidP="00923C4E">
      <w:pPr>
        <w:pStyle w:val="a0"/>
        <w:spacing w:before="57"/>
        <w:rPr>
          <w:rFonts w:eastAsiaTheme="minorEastAsia"/>
          <w:sz w:val="20"/>
          <w:lang w:eastAsia="zh-CN"/>
        </w:rPr>
      </w:pPr>
      <w:r>
        <w:rPr>
          <w:noProof/>
          <w:sz w:val="20"/>
        </w:rPr>
        <w:drawing>
          <wp:anchor distT="0" distB="0" distL="114300" distR="114300" simplePos="0" relativeHeight="251657728" behindDoc="0" locked="0" layoutInCell="1" allowOverlap="1" wp14:anchorId="3A5DEC88" wp14:editId="4FF0B3AD">
            <wp:simplePos x="0" y="0"/>
            <wp:positionH relativeFrom="column">
              <wp:posOffset>2298700</wp:posOffset>
            </wp:positionH>
            <wp:positionV relativeFrom="paragraph">
              <wp:posOffset>177800</wp:posOffset>
            </wp:positionV>
            <wp:extent cx="1565528" cy="17602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5528" cy="1760220"/>
                    </a:xfrm>
                    <a:prstGeom prst="rect">
                      <a:avLst/>
                    </a:prstGeom>
                  </pic:spPr>
                </pic:pic>
              </a:graphicData>
            </a:graphic>
          </wp:anchor>
        </w:drawing>
      </w:r>
    </w:p>
    <w:p w14:paraId="5672DDAF" w14:textId="76AA3461" w:rsidR="00A42DAB" w:rsidRDefault="00A42DAB" w:rsidP="00923C4E">
      <w:pPr>
        <w:ind w:left="3021"/>
        <w:rPr>
          <w:sz w:val="20"/>
        </w:rPr>
      </w:pPr>
    </w:p>
    <w:p w14:paraId="0FAF7837" w14:textId="77777777" w:rsidR="00A42DAB" w:rsidRDefault="00A42DAB" w:rsidP="00923C4E">
      <w:pPr>
        <w:pStyle w:val="a0"/>
      </w:pPr>
    </w:p>
    <w:p w14:paraId="59A39033" w14:textId="77777777" w:rsidR="00A42DAB" w:rsidRDefault="00A42DAB" w:rsidP="00923C4E">
      <w:pPr>
        <w:pStyle w:val="a0"/>
      </w:pPr>
    </w:p>
    <w:p w14:paraId="72DFD389" w14:textId="77777777" w:rsidR="00A42DAB" w:rsidRDefault="00A42DAB" w:rsidP="00923C4E">
      <w:pPr>
        <w:pStyle w:val="a0"/>
      </w:pPr>
    </w:p>
    <w:p w14:paraId="0FC314E6" w14:textId="77777777" w:rsidR="00A42DAB" w:rsidRDefault="00A42DAB" w:rsidP="00923C4E">
      <w:pPr>
        <w:pStyle w:val="a0"/>
        <w:spacing w:before="30"/>
      </w:pPr>
    </w:p>
    <w:p w14:paraId="4A058535" w14:textId="4C75A670" w:rsidR="00A42DAB" w:rsidRPr="00ED2788" w:rsidRDefault="00000000" w:rsidP="00923C4E">
      <w:pPr>
        <w:pStyle w:val="a0"/>
        <w:spacing w:line="484" w:lineRule="auto"/>
        <w:ind w:left="2676" w:firstLineChars="100" w:firstLine="240"/>
        <w:rPr>
          <w:rFonts w:eastAsiaTheme="minorEastAsia"/>
          <w:lang w:eastAsia="zh-CN"/>
        </w:rPr>
      </w:pPr>
      <w:r>
        <w:t xml:space="preserve">The University of Hong Kong </w:t>
      </w:r>
      <w:r w:rsidR="00ED2788">
        <w:rPr>
          <w:rFonts w:eastAsiaTheme="minorEastAsia" w:hint="eastAsia"/>
          <w:lang w:eastAsia="zh-CN"/>
        </w:rPr>
        <w:t>MSc(BA)</w:t>
      </w:r>
    </w:p>
    <w:p w14:paraId="50D4314C" w14:textId="77777777" w:rsidR="00A42DAB" w:rsidRDefault="00A42DAB" w:rsidP="00923C4E">
      <w:pPr>
        <w:pStyle w:val="a0"/>
      </w:pPr>
    </w:p>
    <w:p w14:paraId="777411CA" w14:textId="77777777" w:rsidR="00A42DAB" w:rsidRDefault="00A42DAB" w:rsidP="00923C4E">
      <w:pPr>
        <w:pStyle w:val="a0"/>
      </w:pPr>
    </w:p>
    <w:p w14:paraId="3ADB62C7" w14:textId="77777777" w:rsidR="00A42DAB" w:rsidRDefault="00A42DAB" w:rsidP="00923C4E">
      <w:pPr>
        <w:pStyle w:val="a0"/>
        <w:spacing w:before="69"/>
      </w:pPr>
    </w:p>
    <w:p w14:paraId="0D693175" w14:textId="216ED9E7" w:rsidR="00A42DAB" w:rsidRPr="00ED2788" w:rsidRDefault="00ED2788" w:rsidP="00923C4E">
      <w:pPr>
        <w:pStyle w:val="a0"/>
        <w:spacing w:before="1"/>
        <w:jc w:val="center"/>
        <w:rPr>
          <w:rFonts w:eastAsiaTheme="minorEastAsia"/>
          <w:lang w:eastAsia="zh-CN"/>
        </w:rPr>
      </w:pPr>
      <w:r>
        <w:rPr>
          <w:rFonts w:eastAsiaTheme="minorEastAsia" w:hint="eastAsia"/>
          <w:spacing w:val="-2"/>
          <w:lang w:eastAsia="zh-CN"/>
        </w:rPr>
        <w:t>Capstone Project</w:t>
      </w:r>
    </w:p>
    <w:p w14:paraId="179AFBB8" w14:textId="77777777" w:rsidR="00A42DAB" w:rsidRDefault="00A42DAB" w:rsidP="00923C4E">
      <w:pPr>
        <w:pStyle w:val="a0"/>
        <w:spacing w:before="5"/>
      </w:pPr>
    </w:p>
    <w:p w14:paraId="7D2400E7" w14:textId="77777777" w:rsidR="00ED2788" w:rsidRDefault="00000000" w:rsidP="00923C4E">
      <w:pPr>
        <w:pStyle w:val="a0"/>
        <w:spacing w:line="312" w:lineRule="auto"/>
        <w:ind w:left="3062" w:firstLineChars="400" w:firstLine="952"/>
        <w:rPr>
          <w:rFonts w:eastAsiaTheme="minorEastAsia"/>
          <w:spacing w:val="-2"/>
          <w:lang w:eastAsia="zh-CN"/>
        </w:rPr>
      </w:pPr>
      <w:r>
        <w:rPr>
          <w:spacing w:val="-2"/>
        </w:rPr>
        <w:t>Dissertation</w:t>
      </w:r>
      <w:r>
        <w:rPr>
          <w:spacing w:val="-13"/>
        </w:rPr>
        <w:t xml:space="preserve"> </w:t>
      </w:r>
      <w:r>
        <w:rPr>
          <w:spacing w:val="-2"/>
        </w:rPr>
        <w:t>Title</w:t>
      </w:r>
      <w:r w:rsidR="00ED2788">
        <w:rPr>
          <w:rFonts w:eastAsiaTheme="minorEastAsia" w:hint="eastAsia"/>
          <w:spacing w:val="-2"/>
          <w:lang w:eastAsia="zh-CN"/>
        </w:rPr>
        <w:t>:</w:t>
      </w:r>
    </w:p>
    <w:p w14:paraId="02E4DE71" w14:textId="5B9BA55E" w:rsidR="00ED2788" w:rsidRPr="00ED2788" w:rsidRDefault="00000000" w:rsidP="00923C4E">
      <w:pPr>
        <w:pStyle w:val="a0"/>
        <w:spacing w:line="312" w:lineRule="auto"/>
        <w:ind w:left="1134"/>
        <w:jc w:val="center"/>
        <w:rPr>
          <w:spacing w:val="-2"/>
        </w:rPr>
      </w:pPr>
      <w:r>
        <w:rPr>
          <w:spacing w:val="-2"/>
        </w:rPr>
        <w:t xml:space="preserve"> </w:t>
      </w:r>
      <w:r w:rsidR="00ED2788" w:rsidRPr="00ED2788">
        <w:rPr>
          <w:spacing w:val="-2"/>
        </w:rPr>
        <w:t>Li-Ning Decoding Retail Success: Foot Traffic Analysis of Li-Ning New Category Store and Data-Driven Location</w:t>
      </w:r>
    </w:p>
    <w:p w14:paraId="2FB78DBF" w14:textId="21363C17" w:rsidR="00A42DAB" w:rsidRDefault="00ED2788" w:rsidP="00923C4E">
      <w:pPr>
        <w:pStyle w:val="a0"/>
        <w:spacing w:line="312" w:lineRule="auto"/>
        <w:ind w:left="1134"/>
        <w:jc w:val="center"/>
      </w:pPr>
      <w:r w:rsidRPr="00ED2788">
        <w:rPr>
          <w:rFonts w:hint="eastAsia"/>
          <w:spacing w:val="-2"/>
        </w:rPr>
        <w:t>——</w:t>
      </w:r>
      <w:r w:rsidRPr="00ED2788">
        <w:rPr>
          <w:spacing w:val="-2"/>
        </w:rPr>
        <w:t xml:space="preserve"> Micro-Modeling and Customer Insights for Sales and Assortment Optimization</w:t>
      </w:r>
    </w:p>
    <w:p w14:paraId="2FC5B24D" w14:textId="77777777" w:rsidR="00A42DAB" w:rsidRDefault="00A42DAB" w:rsidP="00923C4E">
      <w:pPr>
        <w:pStyle w:val="a0"/>
      </w:pPr>
    </w:p>
    <w:p w14:paraId="4E560C9D" w14:textId="77777777" w:rsidR="00A42DAB" w:rsidRDefault="00A42DAB" w:rsidP="00923C4E">
      <w:pPr>
        <w:pStyle w:val="a0"/>
      </w:pPr>
    </w:p>
    <w:p w14:paraId="562EB84D" w14:textId="77777777" w:rsidR="00A42DAB" w:rsidRDefault="00A42DAB" w:rsidP="00923C4E">
      <w:pPr>
        <w:pStyle w:val="a0"/>
      </w:pPr>
    </w:p>
    <w:p w14:paraId="596156EF" w14:textId="77777777" w:rsidR="00A42DAB" w:rsidRDefault="00A42DAB" w:rsidP="00923C4E">
      <w:pPr>
        <w:pStyle w:val="a0"/>
        <w:spacing w:before="91"/>
      </w:pPr>
    </w:p>
    <w:p w14:paraId="6C16CF9B" w14:textId="77777777" w:rsidR="00A42DAB" w:rsidRDefault="00A42DAB" w:rsidP="00923C4E">
      <w:pPr>
        <w:pStyle w:val="a0"/>
      </w:pPr>
    </w:p>
    <w:p w14:paraId="42275010" w14:textId="77777777" w:rsidR="00A42DAB" w:rsidRDefault="00A42DAB" w:rsidP="00923C4E">
      <w:pPr>
        <w:pStyle w:val="a0"/>
      </w:pPr>
    </w:p>
    <w:p w14:paraId="79375F3C" w14:textId="77777777" w:rsidR="00A42DAB" w:rsidRDefault="00A42DAB" w:rsidP="00923C4E">
      <w:pPr>
        <w:pStyle w:val="a0"/>
      </w:pPr>
    </w:p>
    <w:p w14:paraId="5C4D7070" w14:textId="77777777" w:rsidR="00A42DAB" w:rsidRDefault="00A42DAB" w:rsidP="00923C4E">
      <w:pPr>
        <w:pStyle w:val="a0"/>
        <w:spacing w:before="90"/>
      </w:pPr>
    </w:p>
    <w:p w14:paraId="0EED24D4" w14:textId="558B2EE5" w:rsidR="00923C4E" w:rsidRDefault="00923C4E" w:rsidP="00923C4E">
      <w:pPr>
        <w:pStyle w:val="a0"/>
        <w:spacing w:before="1" w:line="312" w:lineRule="auto"/>
        <w:ind w:left="1134"/>
        <w:jc w:val="center"/>
        <w:rPr>
          <w:rFonts w:eastAsiaTheme="minorEastAsia"/>
          <w:spacing w:val="-4"/>
          <w:lang w:eastAsia="zh-CN"/>
        </w:rPr>
      </w:pPr>
      <w:r>
        <w:rPr>
          <w:rFonts w:eastAsiaTheme="minorEastAsia" w:hint="eastAsia"/>
          <w:spacing w:val="-6"/>
          <w:lang w:eastAsia="zh-CN"/>
        </w:rPr>
        <w:t>Team:</w:t>
      </w:r>
      <w:r>
        <w:rPr>
          <w:spacing w:val="-6"/>
        </w:rPr>
        <w:t xml:space="preserve"> </w:t>
      </w:r>
      <w:r w:rsidR="001844D4" w:rsidRPr="001844D4">
        <w:rPr>
          <w:rFonts w:eastAsiaTheme="minorEastAsia"/>
          <w:spacing w:val="-4"/>
          <w:lang w:eastAsia="zh-CN"/>
        </w:rPr>
        <w:t xml:space="preserve">Mao Xiaojing, Sun Jin, Li Huyun, Xu Zheying, </w:t>
      </w:r>
    </w:p>
    <w:p w14:paraId="3AAEBD06" w14:textId="77777777" w:rsidR="00923C4E" w:rsidRDefault="001844D4" w:rsidP="00923C4E">
      <w:pPr>
        <w:pStyle w:val="a0"/>
        <w:spacing w:before="1" w:line="312" w:lineRule="auto"/>
        <w:ind w:left="1134"/>
        <w:jc w:val="center"/>
        <w:rPr>
          <w:rFonts w:eastAsiaTheme="minorEastAsia"/>
          <w:spacing w:val="-4"/>
          <w:lang w:eastAsia="zh-CN"/>
        </w:rPr>
      </w:pPr>
      <w:r w:rsidRPr="001844D4">
        <w:rPr>
          <w:rFonts w:eastAsiaTheme="minorEastAsia"/>
          <w:spacing w:val="-4"/>
          <w:lang w:eastAsia="zh-CN"/>
        </w:rPr>
        <w:t>Deng Shiyan, Zhuang Yayin, Qian Puyue, Liang Jingjun</w:t>
      </w:r>
      <w:r w:rsidRPr="001844D4">
        <w:rPr>
          <w:rFonts w:eastAsiaTheme="minorEastAsia"/>
          <w:spacing w:val="-4"/>
          <w:lang w:eastAsia="zh-CN"/>
        </w:rPr>
        <w:cr/>
      </w:r>
      <w:r w:rsidR="00AE2BE5">
        <w:rPr>
          <w:rFonts w:eastAsiaTheme="minorEastAsia" w:hint="eastAsia"/>
          <w:spacing w:val="-4"/>
          <w:lang w:eastAsia="zh-CN"/>
        </w:rPr>
        <w:t xml:space="preserve">UID: 3036552607, </w:t>
      </w:r>
      <w:r w:rsidR="006C4138">
        <w:rPr>
          <w:rFonts w:eastAsiaTheme="minorEastAsia" w:hint="eastAsia"/>
          <w:spacing w:val="-4"/>
          <w:lang w:eastAsia="zh-CN"/>
        </w:rPr>
        <w:t xml:space="preserve"> </w:t>
      </w:r>
      <w:r w:rsidR="00923C4E" w:rsidRPr="00923C4E">
        <w:rPr>
          <w:rFonts w:eastAsiaTheme="minorEastAsia"/>
          <w:spacing w:val="-4"/>
          <w:lang w:eastAsia="zh-CN"/>
        </w:rPr>
        <w:t>3036604814</w:t>
      </w:r>
      <w:r w:rsidR="00923C4E">
        <w:rPr>
          <w:rFonts w:eastAsiaTheme="minorEastAsia" w:hint="eastAsia"/>
          <w:spacing w:val="-4"/>
          <w:lang w:eastAsia="zh-CN"/>
        </w:rPr>
        <w:t xml:space="preserve">, </w:t>
      </w:r>
      <w:r w:rsidR="00923C4E" w:rsidRPr="00923C4E">
        <w:rPr>
          <w:rFonts w:eastAsiaTheme="minorEastAsia"/>
          <w:spacing w:val="-4"/>
          <w:lang w:eastAsia="zh-CN"/>
        </w:rPr>
        <w:t>3036346187</w:t>
      </w:r>
      <w:r w:rsidR="00923C4E">
        <w:rPr>
          <w:rFonts w:eastAsiaTheme="minorEastAsia" w:hint="eastAsia"/>
          <w:spacing w:val="-4"/>
          <w:lang w:eastAsia="zh-CN"/>
        </w:rPr>
        <w:t xml:space="preserve">, </w:t>
      </w:r>
      <w:r w:rsidR="00923C4E" w:rsidRPr="00923C4E">
        <w:rPr>
          <w:rFonts w:eastAsiaTheme="minorEastAsia"/>
          <w:spacing w:val="-4"/>
          <w:lang w:eastAsia="zh-CN"/>
        </w:rPr>
        <w:t>3036553091</w:t>
      </w:r>
      <w:r w:rsidR="00923C4E">
        <w:rPr>
          <w:rFonts w:eastAsiaTheme="minorEastAsia" w:hint="eastAsia"/>
          <w:spacing w:val="-4"/>
          <w:lang w:eastAsia="zh-CN"/>
        </w:rPr>
        <w:t xml:space="preserve">, </w:t>
      </w:r>
    </w:p>
    <w:p w14:paraId="13282BC8" w14:textId="3AAA84A0" w:rsidR="00A42DAB" w:rsidRDefault="00923C4E" w:rsidP="00923C4E">
      <w:pPr>
        <w:pStyle w:val="a0"/>
        <w:spacing w:before="1" w:line="312" w:lineRule="auto"/>
        <w:ind w:left="1134"/>
        <w:jc w:val="center"/>
      </w:pPr>
      <w:r w:rsidRPr="00923C4E">
        <w:rPr>
          <w:rFonts w:eastAsiaTheme="minorEastAsia"/>
          <w:spacing w:val="-4"/>
          <w:lang w:eastAsia="zh-CN"/>
        </w:rPr>
        <w:t>3036551524</w:t>
      </w:r>
      <w:r>
        <w:rPr>
          <w:rFonts w:eastAsiaTheme="minorEastAsia" w:hint="eastAsia"/>
          <w:spacing w:val="-4"/>
          <w:lang w:eastAsia="zh-CN"/>
        </w:rPr>
        <w:t xml:space="preserve">, </w:t>
      </w:r>
      <w:r w:rsidRPr="00923C4E">
        <w:rPr>
          <w:rFonts w:eastAsiaTheme="minorEastAsia"/>
          <w:spacing w:val="-4"/>
          <w:lang w:eastAsia="zh-CN"/>
        </w:rPr>
        <w:t>3036553912</w:t>
      </w:r>
      <w:r>
        <w:rPr>
          <w:rFonts w:eastAsiaTheme="minorEastAsia" w:hint="eastAsia"/>
          <w:spacing w:val="-4"/>
          <w:lang w:eastAsia="zh-CN"/>
        </w:rPr>
        <w:t xml:space="preserve">, </w:t>
      </w:r>
      <w:r w:rsidRPr="00923C4E">
        <w:rPr>
          <w:rFonts w:eastAsiaTheme="minorEastAsia"/>
          <w:spacing w:val="-4"/>
          <w:lang w:eastAsia="zh-CN"/>
        </w:rPr>
        <w:t>3036551665</w:t>
      </w:r>
    </w:p>
    <w:p w14:paraId="07245793" w14:textId="77777777" w:rsidR="00A42DAB" w:rsidRDefault="00A42DAB" w:rsidP="00923C4E">
      <w:pPr>
        <w:pStyle w:val="a0"/>
        <w:spacing w:before="5"/>
      </w:pPr>
    </w:p>
    <w:p w14:paraId="40D34C7D" w14:textId="1C1748B6" w:rsidR="00ED2788" w:rsidRPr="00ED2788" w:rsidRDefault="00000000" w:rsidP="00923C4E">
      <w:pPr>
        <w:pStyle w:val="a0"/>
        <w:spacing w:before="1" w:line="312" w:lineRule="auto"/>
        <w:ind w:left="2742" w:firstLineChars="200" w:firstLine="480"/>
        <w:rPr>
          <w:rFonts w:eastAsiaTheme="minorEastAsia"/>
          <w:lang w:eastAsia="zh-CN"/>
        </w:rPr>
      </w:pPr>
      <w:r>
        <w:t xml:space="preserve">Supervisor: Prof. </w:t>
      </w:r>
      <w:r w:rsidR="00ED2788">
        <w:rPr>
          <w:rFonts w:eastAsiaTheme="minorEastAsia" w:hint="eastAsia"/>
          <w:lang w:eastAsia="zh-CN"/>
        </w:rPr>
        <w:t>Zhang Wei</w:t>
      </w:r>
    </w:p>
    <w:p w14:paraId="363A0FC0" w14:textId="77777777" w:rsidR="00ED2788" w:rsidRDefault="00000000" w:rsidP="00923C4E">
      <w:pPr>
        <w:pStyle w:val="a0"/>
        <w:spacing w:before="1" w:line="312" w:lineRule="auto"/>
        <w:ind w:left="2606" w:firstLineChars="200" w:firstLine="480"/>
        <w:rPr>
          <w:rFonts w:eastAsiaTheme="minorEastAsia"/>
          <w:lang w:eastAsia="zh-CN"/>
        </w:rPr>
      </w:pPr>
      <w:r>
        <w:t>Date</w:t>
      </w:r>
      <w:r>
        <w:rPr>
          <w:spacing w:val="-14"/>
        </w:rPr>
        <w:t xml:space="preserve"> </w:t>
      </w:r>
      <w:r>
        <w:t>of</w:t>
      </w:r>
      <w:r>
        <w:rPr>
          <w:spacing w:val="-14"/>
        </w:rPr>
        <w:t xml:space="preserve"> </w:t>
      </w:r>
      <w:r>
        <w:t>submission:</w:t>
      </w:r>
      <w:r>
        <w:rPr>
          <w:spacing w:val="-2"/>
        </w:rPr>
        <w:t xml:space="preserve"> </w:t>
      </w:r>
      <w:r>
        <w:t>1</w:t>
      </w:r>
      <w:r w:rsidR="00ED2788">
        <w:rPr>
          <w:rFonts w:eastAsiaTheme="minorEastAsia" w:hint="eastAsia"/>
          <w:lang w:eastAsia="zh-CN"/>
        </w:rPr>
        <w:t>0</w:t>
      </w:r>
      <w:r>
        <w:t>/0</w:t>
      </w:r>
      <w:r w:rsidR="00ED2788">
        <w:rPr>
          <w:rFonts w:eastAsiaTheme="minorEastAsia" w:hint="eastAsia"/>
          <w:lang w:eastAsia="zh-CN"/>
        </w:rPr>
        <w:t>5</w:t>
      </w:r>
      <w:r>
        <w:t>/202</w:t>
      </w:r>
      <w:r w:rsidR="00ED2788">
        <w:rPr>
          <w:rFonts w:eastAsiaTheme="minorEastAsia" w:hint="eastAsia"/>
          <w:lang w:eastAsia="zh-CN"/>
        </w:rPr>
        <w:t>6</w:t>
      </w:r>
    </w:p>
    <w:p w14:paraId="76D24E6B" w14:textId="4FB87A68" w:rsidR="00923C4E" w:rsidRPr="00ED2788" w:rsidRDefault="00923C4E" w:rsidP="00923C4E">
      <w:pPr>
        <w:pStyle w:val="a0"/>
        <w:spacing w:before="1" w:line="312" w:lineRule="auto"/>
        <w:ind w:left="2606" w:firstLine="274"/>
        <w:rPr>
          <w:rFonts w:eastAsiaTheme="minorEastAsia"/>
          <w:lang w:eastAsia="zh-CN"/>
        </w:rPr>
        <w:sectPr w:rsidR="00923C4E" w:rsidRPr="00ED2788" w:rsidSect="001B45C4">
          <w:footerReference w:type="default" r:id="rId9"/>
          <w:type w:val="continuous"/>
          <w:pgSz w:w="11910" w:h="16840" w:code="9"/>
          <w:pgMar w:top="1440" w:right="1080" w:bottom="1440" w:left="1080" w:header="0" w:footer="0" w:gutter="0"/>
          <w:pgNumType w:start="1"/>
          <w:cols w:space="720"/>
          <w:docGrid w:linePitch="299"/>
        </w:sectPr>
      </w:pPr>
    </w:p>
    <w:p w14:paraId="1939C390" w14:textId="6C7B1C41" w:rsidR="00A42DAB" w:rsidRPr="00AE2BE5" w:rsidRDefault="00000000" w:rsidP="00923C4E">
      <w:pPr>
        <w:rPr>
          <w:rFonts w:eastAsiaTheme="minorEastAsia"/>
          <w:b/>
          <w:sz w:val="49"/>
          <w:lang w:eastAsia="zh-CN"/>
        </w:rPr>
      </w:pPr>
      <w:r>
        <w:rPr>
          <w:b/>
          <w:spacing w:val="-2"/>
          <w:sz w:val="49"/>
        </w:rPr>
        <w:lastRenderedPageBreak/>
        <w:t>Contents</w:t>
      </w:r>
    </w:p>
    <w:p w14:paraId="5298561B" w14:textId="46EB38FC" w:rsidR="001B45C4" w:rsidRPr="00DA6E81" w:rsidRDefault="002C24CD" w:rsidP="00923C4E">
      <w:pPr>
        <w:pStyle w:val="TOC1"/>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TOC \o "1-2" \h \z \u</w:instrText>
      </w:r>
      <w:r>
        <w:rPr>
          <w:rFonts w:eastAsiaTheme="minorEastAsia"/>
          <w:lang w:eastAsia="zh-CN"/>
        </w:rPr>
        <w:instrText xml:space="preserve"> </w:instrText>
      </w:r>
      <w:r>
        <w:rPr>
          <w:rFonts w:eastAsiaTheme="minorEastAsia"/>
          <w:lang w:eastAsia="zh-CN"/>
        </w:rPr>
        <w:fldChar w:fldCharType="separate"/>
      </w:r>
      <w:hyperlink w:anchor="_Toc229242106" w:history="1">
        <w:r w:rsidR="001B45C4" w:rsidRPr="00DA6E81">
          <w:rPr>
            <w:rStyle w:val="ab"/>
            <w:b w:val="0"/>
            <w:bCs w:val="0"/>
            <w:noProof/>
            <w:w w:val="101"/>
          </w:rPr>
          <w:t>1.</w:t>
        </w:r>
        <w:r w:rsidR="001B45C4" w:rsidRPr="00DA6E81">
          <w:rPr>
            <w:rFonts w:asciiTheme="minorHAnsi" w:eastAsiaTheme="minorEastAsia" w:hAnsiTheme="minorHAnsi" w:cstheme="minorBidi"/>
            <w:b w:val="0"/>
            <w:bCs w:val="0"/>
            <w:noProof/>
            <w:kern w:val="2"/>
            <w:sz w:val="22"/>
            <w:lang w:eastAsia="zh-CN"/>
            <w14:ligatures w14:val="standardContextual"/>
          </w:rPr>
          <w:tab/>
        </w:r>
        <w:r w:rsidR="001B45C4" w:rsidRPr="00DA6E81">
          <w:rPr>
            <w:rStyle w:val="ab"/>
            <w:b w:val="0"/>
            <w:bCs w:val="0"/>
            <w:noProof/>
          </w:rPr>
          <w:t>Background and Objective</w:t>
        </w:r>
        <w:r w:rsidR="001B45C4" w:rsidRPr="00DA6E81">
          <w:rPr>
            <w:b w:val="0"/>
            <w:bCs w:val="0"/>
            <w:noProof/>
            <w:webHidden/>
          </w:rPr>
          <w:tab/>
        </w:r>
        <w:r w:rsidR="001B45C4" w:rsidRPr="00DA6E81">
          <w:rPr>
            <w:b w:val="0"/>
            <w:bCs w:val="0"/>
            <w:noProof/>
            <w:webHidden/>
          </w:rPr>
          <w:fldChar w:fldCharType="begin"/>
        </w:r>
        <w:r w:rsidR="001B45C4" w:rsidRPr="00DA6E81">
          <w:rPr>
            <w:b w:val="0"/>
            <w:bCs w:val="0"/>
            <w:noProof/>
            <w:webHidden/>
          </w:rPr>
          <w:instrText xml:space="preserve"> PAGEREF _Toc229242106 \h </w:instrText>
        </w:r>
        <w:r w:rsidR="001B45C4" w:rsidRPr="00DA6E81">
          <w:rPr>
            <w:b w:val="0"/>
            <w:bCs w:val="0"/>
            <w:noProof/>
            <w:webHidden/>
          </w:rPr>
        </w:r>
        <w:r w:rsidR="001B45C4" w:rsidRPr="00DA6E81">
          <w:rPr>
            <w:b w:val="0"/>
            <w:bCs w:val="0"/>
            <w:noProof/>
            <w:webHidden/>
          </w:rPr>
          <w:fldChar w:fldCharType="separate"/>
        </w:r>
        <w:r w:rsidR="001B45C4" w:rsidRPr="00DA6E81">
          <w:rPr>
            <w:b w:val="0"/>
            <w:bCs w:val="0"/>
            <w:noProof/>
            <w:webHidden/>
          </w:rPr>
          <w:t>4</w:t>
        </w:r>
        <w:r w:rsidR="001B45C4" w:rsidRPr="00DA6E81">
          <w:rPr>
            <w:b w:val="0"/>
            <w:bCs w:val="0"/>
            <w:noProof/>
            <w:webHidden/>
          </w:rPr>
          <w:fldChar w:fldCharType="end"/>
        </w:r>
      </w:hyperlink>
    </w:p>
    <w:p w14:paraId="392C1F87" w14:textId="1CA8E199"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07" w:history="1">
        <w:r w:rsidRPr="00DA6E81">
          <w:rPr>
            <w:rStyle w:val="ab"/>
            <w:b w:val="0"/>
            <w:bCs w:val="0"/>
            <w:noProof/>
          </w:rPr>
          <w:t>1.1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Background of Li-Ning LOONG STORE</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_Toc229242107 \h </w:instrText>
        </w:r>
        <w:r w:rsidRPr="00DA6E81">
          <w:rPr>
            <w:b w:val="0"/>
            <w:bCs w:val="0"/>
            <w:noProof/>
            <w:webHidden/>
          </w:rPr>
        </w:r>
        <w:r w:rsidRPr="00DA6E81">
          <w:rPr>
            <w:b w:val="0"/>
            <w:bCs w:val="0"/>
            <w:noProof/>
            <w:webHidden/>
          </w:rPr>
          <w:fldChar w:fldCharType="separate"/>
        </w:r>
        <w:r w:rsidRPr="00DA6E81">
          <w:rPr>
            <w:b w:val="0"/>
            <w:bCs w:val="0"/>
            <w:noProof/>
            <w:webHidden/>
          </w:rPr>
          <w:t>4</w:t>
        </w:r>
        <w:r w:rsidRPr="00DA6E81">
          <w:rPr>
            <w:b w:val="0"/>
            <w:bCs w:val="0"/>
            <w:noProof/>
            <w:webHidden/>
          </w:rPr>
          <w:fldChar w:fldCharType="end"/>
        </w:r>
      </w:hyperlink>
    </w:p>
    <w:p w14:paraId="6CC25016" w14:textId="52C0E766"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08" w:history="1">
        <w:r w:rsidRPr="00DA6E81">
          <w:rPr>
            <w:rStyle w:val="ab"/>
            <w:b w:val="0"/>
            <w:bCs w:val="0"/>
            <w:noProof/>
          </w:rPr>
          <w:t>1.2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Existing Data Assets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_Toc229242108 \h </w:instrText>
        </w:r>
        <w:r w:rsidRPr="00DA6E81">
          <w:rPr>
            <w:b w:val="0"/>
            <w:bCs w:val="0"/>
            <w:noProof/>
            <w:webHidden/>
          </w:rPr>
        </w:r>
        <w:r w:rsidRPr="00DA6E81">
          <w:rPr>
            <w:b w:val="0"/>
            <w:bCs w:val="0"/>
            <w:noProof/>
            <w:webHidden/>
          </w:rPr>
          <w:fldChar w:fldCharType="separate"/>
        </w:r>
        <w:r w:rsidRPr="00DA6E81">
          <w:rPr>
            <w:b w:val="0"/>
            <w:bCs w:val="0"/>
            <w:noProof/>
            <w:webHidden/>
          </w:rPr>
          <w:t>4</w:t>
        </w:r>
        <w:r w:rsidRPr="00DA6E81">
          <w:rPr>
            <w:b w:val="0"/>
            <w:bCs w:val="0"/>
            <w:noProof/>
            <w:webHidden/>
          </w:rPr>
          <w:fldChar w:fldCharType="end"/>
        </w:r>
      </w:hyperlink>
    </w:p>
    <w:p w14:paraId="75875838" w14:textId="607664B6"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09" w:history="1">
        <w:r w:rsidRPr="00DA6E81">
          <w:rPr>
            <w:rStyle w:val="ab"/>
            <w:b w:val="0"/>
            <w:bCs w:val="0"/>
            <w:noProof/>
          </w:rPr>
          <w:t>1.3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Project Objective and Overall Approach</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_Toc229242109 \h </w:instrText>
        </w:r>
        <w:r w:rsidRPr="00DA6E81">
          <w:rPr>
            <w:b w:val="0"/>
            <w:bCs w:val="0"/>
            <w:noProof/>
            <w:webHidden/>
          </w:rPr>
        </w:r>
        <w:r w:rsidRPr="00DA6E81">
          <w:rPr>
            <w:b w:val="0"/>
            <w:bCs w:val="0"/>
            <w:noProof/>
            <w:webHidden/>
          </w:rPr>
          <w:fldChar w:fldCharType="separate"/>
        </w:r>
        <w:r w:rsidRPr="00DA6E81">
          <w:rPr>
            <w:b w:val="0"/>
            <w:bCs w:val="0"/>
            <w:noProof/>
            <w:webHidden/>
          </w:rPr>
          <w:t>5</w:t>
        </w:r>
        <w:r w:rsidRPr="00DA6E81">
          <w:rPr>
            <w:b w:val="0"/>
            <w:bCs w:val="0"/>
            <w:noProof/>
            <w:webHidden/>
          </w:rPr>
          <w:fldChar w:fldCharType="end"/>
        </w:r>
      </w:hyperlink>
    </w:p>
    <w:p w14:paraId="645062D7" w14:textId="32857D5E" w:rsidR="001B45C4" w:rsidRPr="00DA6E81" w:rsidRDefault="001B45C4" w:rsidP="00923C4E">
      <w:pPr>
        <w:pStyle w:val="TOC1"/>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0" w:history="1">
        <w:r w:rsidRPr="00DA6E81">
          <w:rPr>
            <w:rStyle w:val="ab"/>
            <w:b w:val="0"/>
            <w:bCs w:val="0"/>
            <w:noProof/>
            <w:w w:val="101"/>
          </w:rPr>
          <w:t>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Descriptive Analysis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_Toc229242110 \h </w:instrText>
        </w:r>
        <w:r w:rsidRPr="00DA6E81">
          <w:rPr>
            <w:b w:val="0"/>
            <w:bCs w:val="0"/>
            <w:noProof/>
            <w:webHidden/>
          </w:rPr>
        </w:r>
        <w:r w:rsidRPr="00DA6E81">
          <w:rPr>
            <w:b w:val="0"/>
            <w:bCs w:val="0"/>
            <w:noProof/>
            <w:webHidden/>
          </w:rPr>
          <w:fldChar w:fldCharType="separate"/>
        </w:r>
        <w:r w:rsidRPr="00DA6E81">
          <w:rPr>
            <w:b w:val="0"/>
            <w:bCs w:val="0"/>
            <w:noProof/>
            <w:webHidden/>
          </w:rPr>
          <w:t>6</w:t>
        </w:r>
        <w:r w:rsidRPr="00DA6E81">
          <w:rPr>
            <w:b w:val="0"/>
            <w:bCs w:val="0"/>
            <w:noProof/>
            <w:webHidden/>
          </w:rPr>
          <w:fldChar w:fldCharType="end"/>
        </w:r>
      </w:hyperlink>
    </w:p>
    <w:p w14:paraId="7AECADBD" w14:textId="6FB5C642"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1" w:history="1">
        <w:r w:rsidRPr="00DA6E81">
          <w:rPr>
            <w:rStyle w:val="ab"/>
            <w:b w:val="0"/>
            <w:bCs w:val="0"/>
            <w:noProof/>
          </w:rPr>
          <w:t>2.1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Overall Sales Distribution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_Toc229242111 \h </w:instrText>
        </w:r>
        <w:r w:rsidRPr="00DA6E81">
          <w:rPr>
            <w:b w:val="0"/>
            <w:bCs w:val="0"/>
            <w:noProof/>
            <w:webHidden/>
          </w:rPr>
        </w:r>
        <w:r w:rsidRPr="00DA6E81">
          <w:rPr>
            <w:b w:val="0"/>
            <w:bCs w:val="0"/>
            <w:noProof/>
            <w:webHidden/>
          </w:rPr>
          <w:fldChar w:fldCharType="separate"/>
        </w:r>
        <w:r w:rsidRPr="00DA6E81">
          <w:rPr>
            <w:b w:val="0"/>
            <w:bCs w:val="0"/>
            <w:noProof/>
            <w:webHidden/>
          </w:rPr>
          <w:t>6</w:t>
        </w:r>
        <w:r w:rsidRPr="00DA6E81">
          <w:rPr>
            <w:b w:val="0"/>
            <w:bCs w:val="0"/>
            <w:noProof/>
            <w:webHidden/>
          </w:rPr>
          <w:fldChar w:fldCharType="end"/>
        </w:r>
      </w:hyperlink>
    </w:p>
    <w:p w14:paraId="64D2317B" w14:textId="7AB2E56C"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2" w:history="1">
        <w:r w:rsidRPr="00DA6E81">
          <w:rPr>
            <w:rStyle w:val="ab"/>
            <w:b w:val="0"/>
            <w:bCs w:val="0"/>
            <w:noProof/>
          </w:rPr>
          <w:t>2.2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Sales Trends and Periodicity</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_Toc229242112 \h </w:instrText>
        </w:r>
        <w:r w:rsidRPr="00DA6E81">
          <w:rPr>
            <w:b w:val="0"/>
            <w:bCs w:val="0"/>
            <w:noProof/>
            <w:webHidden/>
          </w:rPr>
        </w:r>
        <w:r w:rsidRPr="00DA6E81">
          <w:rPr>
            <w:b w:val="0"/>
            <w:bCs w:val="0"/>
            <w:noProof/>
            <w:webHidden/>
          </w:rPr>
          <w:fldChar w:fldCharType="separate"/>
        </w:r>
        <w:r w:rsidRPr="00DA6E81">
          <w:rPr>
            <w:b w:val="0"/>
            <w:bCs w:val="0"/>
            <w:noProof/>
            <w:webHidden/>
          </w:rPr>
          <w:t>7</w:t>
        </w:r>
        <w:r w:rsidRPr="00DA6E81">
          <w:rPr>
            <w:b w:val="0"/>
            <w:bCs w:val="0"/>
            <w:noProof/>
            <w:webHidden/>
          </w:rPr>
          <w:fldChar w:fldCharType="end"/>
        </w:r>
      </w:hyperlink>
    </w:p>
    <w:p w14:paraId="6EC12568" w14:textId="0F3E0EBE"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3" w:history="1">
        <w:r w:rsidRPr="00DA6E81">
          <w:rPr>
            <w:rStyle w:val="ab"/>
            <w:b w:val="0"/>
            <w:bCs w:val="0"/>
            <w:noProof/>
          </w:rPr>
          <w:t>2.3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Store-Level Key Revenue Drivers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_Toc229242113 \h </w:instrText>
        </w:r>
        <w:r w:rsidRPr="00DA6E81">
          <w:rPr>
            <w:b w:val="0"/>
            <w:bCs w:val="0"/>
            <w:noProof/>
            <w:webHidden/>
          </w:rPr>
        </w:r>
        <w:r w:rsidRPr="00DA6E81">
          <w:rPr>
            <w:b w:val="0"/>
            <w:bCs w:val="0"/>
            <w:noProof/>
            <w:webHidden/>
          </w:rPr>
          <w:fldChar w:fldCharType="separate"/>
        </w:r>
        <w:r w:rsidRPr="00DA6E81">
          <w:rPr>
            <w:b w:val="0"/>
            <w:bCs w:val="0"/>
            <w:noProof/>
            <w:webHidden/>
          </w:rPr>
          <w:t>7</w:t>
        </w:r>
        <w:r w:rsidRPr="00DA6E81">
          <w:rPr>
            <w:b w:val="0"/>
            <w:bCs w:val="0"/>
            <w:noProof/>
            <w:webHidden/>
          </w:rPr>
          <w:fldChar w:fldCharType="end"/>
        </w:r>
      </w:hyperlink>
    </w:p>
    <w:p w14:paraId="02C4EBF0" w14:textId="52FBF405"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4" w:history="1">
        <w:r w:rsidRPr="00DA6E81">
          <w:rPr>
            <w:rStyle w:val="ab"/>
            <w:b w:val="0"/>
            <w:bCs w:val="0"/>
            <w:noProof/>
          </w:rPr>
          <w:t>2.4</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Product Series Composition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_Toc229242114 \h </w:instrText>
        </w:r>
        <w:r w:rsidRPr="00DA6E81">
          <w:rPr>
            <w:b w:val="0"/>
            <w:bCs w:val="0"/>
            <w:noProof/>
            <w:webHidden/>
          </w:rPr>
        </w:r>
        <w:r w:rsidRPr="00DA6E81">
          <w:rPr>
            <w:b w:val="0"/>
            <w:bCs w:val="0"/>
            <w:noProof/>
            <w:webHidden/>
          </w:rPr>
          <w:fldChar w:fldCharType="separate"/>
        </w:r>
        <w:r w:rsidRPr="00DA6E81">
          <w:rPr>
            <w:b w:val="0"/>
            <w:bCs w:val="0"/>
            <w:noProof/>
            <w:webHidden/>
          </w:rPr>
          <w:t>8</w:t>
        </w:r>
        <w:r w:rsidRPr="00DA6E81">
          <w:rPr>
            <w:b w:val="0"/>
            <w:bCs w:val="0"/>
            <w:noProof/>
            <w:webHidden/>
          </w:rPr>
          <w:fldChar w:fldCharType="end"/>
        </w:r>
      </w:hyperlink>
    </w:p>
    <w:p w14:paraId="579C120E" w14:textId="2C7AF3EB"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5" w:history="1">
        <w:r w:rsidRPr="00DA6E81">
          <w:rPr>
            <w:rStyle w:val="ab"/>
            <w:b w:val="0"/>
            <w:bCs w:val="0"/>
            <w:noProof/>
          </w:rPr>
          <w:t>2.5</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Relationship Between Sales Performance and Consumer Demographics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_Toc229242115 \h </w:instrText>
        </w:r>
        <w:r w:rsidRPr="00DA6E81">
          <w:rPr>
            <w:b w:val="0"/>
            <w:bCs w:val="0"/>
            <w:noProof/>
            <w:webHidden/>
          </w:rPr>
        </w:r>
        <w:r w:rsidRPr="00DA6E81">
          <w:rPr>
            <w:b w:val="0"/>
            <w:bCs w:val="0"/>
            <w:noProof/>
            <w:webHidden/>
          </w:rPr>
          <w:fldChar w:fldCharType="separate"/>
        </w:r>
        <w:r w:rsidRPr="00DA6E81">
          <w:rPr>
            <w:b w:val="0"/>
            <w:bCs w:val="0"/>
            <w:noProof/>
            <w:webHidden/>
          </w:rPr>
          <w:t>9</w:t>
        </w:r>
        <w:r w:rsidRPr="00DA6E81">
          <w:rPr>
            <w:b w:val="0"/>
            <w:bCs w:val="0"/>
            <w:noProof/>
            <w:webHidden/>
          </w:rPr>
          <w:fldChar w:fldCharType="end"/>
        </w:r>
      </w:hyperlink>
    </w:p>
    <w:p w14:paraId="196D81F3" w14:textId="1A6E9EE8" w:rsidR="001B45C4" w:rsidRPr="00DA6E81" w:rsidRDefault="001B45C4" w:rsidP="00923C4E">
      <w:pPr>
        <w:pStyle w:val="TOC1"/>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6" w:history="1">
        <w:r w:rsidRPr="00DA6E81">
          <w:rPr>
            <w:rStyle w:val="ab"/>
            <w:b w:val="0"/>
            <w:bCs w:val="0"/>
            <w:noProof/>
            <w:w w:val="101"/>
          </w:rPr>
          <w:t>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Series Allocation Modelling Methodology</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_Toc229242116 \h </w:instrText>
        </w:r>
        <w:r w:rsidRPr="00DA6E81">
          <w:rPr>
            <w:b w:val="0"/>
            <w:bCs w:val="0"/>
            <w:noProof/>
            <w:webHidden/>
          </w:rPr>
        </w:r>
        <w:r w:rsidRPr="00DA6E81">
          <w:rPr>
            <w:b w:val="0"/>
            <w:bCs w:val="0"/>
            <w:noProof/>
            <w:webHidden/>
          </w:rPr>
          <w:fldChar w:fldCharType="separate"/>
        </w:r>
        <w:r w:rsidRPr="00DA6E81">
          <w:rPr>
            <w:b w:val="0"/>
            <w:bCs w:val="0"/>
            <w:noProof/>
            <w:webHidden/>
          </w:rPr>
          <w:t>13</w:t>
        </w:r>
        <w:r w:rsidRPr="00DA6E81">
          <w:rPr>
            <w:b w:val="0"/>
            <w:bCs w:val="0"/>
            <w:noProof/>
            <w:webHidden/>
          </w:rPr>
          <w:fldChar w:fldCharType="end"/>
        </w:r>
      </w:hyperlink>
    </w:p>
    <w:p w14:paraId="191F101C" w14:textId="57F3663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7" w:history="1">
        <w:r w:rsidRPr="00DA6E81">
          <w:rPr>
            <w:rStyle w:val="ab"/>
            <w:b w:val="0"/>
            <w:bCs w:val="0"/>
            <w:noProof/>
          </w:rPr>
          <w:t>3.1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Introduction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_Toc229242117 \h </w:instrText>
        </w:r>
        <w:r w:rsidRPr="00DA6E81">
          <w:rPr>
            <w:b w:val="0"/>
            <w:bCs w:val="0"/>
            <w:noProof/>
            <w:webHidden/>
          </w:rPr>
        </w:r>
        <w:r w:rsidRPr="00DA6E81">
          <w:rPr>
            <w:b w:val="0"/>
            <w:bCs w:val="0"/>
            <w:noProof/>
            <w:webHidden/>
          </w:rPr>
          <w:fldChar w:fldCharType="separate"/>
        </w:r>
        <w:r w:rsidRPr="00DA6E81">
          <w:rPr>
            <w:b w:val="0"/>
            <w:bCs w:val="0"/>
            <w:noProof/>
            <w:webHidden/>
          </w:rPr>
          <w:t>13</w:t>
        </w:r>
        <w:r w:rsidRPr="00DA6E81">
          <w:rPr>
            <w:b w:val="0"/>
            <w:bCs w:val="0"/>
            <w:noProof/>
            <w:webHidden/>
          </w:rPr>
          <w:fldChar w:fldCharType="end"/>
        </w:r>
      </w:hyperlink>
    </w:p>
    <w:p w14:paraId="57B9CAED" w14:textId="772B6D6B"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8" w:history="1">
        <w:r w:rsidRPr="00DA6E81">
          <w:rPr>
            <w:rStyle w:val="ab"/>
            <w:b w:val="0"/>
            <w:bCs w:val="0"/>
            <w:noProof/>
          </w:rPr>
          <w:t>3.2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Cluster Analysis Based on 15 Pop-Up Stores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_Toc229242118 \h </w:instrText>
        </w:r>
        <w:r w:rsidRPr="00DA6E81">
          <w:rPr>
            <w:b w:val="0"/>
            <w:bCs w:val="0"/>
            <w:noProof/>
            <w:webHidden/>
          </w:rPr>
        </w:r>
        <w:r w:rsidRPr="00DA6E81">
          <w:rPr>
            <w:b w:val="0"/>
            <w:bCs w:val="0"/>
            <w:noProof/>
            <w:webHidden/>
          </w:rPr>
          <w:fldChar w:fldCharType="separate"/>
        </w:r>
        <w:r w:rsidRPr="00DA6E81">
          <w:rPr>
            <w:b w:val="0"/>
            <w:bCs w:val="0"/>
            <w:noProof/>
            <w:webHidden/>
          </w:rPr>
          <w:t>13</w:t>
        </w:r>
        <w:r w:rsidRPr="00DA6E81">
          <w:rPr>
            <w:b w:val="0"/>
            <w:bCs w:val="0"/>
            <w:noProof/>
            <w:webHidden/>
          </w:rPr>
          <w:fldChar w:fldCharType="end"/>
        </w:r>
      </w:hyperlink>
    </w:p>
    <w:p w14:paraId="0DAACE40" w14:textId="37866472"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19" w:history="1">
        <w:r w:rsidRPr="00DA6E81">
          <w:rPr>
            <w:rStyle w:val="ab"/>
            <w:b w:val="0"/>
            <w:bCs w:val="0"/>
            <w:noProof/>
          </w:rPr>
          <w:t>3.3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Customer segments detail for each cluster:</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_Toc229242119 \h </w:instrText>
        </w:r>
        <w:r w:rsidRPr="00DA6E81">
          <w:rPr>
            <w:b w:val="0"/>
            <w:bCs w:val="0"/>
            <w:noProof/>
            <w:webHidden/>
          </w:rPr>
        </w:r>
        <w:r w:rsidRPr="00DA6E81">
          <w:rPr>
            <w:b w:val="0"/>
            <w:bCs w:val="0"/>
            <w:noProof/>
            <w:webHidden/>
          </w:rPr>
          <w:fldChar w:fldCharType="separate"/>
        </w:r>
        <w:r w:rsidRPr="00DA6E81">
          <w:rPr>
            <w:b w:val="0"/>
            <w:bCs w:val="0"/>
            <w:noProof/>
            <w:webHidden/>
          </w:rPr>
          <w:t>13</w:t>
        </w:r>
        <w:r w:rsidRPr="00DA6E81">
          <w:rPr>
            <w:b w:val="0"/>
            <w:bCs w:val="0"/>
            <w:noProof/>
            <w:webHidden/>
          </w:rPr>
          <w:fldChar w:fldCharType="end"/>
        </w:r>
      </w:hyperlink>
    </w:p>
    <w:p w14:paraId="6CB73328" w14:textId="52198E2C"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0" w:history="1">
        <w:r w:rsidRPr="00DA6E81">
          <w:rPr>
            <w:rStyle w:val="ab"/>
            <w:b w:val="0"/>
            <w:bCs w:val="0"/>
            <w:noProof/>
          </w:rPr>
          <w:t>3.4</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Data Preparation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_Toc229242120 \h </w:instrText>
        </w:r>
        <w:r w:rsidRPr="00DA6E81">
          <w:rPr>
            <w:b w:val="0"/>
            <w:bCs w:val="0"/>
            <w:noProof/>
            <w:webHidden/>
          </w:rPr>
        </w:r>
        <w:r w:rsidRPr="00DA6E81">
          <w:rPr>
            <w:b w:val="0"/>
            <w:bCs w:val="0"/>
            <w:noProof/>
            <w:webHidden/>
          </w:rPr>
          <w:fldChar w:fldCharType="separate"/>
        </w:r>
        <w:r w:rsidRPr="00DA6E81">
          <w:rPr>
            <w:b w:val="0"/>
            <w:bCs w:val="0"/>
            <w:noProof/>
            <w:webHidden/>
          </w:rPr>
          <w:t>14</w:t>
        </w:r>
        <w:r w:rsidRPr="00DA6E81">
          <w:rPr>
            <w:b w:val="0"/>
            <w:bCs w:val="0"/>
            <w:noProof/>
            <w:webHidden/>
          </w:rPr>
          <w:fldChar w:fldCharType="end"/>
        </w:r>
      </w:hyperlink>
    </w:p>
    <w:p w14:paraId="4B32716D" w14:textId="1D053781"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1" w:history="1">
        <w:r w:rsidRPr="00DA6E81">
          <w:rPr>
            <w:rStyle w:val="ab"/>
            <w:b w:val="0"/>
            <w:bCs w:val="0"/>
            <w:noProof/>
          </w:rPr>
          <w:t>3.5</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Train MNL Model</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_Toc229242121 \h </w:instrText>
        </w:r>
        <w:r w:rsidRPr="00DA6E81">
          <w:rPr>
            <w:b w:val="0"/>
            <w:bCs w:val="0"/>
            <w:noProof/>
            <w:webHidden/>
          </w:rPr>
        </w:r>
        <w:r w:rsidRPr="00DA6E81">
          <w:rPr>
            <w:b w:val="0"/>
            <w:bCs w:val="0"/>
            <w:noProof/>
            <w:webHidden/>
          </w:rPr>
          <w:fldChar w:fldCharType="separate"/>
        </w:r>
        <w:r w:rsidRPr="00DA6E81">
          <w:rPr>
            <w:b w:val="0"/>
            <w:bCs w:val="0"/>
            <w:noProof/>
            <w:webHidden/>
          </w:rPr>
          <w:t>14</w:t>
        </w:r>
        <w:r w:rsidRPr="00DA6E81">
          <w:rPr>
            <w:b w:val="0"/>
            <w:bCs w:val="0"/>
            <w:noProof/>
            <w:webHidden/>
          </w:rPr>
          <w:fldChar w:fldCharType="end"/>
        </w:r>
      </w:hyperlink>
    </w:p>
    <w:p w14:paraId="69365204" w14:textId="63F602E3"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2" w:history="1">
        <w:r w:rsidRPr="00DA6E81">
          <w:rPr>
            <w:rStyle w:val="ab"/>
            <w:b w:val="0"/>
            <w:bCs w:val="0"/>
            <w:noProof/>
          </w:rPr>
          <w:t>3.6</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Apply Model to All Commercial Complexes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_Toc229242122 \h </w:instrText>
        </w:r>
        <w:r w:rsidRPr="00DA6E81">
          <w:rPr>
            <w:b w:val="0"/>
            <w:bCs w:val="0"/>
            <w:noProof/>
            <w:webHidden/>
          </w:rPr>
        </w:r>
        <w:r w:rsidRPr="00DA6E81">
          <w:rPr>
            <w:b w:val="0"/>
            <w:bCs w:val="0"/>
            <w:noProof/>
            <w:webHidden/>
          </w:rPr>
          <w:fldChar w:fldCharType="separate"/>
        </w:r>
        <w:r w:rsidRPr="00DA6E81">
          <w:rPr>
            <w:b w:val="0"/>
            <w:bCs w:val="0"/>
            <w:noProof/>
            <w:webHidden/>
          </w:rPr>
          <w:t>15</w:t>
        </w:r>
        <w:r w:rsidRPr="00DA6E81">
          <w:rPr>
            <w:b w:val="0"/>
            <w:bCs w:val="0"/>
            <w:noProof/>
            <w:webHidden/>
          </w:rPr>
          <w:fldChar w:fldCharType="end"/>
        </w:r>
      </w:hyperlink>
    </w:p>
    <w:p w14:paraId="63F5411D" w14:textId="0AE56C4E"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3" w:history="1">
        <w:r w:rsidRPr="00DA6E81">
          <w:rPr>
            <w:rStyle w:val="ab"/>
            <w:b w:val="0"/>
            <w:bCs w:val="0"/>
            <w:noProof/>
          </w:rPr>
          <w:t>3.7</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Product Mix Recommendations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_Toc229242123 \h </w:instrText>
        </w:r>
        <w:r w:rsidRPr="00DA6E81">
          <w:rPr>
            <w:b w:val="0"/>
            <w:bCs w:val="0"/>
            <w:noProof/>
            <w:webHidden/>
          </w:rPr>
        </w:r>
        <w:r w:rsidRPr="00DA6E81">
          <w:rPr>
            <w:b w:val="0"/>
            <w:bCs w:val="0"/>
            <w:noProof/>
            <w:webHidden/>
          </w:rPr>
          <w:fldChar w:fldCharType="separate"/>
        </w:r>
        <w:r w:rsidRPr="00DA6E81">
          <w:rPr>
            <w:b w:val="0"/>
            <w:bCs w:val="0"/>
            <w:noProof/>
            <w:webHidden/>
          </w:rPr>
          <w:t>15</w:t>
        </w:r>
        <w:r w:rsidRPr="00DA6E81">
          <w:rPr>
            <w:b w:val="0"/>
            <w:bCs w:val="0"/>
            <w:noProof/>
            <w:webHidden/>
          </w:rPr>
          <w:fldChar w:fldCharType="end"/>
        </w:r>
      </w:hyperlink>
    </w:p>
    <w:p w14:paraId="52CFD152" w14:textId="124D5A9F"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4" w:history="1">
        <w:r w:rsidRPr="00DA6E81">
          <w:rPr>
            <w:rStyle w:val="ab"/>
            <w:b w:val="0"/>
            <w:bCs w:val="0"/>
            <w:noProof/>
          </w:rPr>
          <w:t>3.8</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Series Allocation Recommendations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_Toc229242124 \h </w:instrText>
        </w:r>
        <w:r w:rsidRPr="00DA6E81">
          <w:rPr>
            <w:b w:val="0"/>
            <w:bCs w:val="0"/>
            <w:noProof/>
            <w:webHidden/>
          </w:rPr>
        </w:r>
        <w:r w:rsidRPr="00DA6E81">
          <w:rPr>
            <w:b w:val="0"/>
            <w:bCs w:val="0"/>
            <w:noProof/>
            <w:webHidden/>
          </w:rPr>
          <w:fldChar w:fldCharType="separate"/>
        </w:r>
        <w:r w:rsidRPr="00DA6E81">
          <w:rPr>
            <w:b w:val="0"/>
            <w:bCs w:val="0"/>
            <w:noProof/>
            <w:webHidden/>
          </w:rPr>
          <w:t>15</w:t>
        </w:r>
        <w:r w:rsidRPr="00DA6E81">
          <w:rPr>
            <w:b w:val="0"/>
            <w:bCs w:val="0"/>
            <w:noProof/>
            <w:webHidden/>
          </w:rPr>
          <w:fldChar w:fldCharType="end"/>
        </w:r>
      </w:hyperlink>
    </w:p>
    <w:p w14:paraId="099E2430" w14:textId="0302F14D"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5" w:history="1">
        <w:r w:rsidRPr="00DA6E81">
          <w:rPr>
            <w:rStyle w:val="ab"/>
            <w:b w:val="0"/>
            <w:bCs w:val="0"/>
            <w:noProof/>
          </w:rPr>
          <w:t>3.9</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AI-Assisted Assortment Recommendation System: Implementation and Testing Report</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_Toc229242125 \h </w:instrText>
        </w:r>
        <w:r w:rsidRPr="00DA6E81">
          <w:rPr>
            <w:b w:val="0"/>
            <w:bCs w:val="0"/>
            <w:noProof/>
            <w:webHidden/>
          </w:rPr>
        </w:r>
        <w:r w:rsidRPr="00DA6E81">
          <w:rPr>
            <w:b w:val="0"/>
            <w:bCs w:val="0"/>
            <w:noProof/>
            <w:webHidden/>
          </w:rPr>
          <w:fldChar w:fldCharType="separate"/>
        </w:r>
        <w:r w:rsidRPr="00DA6E81">
          <w:rPr>
            <w:b w:val="0"/>
            <w:bCs w:val="0"/>
            <w:noProof/>
            <w:webHidden/>
          </w:rPr>
          <w:t>17</w:t>
        </w:r>
        <w:r w:rsidRPr="00DA6E81">
          <w:rPr>
            <w:b w:val="0"/>
            <w:bCs w:val="0"/>
            <w:noProof/>
            <w:webHidden/>
          </w:rPr>
          <w:fldChar w:fldCharType="end"/>
        </w:r>
      </w:hyperlink>
    </w:p>
    <w:p w14:paraId="12DF0069" w14:textId="664757A7" w:rsidR="001B45C4" w:rsidRPr="00DA6E81" w:rsidRDefault="001B45C4" w:rsidP="00923C4E">
      <w:pPr>
        <w:pStyle w:val="TOC1"/>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6" w:history="1">
        <w:r w:rsidRPr="00DA6E81">
          <w:rPr>
            <w:rStyle w:val="ab"/>
            <w:rFonts w:eastAsia="宋体"/>
            <w:b w:val="0"/>
            <w:bCs w:val="0"/>
            <w:noProof/>
            <w:w w:val="101"/>
          </w:rPr>
          <w:t>4.</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rFonts w:eastAsia="宋体"/>
            <w:b w:val="0"/>
            <w:bCs w:val="0"/>
            <w:noProof/>
            <w:lang w:eastAsia="zh-CN"/>
          </w:rPr>
          <w:t>Modeling</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_Toc229242126 \h </w:instrText>
        </w:r>
        <w:r w:rsidRPr="00DA6E81">
          <w:rPr>
            <w:b w:val="0"/>
            <w:bCs w:val="0"/>
            <w:noProof/>
            <w:webHidden/>
          </w:rPr>
        </w:r>
        <w:r w:rsidRPr="00DA6E81">
          <w:rPr>
            <w:b w:val="0"/>
            <w:bCs w:val="0"/>
            <w:noProof/>
            <w:webHidden/>
          </w:rPr>
          <w:fldChar w:fldCharType="separate"/>
        </w:r>
        <w:r w:rsidRPr="00DA6E81">
          <w:rPr>
            <w:b w:val="0"/>
            <w:bCs w:val="0"/>
            <w:noProof/>
            <w:webHidden/>
          </w:rPr>
          <w:t>25</w:t>
        </w:r>
        <w:r w:rsidRPr="00DA6E81">
          <w:rPr>
            <w:b w:val="0"/>
            <w:bCs w:val="0"/>
            <w:noProof/>
            <w:webHidden/>
          </w:rPr>
          <w:fldChar w:fldCharType="end"/>
        </w:r>
      </w:hyperlink>
    </w:p>
    <w:p w14:paraId="101F6DC0" w14:textId="7E1B2573"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7" w:history="1">
        <w:r w:rsidRPr="00DA6E81">
          <w:rPr>
            <w:rStyle w:val="ab"/>
            <w:b w:val="0"/>
            <w:bCs w:val="0"/>
            <w:noProof/>
          </w:rPr>
          <w:t>4.1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rPr>
          <w:t>Method Overview</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_Toc229242127 \h </w:instrText>
        </w:r>
        <w:r w:rsidRPr="00DA6E81">
          <w:rPr>
            <w:b w:val="0"/>
            <w:bCs w:val="0"/>
            <w:noProof/>
            <w:webHidden/>
          </w:rPr>
        </w:r>
        <w:r w:rsidRPr="00DA6E81">
          <w:rPr>
            <w:b w:val="0"/>
            <w:bCs w:val="0"/>
            <w:noProof/>
            <w:webHidden/>
          </w:rPr>
          <w:fldChar w:fldCharType="separate"/>
        </w:r>
        <w:r w:rsidRPr="00DA6E81">
          <w:rPr>
            <w:b w:val="0"/>
            <w:bCs w:val="0"/>
            <w:noProof/>
            <w:webHidden/>
          </w:rPr>
          <w:t>25</w:t>
        </w:r>
        <w:r w:rsidRPr="00DA6E81">
          <w:rPr>
            <w:b w:val="0"/>
            <w:bCs w:val="0"/>
            <w:noProof/>
            <w:webHidden/>
          </w:rPr>
          <w:fldChar w:fldCharType="end"/>
        </w:r>
      </w:hyperlink>
    </w:p>
    <w:p w14:paraId="20C21BAB" w14:textId="19351AA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8" w:history="1">
        <w:r w:rsidRPr="00DA6E81">
          <w:rPr>
            <w:rStyle w:val="ab"/>
            <w:b w:val="0"/>
            <w:bCs w:val="0"/>
            <w:noProof/>
          </w:rPr>
          <w:t>4.2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Product selection risk assessment tool: Store type identification and category classification range</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_Toc229242128 \h </w:instrText>
        </w:r>
        <w:r w:rsidRPr="00DA6E81">
          <w:rPr>
            <w:b w:val="0"/>
            <w:bCs w:val="0"/>
            <w:noProof/>
            <w:webHidden/>
          </w:rPr>
        </w:r>
        <w:r w:rsidRPr="00DA6E81">
          <w:rPr>
            <w:b w:val="0"/>
            <w:bCs w:val="0"/>
            <w:noProof/>
            <w:webHidden/>
          </w:rPr>
          <w:fldChar w:fldCharType="separate"/>
        </w:r>
        <w:r w:rsidRPr="00DA6E81">
          <w:rPr>
            <w:b w:val="0"/>
            <w:bCs w:val="0"/>
            <w:noProof/>
            <w:webHidden/>
          </w:rPr>
          <w:t>25</w:t>
        </w:r>
        <w:r w:rsidRPr="00DA6E81">
          <w:rPr>
            <w:b w:val="0"/>
            <w:bCs w:val="0"/>
            <w:noProof/>
            <w:webHidden/>
          </w:rPr>
          <w:fldChar w:fldCharType="end"/>
        </w:r>
      </w:hyperlink>
    </w:p>
    <w:p w14:paraId="51AC3C72" w14:textId="7E0B7F9E"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29" w:history="1">
        <w:r w:rsidRPr="00DA6E81">
          <w:rPr>
            <w:rStyle w:val="ab"/>
            <w:b w:val="0"/>
            <w:bCs w:val="0"/>
            <w:noProof/>
          </w:rPr>
          <w:t>4.3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Product selection risk grading tool: Product line grading mapping and feature association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_Toc229242129 \h </w:instrText>
        </w:r>
        <w:r w:rsidRPr="00DA6E81">
          <w:rPr>
            <w:b w:val="0"/>
            <w:bCs w:val="0"/>
            <w:noProof/>
            <w:webHidden/>
          </w:rPr>
        </w:r>
        <w:r w:rsidRPr="00DA6E81">
          <w:rPr>
            <w:b w:val="0"/>
            <w:bCs w:val="0"/>
            <w:noProof/>
            <w:webHidden/>
          </w:rPr>
          <w:fldChar w:fldCharType="separate"/>
        </w:r>
        <w:r w:rsidRPr="00DA6E81">
          <w:rPr>
            <w:b w:val="0"/>
            <w:bCs w:val="0"/>
            <w:noProof/>
            <w:webHidden/>
          </w:rPr>
          <w:t>34</w:t>
        </w:r>
        <w:r w:rsidRPr="00DA6E81">
          <w:rPr>
            <w:b w:val="0"/>
            <w:bCs w:val="0"/>
            <w:noProof/>
            <w:webHidden/>
          </w:rPr>
          <w:fldChar w:fldCharType="end"/>
        </w:r>
      </w:hyperlink>
    </w:p>
    <w:p w14:paraId="5797CCA3" w14:textId="1BEECCB7"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0" w:history="1">
        <w:r w:rsidRPr="00DA6E81">
          <w:rPr>
            <w:rStyle w:val="ab"/>
            <w:b w:val="0"/>
            <w:bCs w:val="0"/>
            <w:noProof/>
          </w:rPr>
          <w:t>4.4</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Execution Summary</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_Toc229242130 \h </w:instrText>
        </w:r>
        <w:r w:rsidRPr="00DA6E81">
          <w:rPr>
            <w:b w:val="0"/>
            <w:bCs w:val="0"/>
            <w:noProof/>
            <w:webHidden/>
          </w:rPr>
        </w:r>
        <w:r w:rsidRPr="00DA6E81">
          <w:rPr>
            <w:b w:val="0"/>
            <w:bCs w:val="0"/>
            <w:noProof/>
            <w:webHidden/>
          </w:rPr>
          <w:fldChar w:fldCharType="separate"/>
        </w:r>
        <w:r w:rsidRPr="00DA6E81">
          <w:rPr>
            <w:b w:val="0"/>
            <w:bCs w:val="0"/>
            <w:noProof/>
            <w:webHidden/>
          </w:rPr>
          <w:t>42</w:t>
        </w:r>
        <w:r w:rsidRPr="00DA6E81">
          <w:rPr>
            <w:b w:val="0"/>
            <w:bCs w:val="0"/>
            <w:noProof/>
            <w:webHidden/>
          </w:rPr>
          <w:fldChar w:fldCharType="end"/>
        </w:r>
      </w:hyperlink>
    </w:p>
    <w:p w14:paraId="75926047" w14:textId="5E25446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1" w:history="1">
        <w:r w:rsidRPr="00DA6E81">
          <w:rPr>
            <w:rStyle w:val="ab"/>
            <w:b w:val="0"/>
            <w:bCs w:val="0"/>
            <w:noProof/>
          </w:rPr>
          <w:t>4.5</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Methodological Framework</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_Toc229242131 \h </w:instrText>
        </w:r>
        <w:r w:rsidRPr="00DA6E81">
          <w:rPr>
            <w:b w:val="0"/>
            <w:bCs w:val="0"/>
            <w:noProof/>
            <w:webHidden/>
          </w:rPr>
        </w:r>
        <w:r w:rsidRPr="00DA6E81">
          <w:rPr>
            <w:b w:val="0"/>
            <w:bCs w:val="0"/>
            <w:noProof/>
            <w:webHidden/>
          </w:rPr>
          <w:fldChar w:fldCharType="separate"/>
        </w:r>
        <w:r w:rsidRPr="00DA6E81">
          <w:rPr>
            <w:b w:val="0"/>
            <w:bCs w:val="0"/>
            <w:noProof/>
            <w:webHidden/>
          </w:rPr>
          <w:t>43</w:t>
        </w:r>
        <w:r w:rsidRPr="00DA6E81">
          <w:rPr>
            <w:b w:val="0"/>
            <w:bCs w:val="0"/>
            <w:noProof/>
            <w:webHidden/>
          </w:rPr>
          <w:fldChar w:fldCharType="end"/>
        </w:r>
      </w:hyperlink>
    </w:p>
    <w:p w14:paraId="0B84868C" w14:textId="574F7D99"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2" w:history="1">
        <w:r w:rsidRPr="00DA6E81">
          <w:rPr>
            <w:rStyle w:val="ab"/>
            <w:b w:val="0"/>
            <w:bCs w:val="0"/>
            <w:noProof/>
          </w:rPr>
          <w:t>4.6</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Scoring Card Design: D. Method for Generating the Total Score</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_Toc229242132 \h </w:instrText>
        </w:r>
        <w:r w:rsidRPr="00DA6E81">
          <w:rPr>
            <w:b w:val="0"/>
            <w:bCs w:val="0"/>
            <w:noProof/>
            <w:webHidden/>
          </w:rPr>
        </w:r>
        <w:r w:rsidRPr="00DA6E81">
          <w:rPr>
            <w:b w:val="0"/>
            <w:bCs w:val="0"/>
            <w:noProof/>
            <w:webHidden/>
          </w:rPr>
          <w:fldChar w:fldCharType="separate"/>
        </w:r>
        <w:r w:rsidRPr="00DA6E81">
          <w:rPr>
            <w:b w:val="0"/>
            <w:bCs w:val="0"/>
            <w:noProof/>
            <w:webHidden/>
          </w:rPr>
          <w:t>44</w:t>
        </w:r>
        <w:r w:rsidRPr="00DA6E81">
          <w:rPr>
            <w:b w:val="0"/>
            <w:bCs w:val="0"/>
            <w:noProof/>
            <w:webHidden/>
          </w:rPr>
          <w:fldChar w:fldCharType="end"/>
        </w:r>
      </w:hyperlink>
    </w:p>
    <w:p w14:paraId="762A5AFC" w14:textId="461653E1"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3" w:history="1">
        <w:r w:rsidRPr="00DA6E81">
          <w:rPr>
            <w:rStyle w:val="ab"/>
            <w:b w:val="0"/>
            <w:bCs w:val="0"/>
            <w:noProof/>
          </w:rPr>
          <w:t>4.7</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Cross-Week Stability of Store Classification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_Toc229242133 \h </w:instrText>
        </w:r>
        <w:r w:rsidRPr="00DA6E81">
          <w:rPr>
            <w:b w:val="0"/>
            <w:bCs w:val="0"/>
            <w:noProof/>
            <w:webHidden/>
          </w:rPr>
        </w:r>
        <w:r w:rsidRPr="00DA6E81">
          <w:rPr>
            <w:b w:val="0"/>
            <w:bCs w:val="0"/>
            <w:noProof/>
            <w:webHidden/>
          </w:rPr>
          <w:fldChar w:fldCharType="separate"/>
        </w:r>
        <w:r w:rsidRPr="00DA6E81">
          <w:rPr>
            <w:b w:val="0"/>
            <w:bCs w:val="0"/>
            <w:noProof/>
            <w:webHidden/>
          </w:rPr>
          <w:t>52</w:t>
        </w:r>
        <w:r w:rsidRPr="00DA6E81">
          <w:rPr>
            <w:b w:val="0"/>
            <w:bCs w:val="0"/>
            <w:noProof/>
            <w:webHidden/>
          </w:rPr>
          <w:fldChar w:fldCharType="end"/>
        </w:r>
      </w:hyperlink>
    </w:p>
    <w:p w14:paraId="51F1633E" w14:textId="5705590B"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4" w:history="1">
        <w:r w:rsidRPr="00DA6E81">
          <w:rPr>
            <w:rStyle w:val="ab"/>
            <w:b w:val="0"/>
            <w:bCs w:val="0"/>
            <w:noProof/>
          </w:rPr>
          <w:t>4.8</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Recommended range for double-layer ratio</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_Toc229242134 \h </w:instrText>
        </w:r>
        <w:r w:rsidRPr="00DA6E81">
          <w:rPr>
            <w:b w:val="0"/>
            <w:bCs w:val="0"/>
            <w:noProof/>
            <w:webHidden/>
          </w:rPr>
        </w:r>
        <w:r w:rsidRPr="00DA6E81">
          <w:rPr>
            <w:b w:val="0"/>
            <w:bCs w:val="0"/>
            <w:noProof/>
            <w:webHidden/>
          </w:rPr>
          <w:fldChar w:fldCharType="separate"/>
        </w:r>
        <w:r w:rsidRPr="00DA6E81">
          <w:rPr>
            <w:b w:val="0"/>
            <w:bCs w:val="0"/>
            <w:noProof/>
            <w:webHidden/>
          </w:rPr>
          <w:t>55</w:t>
        </w:r>
        <w:r w:rsidRPr="00DA6E81">
          <w:rPr>
            <w:b w:val="0"/>
            <w:bCs w:val="0"/>
            <w:noProof/>
            <w:webHidden/>
          </w:rPr>
          <w:fldChar w:fldCharType="end"/>
        </w:r>
      </w:hyperlink>
    </w:p>
    <w:p w14:paraId="3479185E" w14:textId="477A1624"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5" w:history="1">
        <w:r w:rsidRPr="00DA6E81">
          <w:rPr>
            <w:rStyle w:val="ab"/>
            <w:b w:val="0"/>
            <w:bCs w:val="0"/>
            <w:noProof/>
          </w:rPr>
          <w:t>4.9</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K-NN Similar Store Search Method (Core Method)</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_Toc229242135 \h </w:instrText>
        </w:r>
        <w:r w:rsidRPr="00DA6E81">
          <w:rPr>
            <w:b w:val="0"/>
            <w:bCs w:val="0"/>
            <w:noProof/>
            <w:webHidden/>
          </w:rPr>
        </w:r>
        <w:r w:rsidRPr="00DA6E81">
          <w:rPr>
            <w:b w:val="0"/>
            <w:bCs w:val="0"/>
            <w:noProof/>
            <w:webHidden/>
          </w:rPr>
          <w:fldChar w:fldCharType="separate"/>
        </w:r>
        <w:r w:rsidRPr="00DA6E81">
          <w:rPr>
            <w:b w:val="0"/>
            <w:bCs w:val="0"/>
            <w:noProof/>
            <w:webHidden/>
          </w:rPr>
          <w:t>57</w:t>
        </w:r>
        <w:r w:rsidRPr="00DA6E81">
          <w:rPr>
            <w:b w:val="0"/>
            <w:bCs w:val="0"/>
            <w:noProof/>
            <w:webHidden/>
          </w:rPr>
          <w:fldChar w:fldCharType="end"/>
        </w:r>
      </w:hyperlink>
    </w:p>
    <w:p w14:paraId="24A895A2" w14:textId="51770809"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6" w:history="1">
        <w:r w:rsidRPr="00DA6E81">
          <w:rPr>
            <w:rStyle w:val="ab"/>
            <w:b w:val="0"/>
            <w:bCs w:val="0"/>
            <w:noProof/>
          </w:rPr>
          <w:t>4.10</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LOO Accuracy Verification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_Toc229242136 \h </w:instrText>
        </w:r>
        <w:r w:rsidRPr="00DA6E81">
          <w:rPr>
            <w:b w:val="0"/>
            <w:bCs w:val="0"/>
            <w:noProof/>
            <w:webHidden/>
          </w:rPr>
        </w:r>
        <w:r w:rsidRPr="00DA6E81">
          <w:rPr>
            <w:b w:val="0"/>
            <w:bCs w:val="0"/>
            <w:noProof/>
            <w:webHidden/>
          </w:rPr>
          <w:fldChar w:fldCharType="separate"/>
        </w:r>
        <w:r w:rsidRPr="00DA6E81">
          <w:rPr>
            <w:b w:val="0"/>
            <w:bCs w:val="0"/>
            <w:noProof/>
            <w:webHidden/>
          </w:rPr>
          <w:t>59</w:t>
        </w:r>
        <w:r w:rsidRPr="00DA6E81">
          <w:rPr>
            <w:b w:val="0"/>
            <w:bCs w:val="0"/>
            <w:noProof/>
            <w:webHidden/>
          </w:rPr>
          <w:fldChar w:fldCharType="end"/>
        </w:r>
      </w:hyperlink>
    </w:p>
    <w:p w14:paraId="72812644" w14:textId="5C95B6E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7" w:history="1">
        <w:r w:rsidRPr="00DA6E81">
          <w:rPr>
            <w:rStyle w:val="ab"/>
            <w:b w:val="0"/>
            <w:bCs w:val="0"/>
            <w:noProof/>
          </w:rPr>
          <w:t>4.11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Validation of the Importance of Random Forest Features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_Toc229242137 \h </w:instrText>
        </w:r>
        <w:r w:rsidRPr="00DA6E81">
          <w:rPr>
            <w:b w:val="0"/>
            <w:bCs w:val="0"/>
            <w:noProof/>
            <w:webHidden/>
          </w:rPr>
        </w:r>
        <w:r w:rsidRPr="00DA6E81">
          <w:rPr>
            <w:b w:val="0"/>
            <w:bCs w:val="0"/>
            <w:noProof/>
            <w:webHidden/>
          </w:rPr>
          <w:fldChar w:fldCharType="separate"/>
        </w:r>
        <w:r w:rsidRPr="00DA6E81">
          <w:rPr>
            <w:b w:val="0"/>
            <w:bCs w:val="0"/>
            <w:noProof/>
            <w:webHidden/>
          </w:rPr>
          <w:t>60</w:t>
        </w:r>
        <w:r w:rsidRPr="00DA6E81">
          <w:rPr>
            <w:b w:val="0"/>
            <w:bCs w:val="0"/>
            <w:noProof/>
            <w:webHidden/>
          </w:rPr>
          <w:fldChar w:fldCharType="end"/>
        </w:r>
      </w:hyperlink>
    </w:p>
    <w:p w14:paraId="5FA5E44E" w14:textId="143F4EF3"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8" w:history="1">
        <w:r w:rsidRPr="00DA6E81">
          <w:rPr>
            <w:rStyle w:val="ab"/>
            <w:b w:val="0"/>
            <w:bCs w:val="0"/>
            <w:noProof/>
          </w:rPr>
          <w:t>4.12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GBM Parts Percentage Prediction</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_Toc229242138 \h </w:instrText>
        </w:r>
        <w:r w:rsidRPr="00DA6E81">
          <w:rPr>
            <w:b w:val="0"/>
            <w:bCs w:val="0"/>
            <w:noProof/>
            <w:webHidden/>
          </w:rPr>
        </w:r>
        <w:r w:rsidRPr="00DA6E81">
          <w:rPr>
            <w:b w:val="0"/>
            <w:bCs w:val="0"/>
            <w:noProof/>
            <w:webHidden/>
          </w:rPr>
          <w:fldChar w:fldCharType="separate"/>
        </w:r>
        <w:r w:rsidRPr="00DA6E81">
          <w:rPr>
            <w:b w:val="0"/>
            <w:bCs w:val="0"/>
            <w:noProof/>
            <w:webHidden/>
          </w:rPr>
          <w:t>61</w:t>
        </w:r>
        <w:r w:rsidRPr="00DA6E81">
          <w:rPr>
            <w:b w:val="0"/>
            <w:bCs w:val="0"/>
            <w:noProof/>
            <w:webHidden/>
          </w:rPr>
          <w:fldChar w:fldCharType="end"/>
        </w:r>
      </w:hyperlink>
    </w:p>
    <w:p w14:paraId="7A3469DC" w14:textId="197A11B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39" w:history="1">
        <w:r w:rsidRPr="00DA6E81">
          <w:rPr>
            <w:rStyle w:val="ab"/>
            <w:b w:val="0"/>
            <w:bCs w:val="0"/>
            <w:noProof/>
          </w:rPr>
          <w:t>4.13</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Decision Matrix (6 Combinations of Shopping Mall Signals)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_Toc229242139 \h </w:instrText>
        </w:r>
        <w:r w:rsidRPr="00DA6E81">
          <w:rPr>
            <w:b w:val="0"/>
            <w:bCs w:val="0"/>
            <w:noProof/>
            <w:webHidden/>
          </w:rPr>
        </w:r>
        <w:r w:rsidRPr="00DA6E81">
          <w:rPr>
            <w:b w:val="0"/>
            <w:bCs w:val="0"/>
            <w:noProof/>
            <w:webHidden/>
          </w:rPr>
          <w:fldChar w:fldCharType="separate"/>
        </w:r>
        <w:r w:rsidRPr="00DA6E81">
          <w:rPr>
            <w:b w:val="0"/>
            <w:bCs w:val="0"/>
            <w:noProof/>
            <w:webHidden/>
          </w:rPr>
          <w:t>63</w:t>
        </w:r>
        <w:r w:rsidRPr="00DA6E81">
          <w:rPr>
            <w:b w:val="0"/>
            <w:bCs w:val="0"/>
            <w:noProof/>
            <w:webHidden/>
          </w:rPr>
          <w:fldChar w:fldCharType="end"/>
        </w:r>
      </w:hyperlink>
    </w:p>
    <w:p w14:paraId="47CE21D8" w14:textId="45B5F218"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40" w:history="1">
        <w:r w:rsidRPr="00DA6E81">
          <w:rPr>
            <w:rStyle w:val="ab"/>
            <w:b w:val="0"/>
            <w:bCs w:val="0"/>
            <w:noProof/>
          </w:rPr>
          <w:t>4.14</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Limitations</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_Toc229242140 \h </w:instrText>
        </w:r>
        <w:r w:rsidRPr="00DA6E81">
          <w:rPr>
            <w:b w:val="0"/>
            <w:bCs w:val="0"/>
            <w:noProof/>
            <w:webHidden/>
          </w:rPr>
        </w:r>
        <w:r w:rsidRPr="00DA6E81">
          <w:rPr>
            <w:b w:val="0"/>
            <w:bCs w:val="0"/>
            <w:noProof/>
            <w:webHidden/>
          </w:rPr>
          <w:fldChar w:fldCharType="separate"/>
        </w:r>
        <w:r w:rsidRPr="00DA6E81">
          <w:rPr>
            <w:b w:val="0"/>
            <w:bCs w:val="0"/>
            <w:noProof/>
            <w:webHidden/>
          </w:rPr>
          <w:t>64</w:t>
        </w:r>
        <w:r w:rsidRPr="00DA6E81">
          <w:rPr>
            <w:b w:val="0"/>
            <w:bCs w:val="0"/>
            <w:noProof/>
            <w:webHidden/>
          </w:rPr>
          <w:fldChar w:fldCharType="end"/>
        </w:r>
      </w:hyperlink>
    </w:p>
    <w:p w14:paraId="49F53E4D" w14:textId="7D78B808" w:rsidR="001B45C4" w:rsidRPr="00DA6E81" w:rsidRDefault="001B45C4" w:rsidP="00923C4E">
      <w:pPr>
        <w:pStyle w:val="TOC1"/>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41" w:history="1">
        <w:r w:rsidRPr="00DA6E81">
          <w:rPr>
            <w:rStyle w:val="ab"/>
            <w:rFonts w:eastAsia="宋体"/>
            <w:b w:val="0"/>
            <w:bCs w:val="0"/>
            <w:noProof/>
            <w:w w:val="101"/>
          </w:rPr>
          <w:t>5.</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rFonts w:eastAsia="宋体"/>
            <w:b w:val="0"/>
            <w:bCs w:val="0"/>
            <w:noProof/>
            <w:lang w:eastAsia="zh-CN"/>
          </w:rPr>
          <w:t>Conclusion and Future</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_Toc229242141 \h </w:instrText>
        </w:r>
        <w:r w:rsidRPr="00DA6E81">
          <w:rPr>
            <w:b w:val="0"/>
            <w:bCs w:val="0"/>
            <w:noProof/>
            <w:webHidden/>
          </w:rPr>
        </w:r>
        <w:r w:rsidRPr="00DA6E81">
          <w:rPr>
            <w:b w:val="0"/>
            <w:bCs w:val="0"/>
            <w:noProof/>
            <w:webHidden/>
          </w:rPr>
          <w:fldChar w:fldCharType="separate"/>
        </w:r>
        <w:r w:rsidRPr="00DA6E81">
          <w:rPr>
            <w:b w:val="0"/>
            <w:bCs w:val="0"/>
            <w:noProof/>
            <w:webHidden/>
          </w:rPr>
          <w:t>66</w:t>
        </w:r>
        <w:r w:rsidRPr="00DA6E81">
          <w:rPr>
            <w:b w:val="0"/>
            <w:bCs w:val="0"/>
            <w:noProof/>
            <w:webHidden/>
          </w:rPr>
          <w:fldChar w:fldCharType="end"/>
        </w:r>
      </w:hyperlink>
    </w:p>
    <w:p w14:paraId="6063D9DA" w14:textId="782C6EBE" w:rsidR="001B45C4" w:rsidRPr="00DA6E81"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42" w:history="1">
        <w:r w:rsidRPr="00DA6E81">
          <w:rPr>
            <w:rStyle w:val="ab"/>
            <w:b w:val="0"/>
            <w:bCs w:val="0"/>
            <w:noProof/>
          </w:rPr>
          <w:t>5.1</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Core Project Summary</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_Toc229242142 \h </w:instrText>
        </w:r>
        <w:r w:rsidRPr="00DA6E81">
          <w:rPr>
            <w:b w:val="0"/>
            <w:bCs w:val="0"/>
            <w:noProof/>
            <w:webHidden/>
          </w:rPr>
        </w:r>
        <w:r w:rsidRPr="00DA6E81">
          <w:rPr>
            <w:b w:val="0"/>
            <w:bCs w:val="0"/>
            <w:noProof/>
            <w:webHidden/>
          </w:rPr>
          <w:fldChar w:fldCharType="separate"/>
        </w:r>
        <w:r w:rsidRPr="00DA6E81">
          <w:rPr>
            <w:b w:val="0"/>
            <w:bCs w:val="0"/>
            <w:noProof/>
            <w:webHidden/>
          </w:rPr>
          <w:t>66</w:t>
        </w:r>
        <w:r w:rsidRPr="00DA6E81">
          <w:rPr>
            <w:b w:val="0"/>
            <w:bCs w:val="0"/>
            <w:noProof/>
            <w:webHidden/>
          </w:rPr>
          <w:fldChar w:fldCharType="end"/>
        </w:r>
      </w:hyperlink>
    </w:p>
    <w:p w14:paraId="71A95DC7" w14:textId="6E789BBD" w:rsidR="001B45C4" w:rsidRDefault="001B45C4" w:rsidP="00923C4E">
      <w:pPr>
        <w:pStyle w:val="TOC2"/>
        <w:tabs>
          <w:tab w:val="left" w:pos="1220"/>
          <w:tab w:val="right" w:leader="dot" w:pos="10341"/>
        </w:tabs>
        <w:ind w:left="0" w:rightChars="100" w:right="220"/>
        <w:rPr>
          <w:rFonts w:asciiTheme="minorHAnsi" w:eastAsiaTheme="minorEastAsia" w:hAnsiTheme="minorHAnsi" w:cstheme="minorBidi"/>
          <w:b w:val="0"/>
          <w:bCs w:val="0"/>
          <w:noProof/>
          <w:kern w:val="2"/>
          <w:sz w:val="22"/>
          <w:lang w:eastAsia="zh-CN"/>
          <w14:ligatures w14:val="standardContextual"/>
        </w:rPr>
      </w:pPr>
      <w:hyperlink w:anchor="_Toc229242143" w:history="1">
        <w:r w:rsidRPr="00DA6E81">
          <w:rPr>
            <w:rStyle w:val="ab"/>
            <w:b w:val="0"/>
            <w:bCs w:val="0"/>
            <w:noProof/>
          </w:rPr>
          <w:t>5.2</w:t>
        </w:r>
        <w:r w:rsidRPr="00DA6E81">
          <w:rPr>
            <w:rFonts w:asciiTheme="minorHAnsi" w:eastAsiaTheme="minorEastAsia" w:hAnsiTheme="minorHAnsi" w:cstheme="minorBidi"/>
            <w:b w:val="0"/>
            <w:bCs w:val="0"/>
            <w:noProof/>
            <w:kern w:val="2"/>
            <w:sz w:val="22"/>
            <w:lang w:eastAsia="zh-CN"/>
            <w14:ligatures w14:val="standardContextual"/>
          </w:rPr>
          <w:tab/>
        </w:r>
        <w:r w:rsidRPr="00DA6E81">
          <w:rPr>
            <w:rStyle w:val="ab"/>
            <w:b w:val="0"/>
            <w:bCs w:val="0"/>
            <w:noProof/>
            <w:lang w:eastAsia="zh-CN"/>
          </w:rPr>
          <w:t>Future Outlook</w:t>
        </w:r>
        <w:r w:rsidRPr="00DA6E81">
          <w:rPr>
            <w:b w:val="0"/>
            <w:bCs w:val="0"/>
            <w:noProof/>
            <w:webHidden/>
          </w:rPr>
          <w:tab/>
        </w:r>
        <w:r w:rsidRPr="00DA6E81">
          <w:rPr>
            <w:b w:val="0"/>
            <w:bCs w:val="0"/>
            <w:noProof/>
            <w:webHidden/>
          </w:rPr>
          <w:fldChar w:fldCharType="begin"/>
        </w:r>
        <w:r w:rsidRPr="00DA6E81">
          <w:rPr>
            <w:b w:val="0"/>
            <w:bCs w:val="0"/>
            <w:noProof/>
            <w:webHidden/>
          </w:rPr>
          <w:instrText xml:space="preserve"> PAGEREF _Toc229242143 \h </w:instrText>
        </w:r>
        <w:r w:rsidRPr="00DA6E81">
          <w:rPr>
            <w:b w:val="0"/>
            <w:bCs w:val="0"/>
            <w:noProof/>
            <w:webHidden/>
          </w:rPr>
        </w:r>
        <w:r w:rsidRPr="00DA6E81">
          <w:rPr>
            <w:b w:val="0"/>
            <w:bCs w:val="0"/>
            <w:noProof/>
            <w:webHidden/>
          </w:rPr>
          <w:fldChar w:fldCharType="separate"/>
        </w:r>
        <w:r w:rsidRPr="00DA6E81">
          <w:rPr>
            <w:b w:val="0"/>
            <w:bCs w:val="0"/>
            <w:noProof/>
            <w:webHidden/>
          </w:rPr>
          <w:t>67</w:t>
        </w:r>
        <w:r w:rsidRPr="00DA6E81">
          <w:rPr>
            <w:b w:val="0"/>
            <w:bCs w:val="0"/>
            <w:noProof/>
            <w:webHidden/>
          </w:rPr>
          <w:fldChar w:fldCharType="end"/>
        </w:r>
      </w:hyperlink>
    </w:p>
    <w:p w14:paraId="1FBB11F2" w14:textId="097F967B" w:rsidR="002C24CD" w:rsidRPr="002C24CD" w:rsidRDefault="002C24CD" w:rsidP="00923C4E">
      <w:pPr>
        <w:ind w:rightChars="100" w:right="220"/>
        <w:rPr>
          <w:rFonts w:eastAsiaTheme="minorEastAsia"/>
          <w:lang w:eastAsia="zh-CN"/>
        </w:rPr>
        <w:sectPr w:rsidR="002C24CD" w:rsidRPr="002C24CD" w:rsidSect="001B45C4">
          <w:headerReference w:type="even" r:id="rId10"/>
          <w:headerReference w:type="default" r:id="rId11"/>
          <w:pgSz w:w="11910" w:h="16840"/>
          <w:pgMar w:top="1440" w:right="1080" w:bottom="1440" w:left="1080" w:header="1501" w:footer="0" w:gutter="0"/>
          <w:cols w:space="720"/>
        </w:sectPr>
      </w:pPr>
      <w:r>
        <w:rPr>
          <w:rFonts w:eastAsiaTheme="minorEastAsia"/>
          <w:lang w:eastAsia="zh-CN"/>
        </w:rPr>
        <w:fldChar w:fldCharType="end"/>
      </w:r>
    </w:p>
    <w:p w14:paraId="6F178E49" w14:textId="2B329BA3" w:rsidR="00A42DAB" w:rsidRDefault="00AE2BE5" w:rsidP="00923C4E">
      <w:pPr>
        <w:pStyle w:val="1"/>
      </w:pPr>
      <w:bookmarkStart w:id="0" w:name="List_of_Tables"/>
      <w:bookmarkStart w:id="1" w:name="Introduction"/>
      <w:bookmarkStart w:id="2" w:name="_Toc229242106"/>
      <w:bookmarkEnd w:id="0"/>
      <w:bookmarkEnd w:id="1"/>
      <w:r w:rsidRPr="00AE2BE5">
        <w:lastRenderedPageBreak/>
        <w:t>Background and Objective</w:t>
      </w:r>
      <w:bookmarkEnd w:id="2"/>
    </w:p>
    <w:p w14:paraId="0E76487A" w14:textId="3F2E2E25" w:rsidR="00A42DAB" w:rsidRDefault="00AE2BE5" w:rsidP="00923C4E">
      <w:pPr>
        <w:pStyle w:val="2"/>
        <w:ind w:right="0"/>
      </w:pPr>
      <w:bookmarkStart w:id="3" w:name="General_Information"/>
      <w:bookmarkStart w:id="4" w:name="_Toc229242107"/>
      <w:bookmarkEnd w:id="3"/>
      <w:r w:rsidRPr="00AE2BE5">
        <w:t>Background of Li-Ning LOONG STORE</w:t>
      </w:r>
      <w:bookmarkEnd w:id="4"/>
    </w:p>
    <w:p w14:paraId="2C6766F6" w14:textId="77777777" w:rsidR="00AE2BE5" w:rsidRDefault="00AE2BE5" w:rsidP="00923C4E">
      <w:pPr>
        <w:pStyle w:val="a0"/>
        <w:spacing w:before="308" w:line="312" w:lineRule="auto"/>
        <w:ind w:left="311"/>
        <w:jc w:val="both"/>
      </w:pPr>
      <w:r>
        <w:t>LI-NING LOONG STORE represents one of the brand’s most important retail formats in high-potential commercial locations. In addition to serving as a point of sale, it also functions as a key vehicle for brand expression, new product presentation, and consumer engagement. Compared with conventional retail outlets, the LOONG STORE and pop-up formats place greater emphasis on thematic merchandising, series presentation, and the alignment between product structure and target consumer profile.</w:t>
      </w:r>
    </w:p>
    <w:p w14:paraId="6AC72631" w14:textId="298C4248" w:rsidR="00A42DAB" w:rsidRDefault="00AE2BE5" w:rsidP="00923C4E">
      <w:pPr>
        <w:pStyle w:val="a0"/>
        <w:spacing w:before="308" w:line="312" w:lineRule="auto"/>
        <w:ind w:left="311"/>
        <w:jc w:val="both"/>
      </w:pPr>
      <w:r>
        <w:t>As LI-NING continues to expand across cities and commercial complexes of different types, the key business question is no longer simply whether a new store can generate sales, but rather how to configure an appropriate merchandise structure for a given location and consumer environment. This issue is particularly important for pop-up stores, which typically operate within a shorter time horizon and therefore rely more heavily on an effective initial product mix. Under such circumstances, once the location and host commercial complex have already been determined, improving the quality of pre-opening merchandising decisions becomes critical to enhancing early-stage store performance.</w:t>
      </w:r>
    </w:p>
    <w:p w14:paraId="2B9E80B3" w14:textId="39ED219D" w:rsidR="00A42DAB" w:rsidRDefault="00AE2BE5" w:rsidP="00923C4E">
      <w:pPr>
        <w:pStyle w:val="2"/>
        <w:ind w:right="0"/>
      </w:pPr>
      <w:bookmarkStart w:id="5" w:name="General_Requirements_of_Graduate_School"/>
      <w:bookmarkStart w:id="6" w:name="_Toc229242108"/>
      <w:bookmarkEnd w:id="5"/>
      <w:r w:rsidRPr="00AE2BE5">
        <w:t>Existing Data Assets</w:t>
      </w:r>
      <w:bookmarkEnd w:id="6"/>
    </w:p>
    <w:p w14:paraId="29B74566" w14:textId="77777777" w:rsidR="00AE2BE5" w:rsidRDefault="00AE2BE5" w:rsidP="00923C4E">
      <w:pPr>
        <w:pStyle w:val="a0"/>
        <w:spacing w:before="308" w:line="312" w:lineRule="auto"/>
        <w:ind w:left="311"/>
        <w:jc w:val="both"/>
      </w:pPr>
      <w:r>
        <w:t>This project is supported by two major categories of data.</w:t>
      </w:r>
    </w:p>
    <w:p w14:paraId="76EE1013" w14:textId="77777777" w:rsidR="00AE2BE5" w:rsidRDefault="00AE2BE5" w:rsidP="00923C4E">
      <w:pPr>
        <w:pStyle w:val="a0"/>
        <w:spacing w:before="308" w:line="312" w:lineRule="auto"/>
        <w:ind w:left="311"/>
        <w:jc w:val="both"/>
      </w:pPr>
      <w:r>
        <w:t>The first is historical pop-up store sales panel data, covering 15 stores, 9 weeks, and 65 store-week observations. This dataset captures sales quantity, sales revenue, and ticketed value across different series, categories, and individual products. As a result, it provides a sufficiently detailed view of each store’s sales structure and allows the analysis to move beyond total sales into series-level and product-level composition.</w:t>
      </w:r>
    </w:p>
    <w:p w14:paraId="25EBA7AF" w14:textId="77777777" w:rsidR="00AE2BE5" w:rsidRDefault="00AE2BE5" w:rsidP="00923C4E">
      <w:pPr>
        <w:pStyle w:val="a0"/>
        <w:spacing w:before="308" w:line="312" w:lineRule="auto"/>
        <w:ind w:left="311"/>
        <w:jc w:val="both"/>
      </w:pPr>
      <w:r>
        <w:t xml:space="preserve">The second is consumer profile data for the commercial complexes in which these stores are located. These variables include city tier, working and residential population within 1 km and 3 km, age distribution, gender distribution, affluence level, and mobile phone brand preference. Together, these indicators describe the consumer base and catchment characteristics surrounding each store location. </w:t>
      </w:r>
    </w:p>
    <w:p w14:paraId="7ABC14E3" w14:textId="1AA06627" w:rsidR="00A42DAB" w:rsidRDefault="00AE2BE5" w:rsidP="00923C4E">
      <w:pPr>
        <w:pStyle w:val="a0"/>
        <w:spacing w:before="308" w:line="312" w:lineRule="auto"/>
        <w:ind w:left="311"/>
        <w:jc w:val="both"/>
      </w:pPr>
      <w:r>
        <w:t xml:space="preserve">Taken together, the current data is well suited to addressing the following question: given a predetermined location and a known consumer profile, what type of merchandise structure is </w:t>
      </w:r>
      <w:r>
        <w:lastRenderedPageBreak/>
        <w:t xml:space="preserve">likely to be most appropriate for a newly opened store? </w:t>
      </w:r>
    </w:p>
    <w:p w14:paraId="5E7297FC" w14:textId="0FC9ABD8" w:rsidR="00AE2BE5" w:rsidRDefault="00AE2BE5" w:rsidP="00923C4E">
      <w:pPr>
        <w:pStyle w:val="2"/>
        <w:ind w:right="0"/>
      </w:pPr>
      <w:bookmarkStart w:id="7" w:name="_Toc229242109"/>
      <w:r w:rsidRPr="00AE2BE5">
        <w:t>Project Objective and Overall Approach</w:t>
      </w:r>
      <w:bookmarkEnd w:id="7"/>
    </w:p>
    <w:p w14:paraId="461ADAEB" w14:textId="77777777" w:rsidR="00AE2BE5" w:rsidRDefault="00AE2BE5" w:rsidP="00923C4E">
      <w:pPr>
        <w:pStyle w:val="a0"/>
        <w:spacing w:before="308" w:line="312" w:lineRule="auto"/>
        <w:ind w:left="311"/>
        <w:jc w:val="both"/>
      </w:pPr>
      <w:bookmarkStart w:id="8" w:name="Page_Margin"/>
      <w:bookmarkEnd w:id="8"/>
      <w:r>
        <w:t>The core objective of this tool is to support pre-opening assortment planning for LI-NING when a new store location has already been selected. After entering six profile features of the target commercial complex, the team should be able to obtain within five minutes: the recommended tier (Premium / Balanced / Mass), the reference mix range for major categories (Footwear / Apparel / Accessories), the reference mix range for product lines (Rongyao / Gold Label / Others), and corresponding risk alerts.</w:t>
      </w:r>
    </w:p>
    <w:p w14:paraId="0F4D4383" w14:textId="77777777" w:rsidR="00AE2BE5" w:rsidRDefault="00AE2BE5" w:rsidP="00923C4E">
      <w:pPr>
        <w:pStyle w:val="a0"/>
        <w:spacing w:before="308" w:line="312" w:lineRule="auto"/>
        <w:ind w:left="311"/>
        <w:jc w:val="both"/>
      </w:pPr>
      <w:r>
        <w:t xml:space="preserve">Accordingly, the key business question is: given the profile features of a new commercial complex, how can we recommend a practical and reasonable merchandise mix for launch? </w:t>
      </w:r>
    </w:p>
    <w:p w14:paraId="02830ACC" w14:textId="5080D7D6" w:rsidR="00A42DAB" w:rsidRDefault="00AE2BE5" w:rsidP="00923C4E">
      <w:pPr>
        <w:pStyle w:val="a0"/>
        <w:spacing w:before="308" w:line="312" w:lineRule="auto"/>
        <w:ind w:left="311"/>
        <w:jc w:val="both"/>
        <w:rPr>
          <w:rFonts w:eastAsiaTheme="minorEastAsia"/>
          <w:lang w:eastAsia="zh-CN"/>
        </w:rPr>
      </w:pPr>
      <w:r>
        <w:t>The method is designed as a two-step progressive process. Step 1 is a scorecard module: the six profile features are transformed into a composite score between 1.00 and 3.00, and tercile cutoffs are used to classify the location into three tiers (Premium / Balanced / Mass). This scorecard is a simplified version of the tool and is suitable for quick first-pass judgement. Step 2 is a K-nearest-neighbors (K-NN) similar-store search, which is the core method. In feature space, the model finds historical stores most similar to the new location and directly uses their observed mix structures as reference intervals.</w:t>
      </w:r>
    </w:p>
    <w:p w14:paraId="60B64542" w14:textId="77777777" w:rsidR="00AE2BE5" w:rsidRPr="00AE2BE5" w:rsidRDefault="00AE2BE5" w:rsidP="00923C4E">
      <w:pPr>
        <w:pStyle w:val="a0"/>
        <w:spacing w:before="308" w:line="312" w:lineRule="auto"/>
        <w:ind w:left="311"/>
        <w:jc w:val="both"/>
        <w:rPr>
          <w:rFonts w:eastAsiaTheme="minorEastAsia"/>
          <w:lang w:eastAsia="zh-CN"/>
        </w:rPr>
      </w:pPr>
    </w:p>
    <w:p w14:paraId="7841DFA4" w14:textId="1A1198FA" w:rsidR="00A42DAB" w:rsidRDefault="00A42DAB" w:rsidP="00923C4E">
      <w:pPr>
        <w:pStyle w:val="1"/>
      </w:pPr>
      <w:r>
        <w:br w:type="page"/>
      </w:r>
      <w:bookmarkStart w:id="9" w:name="Guidelines_on_Adjustments"/>
      <w:bookmarkStart w:id="10" w:name="_Toc229242110"/>
      <w:bookmarkEnd w:id="9"/>
      <w:r w:rsidR="00AE2BE5" w:rsidRPr="00644E79">
        <w:lastRenderedPageBreak/>
        <w:t>Descriptive Analysis</w:t>
      </w:r>
      <w:bookmarkEnd w:id="10"/>
    </w:p>
    <w:p w14:paraId="3E4BF37A" w14:textId="003BA023" w:rsidR="00A42DAB" w:rsidRPr="00AE2BE5" w:rsidRDefault="00AE2BE5" w:rsidP="00923C4E">
      <w:pPr>
        <w:pStyle w:val="a0"/>
        <w:spacing w:line="312" w:lineRule="auto"/>
        <w:ind w:left="85"/>
        <w:jc w:val="both"/>
        <w:rPr>
          <w:rFonts w:eastAsiaTheme="minorEastAsia"/>
          <w:lang w:eastAsia="zh-CN"/>
        </w:rPr>
      </w:pPr>
      <w:r w:rsidRPr="00AE2BE5">
        <w:t xml:space="preserve">This </w:t>
      </w:r>
      <w:r>
        <w:t>chapter</w:t>
      </w:r>
      <w:r w:rsidRPr="00AE2BE5">
        <w:t xml:space="preserve"> provides a comprehensive descriptive analysis of pop-up store operations, focusing on weekly sales distributions, regional performance variations, and consumer profile characteristics.</w:t>
      </w:r>
    </w:p>
    <w:p w14:paraId="5D601C99" w14:textId="2E9D19B5" w:rsidR="00A42DAB" w:rsidRDefault="00AE2BE5" w:rsidP="00923C4E">
      <w:pPr>
        <w:pStyle w:val="2"/>
        <w:ind w:right="0"/>
      </w:pPr>
      <w:bookmarkStart w:id="11" w:name="Title_Page"/>
      <w:bookmarkStart w:id="12" w:name="_Toc229242111"/>
      <w:bookmarkEnd w:id="11"/>
      <w:r w:rsidRPr="00AE2BE5">
        <w:t>Overall Sales Distribution</w:t>
      </w:r>
      <w:bookmarkEnd w:id="12"/>
    </w:p>
    <w:p w14:paraId="4B3613F1" w14:textId="7F749F2A" w:rsidR="00A42DAB" w:rsidRDefault="00AE2BE5" w:rsidP="00923C4E">
      <w:pPr>
        <w:pStyle w:val="a0"/>
        <w:spacing w:before="308" w:line="312" w:lineRule="auto"/>
        <w:ind w:left="85"/>
        <w:jc w:val="both"/>
      </w:pPr>
      <w:r w:rsidRPr="00AE2BE5">
        <w:t>The primary KPI analyzed is Weekly Total Sales (denominated in 10k RMB). The weekly sales data exhibits a significant right-skewed distribution. Most pop-up stores generate weekly revenue between 0 and 500,000 RMB. However, there are specific storess reaching upwards of 1.2M - 1.5M RMB per week. This suggests that while baseline performance is consistent, a small number of stores achieve exceptional revenue in specific weeks, likely driven by peak time and premium locations.</w:t>
      </w:r>
    </w:p>
    <w:p w14:paraId="12097C79" w14:textId="10F8F0CC" w:rsidR="00B61C1F" w:rsidRDefault="00AE2BE5" w:rsidP="00923C4E">
      <w:pPr>
        <w:pStyle w:val="a0"/>
        <w:keepNext/>
        <w:spacing w:before="192"/>
        <w:rPr>
          <w:rFonts w:eastAsiaTheme="minorEastAsia"/>
          <w:lang w:eastAsia="zh-CN"/>
        </w:rPr>
      </w:pPr>
      <w:r w:rsidRPr="00AE2BE5">
        <w:rPr>
          <w:noProof/>
        </w:rPr>
        <w:drawing>
          <wp:inline distT="0" distB="0" distL="0" distR="0" wp14:anchorId="502257E1" wp14:editId="7ADB6E8E">
            <wp:extent cx="5273040" cy="3512820"/>
            <wp:effectExtent l="0" t="0" r="0" b="0"/>
            <wp:docPr id="197974997"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14:paraId="3A6479F7" w14:textId="751584BC" w:rsidR="00B61C1F" w:rsidRDefault="00B61C1F" w:rsidP="00923C4E">
      <w:pPr>
        <w:pStyle w:val="a0"/>
        <w:spacing w:before="308" w:line="312" w:lineRule="auto"/>
        <w:ind w:left="85"/>
        <w:jc w:val="both"/>
        <w:rPr>
          <w:rFonts w:eastAsiaTheme="minorEastAsia"/>
          <w:lang w:eastAsia="zh-CN"/>
        </w:rPr>
      </w:pPr>
      <w:r w:rsidRPr="00B61C1F">
        <w:t>The average weekly sales analysis by location reveals a clear hierarchy among the pop-up stores, highlighting significant disparities in revenue generation across different commercial environments. The Beijing Sanlitun and Shanghai Xintiandi locations emerge as the undisputed performance leaders. The dominance of these malls suggests that store performance is highly reliant on the "anchor effect" of the hosting commercial complex. The high-spending foot traffic of these specific malls is the primary driver of the observed sales peaks.</w:t>
      </w:r>
    </w:p>
    <w:p w14:paraId="6C4F2F60" w14:textId="46280829" w:rsidR="00B61C1F" w:rsidRPr="00B61C1F" w:rsidRDefault="00B61C1F" w:rsidP="00923C4E">
      <w:pPr>
        <w:pStyle w:val="a0"/>
        <w:spacing w:before="308" w:line="312" w:lineRule="auto"/>
        <w:ind w:left="85"/>
        <w:rPr>
          <w:rFonts w:eastAsiaTheme="minorEastAsia"/>
          <w:lang w:eastAsia="zh-CN"/>
        </w:rPr>
      </w:pPr>
      <w:r w:rsidRPr="00B61C1F">
        <w:rPr>
          <w:rFonts w:eastAsiaTheme="minorEastAsia"/>
          <w:noProof/>
          <w:lang w:eastAsia="zh-CN"/>
        </w:rPr>
        <w:lastRenderedPageBreak/>
        <w:drawing>
          <wp:inline distT="0" distB="0" distL="0" distR="0" wp14:anchorId="06F7D265" wp14:editId="515BB47D">
            <wp:extent cx="5280660" cy="3131820"/>
            <wp:effectExtent l="0" t="0" r="0" b="0"/>
            <wp:docPr id="704701373"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3131820"/>
                    </a:xfrm>
                    <a:prstGeom prst="rect">
                      <a:avLst/>
                    </a:prstGeom>
                    <a:noFill/>
                    <a:ln>
                      <a:noFill/>
                    </a:ln>
                  </pic:spPr>
                </pic:pic>
              </a:graphicData>
            </a:graphic>
          </wp:inline>
        </w:drawing>
      </w:r>
    </w:p>
    <w:p w14:paraId="7C3C514A" w14:textId="77777777" w:rsidR="00A42DAB" w:rsidRDefault="00A42DAB" w:rsidP="00923C4E">
      <w:pPr>
        <w:pStyle w:val="a0"/>
        <w:spacing w:before="192"/>
      </w:pPr>
    </w:p>
    <w:p w14:paraId="31078A01" w14:textId="7CA607F9" w:rsidR="00A42DAB" w:rsidRDefault="00B61C1F" w:rsidP="00923C4E">
      <w:pPr>
        <w:pStyle w:val="2"/>
        <w:ind w:right="0"/>
      </w:pPr>
      <w:bookmarkStart w:id="13" w:name="Dedication"/>
      <w:bookmarkStart w:id="14" w:name="_Toc229242112"/>
      <w:bookmarkEnd w:id="13"/>
      <w:r w:rsidRPr="00B61C1F">
        <w:t>Sales Trends and Periodicity</w:t>
      </w:r>
      <w:bookmarkEnd w:id="14"/>
    </w:p>
    <w:p w14:paraId="0946279A" w14:textId="1C7710C3" w:rsidR="00A42DAB" w:rsidRDefault="00B61C1F" w:rsidP="00923C4E">
      <w:pPr>
        <w:pStyle w:val="a0"/>
        <w:spacing w:before="308" w:line="312" w:lineRule="auto"/>
        <w:ind w:left="85"/>
        <w:jc w:val="both"/>
        <w:rPr>
          <w:rFonts w:eastAsiaTheme="minorEastAsia"/>
          <w:lang w:eastAsia="zh-CN"/>
        </w:rPr>
      </w:pPr>
      <w:r w:rsidRPr="00B61C1F">
        <w:t>This chart shows the fluctuations in average weekly sales over the observation period. A major sales surge is observed during Spring Festival, which indicates a period of exceptional consumer engagement, where weekly revenue reached its maximum across all locations.</w:t>
      </w:r>
    </w:p>
    <w:p w14:paraId="542F72B7" w14:textId="29F866BE" w:rsidR="00B61C1F" w:rsidRDefault="00B61C1F" w:rsidP="00923C4E">
      <w:pPr>
        <w:pStyle w:val="a0"/>
        <w:spacing w:before="308" w:line="312" w:lineRule="auto"/>
        <w:ind w:left="85"/>
        <w:jc w:val="both"/>
        <w:rPr>
          <w:rFonts w:eastAsiaTheme="minorEastAsia"/>
          <w:lang w:eastAsia="zh-CN"/>
        </w:rPr>
      </w:pPr>
      <w:r w:rsidRPr="00B61C1F">
        <w:rPr>
          <w:rFonts w:ascii="Tahoma" w:eastAsiaTheme="minorEastAsia"/>
          <w:noProof/>
          <w:w w:val="280"/>
          <w:position w:val="-4"/>
          <w:sz w:val="54"/>
          <w:lang w:eastAsia="zh-CN"/>
        </w:rPr>
        <w:drawing>
          <wp:inline distT="0" distB="0" distL="0" distR="0" wp14:anchorId="398A50E7" wp14:editId="0A4E8B82">
            <wp:extent cx="5280660" cy="3093720"/>
            <wp:effectExtent l="0" t="0" r="0" b="0"/>
            <wp:docPr id="1547374374"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0660" cy="3093720"/>
                    </a:xfrm>
                    <a:prstGeom prst="rect">
                      <a:avLst/>
                    </a:prstGeom>
                    <a:noFill/>
                    <a:ln>
                      <a:noFill/>
                    </a:ln>
                  </pic:spPr>
                </pic:pic>
              </a:graphicData>
            </a:graphic>
          </wp:inline>
        </w:drawing>
      </w:r>
    </w:p>
    <w:p w14:paraId="0AB45E28" w14:textId="6B19C73D" w:rsidR="00B61C1F" w:rsidRDefault="00B61C1F" w:rsidP="00923C4E">
      <w:pPr>
        <w:pStyle w:val="2"/>
        <w:ind w:right="0"/>
      </w:pPr>
      <w:bookmarkStart w:id="15" w:name="_Toc229242113"/>
      <w:r w:rsidRPr="00B61C1F">
        <w:t>Store-Level Key Revenue Drivers</w:t>
      </w:r>
      <w:bookmarkEnd w:id="15"/>
    </w:p>
    <w:p w14:paraId="5D9D817D" w14:textId="77777777" w:rsidR="00B61C1F" w:rsidRDefault="00B61C1F" w:rsidP="00923C4E">
      <w:pPr>
        <w:pStyle w:val="a0"/>
        <w:spacing w:before="308" w:line="312" w:lineRule="auto"/>
        <w:ind w:left="85"/>
        <w:jc w:val="both"/>
      </w:pPr>
      <w:r>
        <w:lastRenderedPageBreak/>
        <w:t>To identify the primary revenue drivers for the pop-up stores, the analysis breaks down sales performance by product category. The business is heavily driven by Footwear and Apparel, which together account for the vast majority of total turnover. Footwear, in particular, maintains a consistently high share across most locations, often serving as the category that secures baseline revenue.</w:t>
      </w:r>
    </w:p>
    <w:p w14:paraId="459FDD24" w14:textId="7F3216BC" w:rsidR="00B61C1F" w:rsidRDefault="00B61C1F" w:rsidP="00923C4E">
      <w:pPr>
        <w:pStyle w:val="a0"/>
        <w:spacing w:before="308" w:line="312" w:lineRule="auto"/>
        <w:ind w:left="85"/>
        <w:jc w:val="both"/>
        <w:rPr>
          <w:rFonts w:eastAsiaTheme="minorEastAsia"/>
          <w:lang w:eastAsia="zh-CN"/>
        </w:rPr>
      </w:pPr>
      <w:r>
        <w:t>When examining individual stores, we find that some locations are almost exclusively footwear-driven, others show a more balanced split with apparel. This suggests that the product mix of different pop-up stores should adapt to local consumer preferences and store-specific assortments.</w:t>
      </w:r>
    </w:p>
    <w:p w14:paraId="1FE749C5" w14:textId="5652364D" w:rsidR="00B61C1F" w:rsidRPr="00B61C1F" w:rsidRDefault="00B61C1F" w:rsidP="00923C4E">
      <w:pPr>
        <w:pStyle w:val="a0"/>
        <w:spacing w:before="308" w:line="312" w:lineRule="auto"/>
        <w:ind w:left="85"/>
        <w:rPr>
          <w:rFonts w:eastAsiaTheme="minorEastAsia"/>
          <w:lang w:eastAsia="zh-CN"/>
        </w:rPr>
      </w:pPr>
      <w:r w:rsidRPr="00B61C1F">
        <w:rPr>
          <w:rFonts w:eastAsiaTheme="minorEastAsia"/>
          <w:noProof/>
          <w:lang w:eastAsia="zh-CN"/>
        </w:rPr>
        <w:drawing>
          <wp:inline distT="0" distB="0" distL="0" distR="0" wp14:anchorId="6B15017F" wp14:editId="12CCCFF2">
            <wp:extent cx="5280660" cy="2956560"/>
            <wp:effectExtent l="0" t="0" r="0" b="0"/>
            <wp:docPr id="1990075386"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0660" cy="2956560"/>
                    </a:xfrm>
                    <a:prstGeom prst="rect">
                      <a:avLst/>
                    </a:prstGeom>
                    <a:noFill/>
                    <a:ln>
                      <a:noFill/>
                    </a:ln>
                  </pic:spPr>
                </pic:pic>
              </a:graphicData>
            </a:graphic>
          </wp:inline>
        </w:drawing>
      </w:r>
    </w:p>
    <w:p w14:paraId="215DD78C" w14:textId="7D0E6C8E" w:rsidR="00B61C1F" w:rsidRDefault="00B61C1F" w:rsidP="00923C4E">
      <w:pPr>
        <w:pStyle w:val="2"/>
        <w:ind w:right="0"/>
      </w:pPr>
      <w:bookmarkStart w:id="16" w:name="_Toc229242114"/>
      <w:r w:rsidRPr="00B61C1F">
        <w:t>Product Series Composition</w:t>
      </w:r>
      <w:bookmarkEnd w:id="16"/>
    </w:p>
    <w:p w14:paraId="30FF5661" w14:textId="6BF2D79E" w:rsidR="00B61C1F" w:rsidRPr="00B61C1F" w:rsidRDefault="00B61C1F" w:rsidP="00923C4E">
      <w:pPr>
        <w:pStyle w:val="a0"/>
        <w:spacing w:before="308" w:line="312" w:lineRule="auto"/>
        <w:ind w:left="85"/>
        <w:jc w:val="both"/>
        <w:rPr>
          <w:rFonts w:eastAsiaTheme="minorEastAsia"/>
          <w:lang w:eastAsia="zh-CN"/>
        </w:rPr>
      </w:pPr>
      <w:r w:rsidRPr="00B61C1F">
        <w:t>To further explore the structure of sales, the analysis decomposes total sales by product series using sales volume rather than sales value. This approach ensures that the results better capture actual consumer demand rather than price effects. The total sales of each store are divided into several key series, including National Team, Li-Ning Glory, Li-Ning Glory Premium, and Other Series. By calculating the proportion of each series relative to total sales, the product mix of each store is clearly identified.</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06"/>
        <w:gridCol w:w="1131"/>
        <w:gridCol w:w="1157"/>
        <w:gridCol w:w="1119"/>
        <w:gridCol w:w="1149"/>
        <w:gridCol w:w="1276"/>
        <w:gridCol w:w="1275"/>
      </w:tblGrid>
      <w:tr w:rsidR="00B61C1F" w:rsidRPr="00B61C1F" w14:paraId="513F59FE" w14:textId="77777777" w:rsidTr="00806C61">
        <w:trPr>
          <w:trHeight w:val="983"/>
        </w:trPr>
        <w:tc>
          <w:tcPr>
            <w:tcW w:w="1506" w:type="dxa"/>
            <w:tcBorders>
              <w:top w:val="single" w:sz="12" w:space="0" w:color="000000"/>
              <w:left w:val="single" w:sz="1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4BC8B51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Pop-up Stores</w:t>
            </w:r>
          </w:p>
        </w:tc>
        <w:tc>
          <w:tcPr>
            <w:tcW w:w="1131" w:type="dxa"/>
            <w:tcBorders>
              <w:top w:val="single" w:sz="12" w:space="0" w:color="000000"/>
              <w:left w:val="single" w:sz="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6DD8F2C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Dominant Series</w:t>
            </w:r>
          </w:p>
        </w:tc>
        <w:tc>
          <w:tcPr>
            <w:tcW w:w="1157" w:type="dxa"/>
            <w:tcBorders>
              <w:top w:val="single" w:sz="12" w:space="0" w:color="000000"/>
              <w:left w:val="single" w:sz="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36E67C95"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Dominant Series Share</w:t>
            </w:r>
          </w:p>
        </w:tc>
        <w:tc>
          <w:tcPr>
            <w:tcW w:w="1119" w:type="dxa"/>
            <w:tcBorders>
              <w:top w:val="single" w:sz="12" w:space="0" w:color="000000"/>
              <w:left w:val="single" w:sz="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4346344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National Team Share</w:t>
            </w:r>
          </w:p>
        </w:tc>
        <w:tc>
          <w:tcPr>
            <w:tcW w:w="1149" w:type="dxa"/>
            <w:tcBorders>
              <w:top w:val="single" w:sz="12" w:space="0" w:color="000000"/>
              <w:left w:val="single" w:sz="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77503A9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Li-Ning Glory Share</w:t>
            </w:r>
          </w:p>
        </w:tc>
        <w:tc>
          <w:tcPr>
            <w:tcW w:w="1276" w:type="dxa"/>
            <w:tcBorders>
              <w:top w:val="single" w:sz="12" w:space="0" w:color="000000"/>
              <w:left w:val="single" w:sz="2" w:space="0" w:color="000000"/>
              <w:bottom w:val="single" w:sz="6" w:space="0" w:color="000000"/>
              <w:right w:val="single" w:sz="6" w:space="0" w:color="000000"/>
            </w:tcBorders>
            <w:shd w:val="clear" w:color="auto" w:fill="C2514E"/>
            <w:tcMar>
              <w:top w:w="0" w:type="dxa"/>
              <w:left w:w="108" w:type="dxa"/>
              <w:bottom w:w="0" w:type="dxa"/>
              <w:right w:w="108" w:type="dxa"/>
            </w:tcMar>
            <w:vAlign w:val="center"/>
            <w:hideMark/>
          </w:tcPr>
          <w:p w14:paraId="5BE4B8E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Li-Ning Glory Premium Share</w:t>
            </w:r>
          </w:p>
        </w:tc>
        <w:tc>
          <w:tcPr>
            <w:tcW w:w="1275" w:type="dxa"/>
            <w:tcBorders>
              <w:top w:val="single" w:sz="12" w:space="0" w:color="000000"/>
              <w:left w:val="single" w:sz="2" w:space="0" w:color="000000"/>
              <w:bottom w:val="single" w:sz="6" w:space="0" w:color="000000"/>
              <w:right w:val="single" w:sz="12" w:space="0" w:color="000000"/>
            </w:tcBorders>
            <w:shd w:val="clear" w:color="auto" w:fill="C2514E"/>
            <w:tcMar>
              <w:top w:w="0" w:type="dxa"/>
              <w:left w:w="108" w:type="dxa"/>
              <w:bottom w:w="0" w:type="dxa"/>
              <w:right w:w="108" w:type="dxa"/>
            </w:tcMar>
            <w:vAlign w:val="center"/>
            <w:hideMark/>
          </w:tcPr>
          <w:p w14:paraId="70964E1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Other Series Share</w:t>
            </w:r>
          </w:p>
        </w:tc>
      </w:tr>
      <w:tr w:rsidR="00B61C1F" w:rsidRPr="00B61C1F" w14:paraId="42D0E405"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066C4C9A"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Shanghai Xintiandi</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3C375E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Other Series</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C8FF7F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56.45%</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A2883AA"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10.57%</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F4FEEC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19.80%</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888BA0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13.18%</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3054DDE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56.45%</w:t>
            </w:r>
          </w:p>
        </w:tc>
      </w:tr>
      <w:tr w:rsidR="00B61C1F" w:rsidRPr="00B61C1F" w14:paraId="12FE362F"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62C8612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 xml:space="preserve">Beijing </w:t>
            </w:r>
            <w:r w:rsidRPr="00B61C1F">
              <w:rPr>
                <w:rFonts w:eastAsia="微软雅黑"/>
                <w:b/>
                <w:bCs/>
                <w:color w:val="000000"/>
                <w:sz w:val="21"/>
                <w:szCs w:val="21"/>
                <w:lang w:eastAsia="zh-CN"/>
              </w:rPr>
              <w:lastRenderedPageBreak/>
              <w:t>Sanlitun</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C438D4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lastRenderedPageBreak/>
              <w:t xml:space="preserve">Li-Ning </w:t>
            </w:r>
            <w:r w:rsidRPr="00B61C1F">
              <w:rPr>
                <w:rFonts w:eastAsia="微软雅黑"/>
                <w:color w:val="000000"/>
                <w:sz w:val="21"/>
                <w:szCs w:val="21"/>
                <w:lang w:eastAsia="zh-CN"/>
              </w:rPr>
              <w:lastRenderedPageBreak/>
              <w:t>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6909A0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lastRenderedPageBreak/>
              <w:t>50.47%</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4724E0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5.27%</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027EE3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50.47%</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6EB342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20.88%</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383CE3D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23.38%</w:t>
            </w:r>
          </w:p>
        </w:tc>
      </w:tr>
      <w:tr w:rsidR="00B61C1F" w:rsidRPr="00B61C1F" w14:paraId="3C277133" w14:textId="77777777" w:rsidTr="00806C61">
        <w:trPr>
          <w:trHeight w:val="312"/>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3D71529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Beijing Wangfujing Street</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F7A101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8C84D1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53.19%</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7438763"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13.20%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4ADB4B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53.19%</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6FB6CF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23.20%</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4690CD7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10.41%</w:t>
            </w:r>
          </w:p>
        </w:tc>
      </w:tr>
      <w:tr w:rsidR="00B61C1F" w:rsidRPr="00B61C1F" w14:paraId="27751635"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502E8DF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Beijing Livat</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50A024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Other Series</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C06D9D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51.33%</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DE05B8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3245A5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39.49%</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4AB28E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9.18%</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754D099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51.33%</w:t>
            </w:r>
          </w:p>
        </w:tc>
      </w:tr>
      <w:tr w:rsidR="00B61C1F" w:rsidRPr="00B61C1F" w14:paraId="51F1B59A"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51E1C5F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Nanjing Xinjiekou</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D73B4D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AECC94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83.34%</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8F3C08E"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A2ECDC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83.34%</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099C62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16.66%</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0653A51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r>
      <w:tr w:rsidR="00B61C1F" w:rsidRPr="00B61C1F" w14:paraId="45ECF60E"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40D0C90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Harbin Haxi Wanda Plaza</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4BC396E"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3F3F36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76.93%</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0CE547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68C52F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76.93%</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056DA5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23.07%</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4F031FE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r>
      <w:tr w:rsidR="00B61C1F" w:rsidRPr="00B61C1F" w14:paraId="0BE1E95A"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2EA855F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Dalian Pavilion</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AF5FD1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9FBC6A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80.00%</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AFFF5D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88618E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80.00%</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B766F4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20.00%</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1998898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r>
      <w:tr w:rsidR="00B61C1F" w:rsidRPr="00B61C1F" w14:paraId="74DB12FA"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74C1D03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Tianjin Nankai Joy City</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A5E1331"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6131BA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65.25%</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6181813"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5608545"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65.25%</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2E55EF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19.25%</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2479EF3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15.50%</w:t>
            </w:r>
          </w:p>
        </w:tc>
      </w:tr>
      <w:tr w:rsidR="00B61C1F" w:rsidRPr="00B61C1F" w14:paraId="2ED296A5"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137406A5"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Kunming Shuncheng Shopping Center</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52FAB4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 Premium</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0CB8E2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74.78%</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C1843B5"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1.13%</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9EA47C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21.84%</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BCF782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74.78%</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31413D1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2.24%</w:t>
            </w:r>
          </w:p>
        </w:tc>
      </w:tr>
      <w:tr w:rsidR="00B61C1F" w:rsidRPr="00B61C1F" w14:paraId="08D945F6"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5FE9FD4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Hangzhou Xixi Incity</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EA55AC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897D4DE"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62.55%</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3CDFCF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06DC7D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62.55%</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E99AEC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36.09%</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18D39A75"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1.36%</w:t>
            </w:r>
          </w:p>
        </w:tc>
      </w:tr>
      <w:tr w:rsidR="00B61C1F" w:rsidRPr="00B61C1F" w14:paraId="161B06CA"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125D9E7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Shenyang Tiexi Mixc One</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C9552F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79C7A6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69.26%</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9100BB2"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79D7C84"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69.26%</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FBE870E"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30.74%</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0B4FF94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r>
      <w:tr w:rsidR="00B61C1F" w:rsidRPr="00B61C1F" w14:paraId="23A583ED"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25E03FBD"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Zhengzhou Grand City</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6F9ECA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CF8CF4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82.32%</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035E137"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E0DDAD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82.32%</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490439E"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17.68%</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1D7EC703"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r>
      <w:tr w:rsidR="00B61C1F" w:rsidRPr="00B61C1F" w14:paraId="4C3A7515"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1FC2D9AA"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Chongqing Jiefangbei</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1251BF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Other Series</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7AD7D1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43.91%</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5A57A7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6.02%</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8589C53"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31.04%</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A71D53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19.02%</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2C0EBB7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43.91%</w:t>
            </w:r>
          </w:p>
        </w:tc>
      </w:tr>
      <w:tr w:rsidR="00B61C1F" w:rsidRPr="00B61C1F" w14:paraId="78D6E024" w14:textId="77777777" w:rsidTr="00806C61">
        <w:trPr>
          <w:trHeight w:val="288"/>
        </w:trPr>
        <w:tc>
          <w:tcPr>
            <w:tcW w:w="1506" w:type="dxa"/>
            <w:tcBorders>
              <w:top w:val="single" w:sz="2"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14:paraId="79AA90F3"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Changchun Ouya Mart</w:t>
            </w:r>
          </w:p>
        </w:tc>
        <w:tc>
          <w:tcPr>
            <w:tcW w:w="1131"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F87B0D1"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 Premium</w:t>
            </w:r>
          </w:p>
        </w:tc>
        <w:tc>
          <w:tcPr>
            <w:tcW w:w="1157"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397033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48.76%</w:t>
            </w:r>
          </w:p>
        </w:tc>
        <w:tc>
          <w:tcPr>
            <w:tcW w:w="111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3622A4B"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0.00%</w:t>
            </w:r>
          </w:p>
        </w:tc>
        <w:tc>
          <w:tcPr>
            <w:tcW w:w="1149"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7FD61A1"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45.84%</w:t>
            </w:r>
          </w:p>
        </w:tc>
        <w:tc>
          <w:tcPr>
            <w:tcW w:w="1276"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E9723E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48.76%</w:t>
            </w:r>
          </w:p>
        </w:tc>
        <w:tc>
          <w:tcPr>
            <w:tcW w:w="1275" w:type="dxa"/>
            <w:tcBorders>
              <w:top w:val="single" w:sz="2" w:space="0" w:color="000000"/>
              <w:left w:val="single" w:sz="2" w:space="0" w:color="000000"/>
              <w:bottom w:val="single" w:sz="6" w:space="0" w:color="000000"/>
              <w:right w:val="single" w:sz="12" w:space="0" w:color="000000"/>
            </w:tcBorders>
            <w:tcMar>
              <w:top w:w="0" w:type="dxa"/>
              <w:left w:w="108" w:type="dxa"/>
              <w:bottom w:w="0" w:type="dxa"/>
              <w:right w:w="108" w:type="dxa"/>
            </w:tcMar>
            <w:vAlign w:val="center"/>
            <w:hideMark/>
          </w:tcPr>
          <w:p w14:paraId="4749E4AF"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5.40%</w:t>
            </w:r>
          </w:p>
        </w:tc>
      </w:tr>
      <w:tr w:rsidR="00B61C1F" w:rsidRPr="00B61C1F" w14:paraId="4A2F6BDA" w14:textId="77777777" w:rsidTr="00806C61">
        <w:trPr>
          <w:trHeight w:val="300"/>
        </w:trPr>
        <w:tc>
          <w:tcPr>
            <w:tcW w:w="1506" w:type="dxa"/>
            <w:tcBorders>
              <w:top w:val="single" w:sz="2" w:space="0" w:color="000000"/>
              <w:left w:val="single" w:sz="12" w:space="0" w:color="000000"/>
              <w:bottom w:val="single" w:sz="12" w:space="0" w:color="000000"/>
              <w:right w:val="single" w:sz="6" w:space="0" w:color="000000"/>
            </w:tcBorders>
            <w:tcMar>
              <w:top w:w="0" w:type="dxa"/>
              <w:left w:w="108" w:type="dxa"/>
              <w:bottom w:w="0" w:type="dxa"/>
              <w:right w:w="108" w:type="dxa"/>
            </w:tcMar>
            <w:vAlign w:val="center"/>
            <w:hideMark/>
          </w:tcPr>
          <w:p w14:paraId="6661CBB9"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b/>
                <w:bCs/>
                <w:color w:val="000000"/>
                <w:sz w:val="21"/>
                <w:szCs w:val="21"/>
                <w:lang w:eastAsia="zh-CN"/>
              </w:rPr>
              <w:t>Changsha The MixC</w:t>
            </w:r>
          </w:p>
        </w:tc>
        <w:tc>
          <w:tcPr>
            <w:tcW w:w="1131" w:type="dxa"/>
            <w:tcBorders>
              <w:top w:val="single" w:sz="2" w:space="0" w:color="000000"/>
              <w:left w:val="single" w:sz="2" w:space="0" w:color="000000"/>
              <w:bottom w:val="single" w:sz="12" w:space="0" w:color="000000"/>
              <w:right w:val="single" w:sz="6" w:space="0" w:color="000000"/>
            </w:tcBorders>
            <w:tcMar>
              <w:top w:w="0" w:type="dxa"/>
              <w:left w:w="108" w:type="dxa"/>
              <w:bottom w:w="0" w:type="dxa"/>
              <w:right w:w="108" w:type="dxa"/>
            </w:tcMar>
            <w:vAlign w:val="center"/>
            <w:hideMark/>
          </w:tcPr>
          <w:p w14:paraId="50D161C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Li-Ning Glory</w:t>
            </w:r>
          </w:p>
        </w:tc>
        <w:tc>
          <w:tcPr>
            <w:tcW w:w="1157" w:type="dxa"/>
            <w:tcBorders>
              <w:top w:val="single" w:sz="2" w:space="0" w:color="000000"/>
              <w:left w:val="single" w:sz="2" w:space="0" w:color="000000"/>
              <w:bottom w:val="single" w:sz="12" w:space="0" w:color="000000"/>
              <w:right w:val="single" w:sz="6" w:space="0" w:color="000000"/>
            </w:tcBorders>
            <w:tcMar>
              <w:top w:w="0" w:type="dxa"/>
              <w:left w:w="108" w:type="dxa"/>
              <w:bottom w:w="0" w:type="dxa"/>
              <w:right w:w="108" w:type="dxa"/>
            </w:tcMar>
            <w:vAlign w:val="center"/>
            <w:hideMark/>
          </w:tcPr>
          <w:p w14:paraId="0BA10CE0"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49.21%</w:t>
            </w:r>
          </w:p>
        </w:tc>
        <w:tc>
          <w:tcPr>
            <w:tcW w:w="1119" w:type="dxa"/>
            <w:tcBorders>
              <w:top w:val="single" w:sz="2" w:space="0" w:color="000000"/>
              <w:left w:val="single" w:sz="2" w:space="0" w:color="000000"/>
              <w:bottom w:val="single" w:sz="12" w:space="0" w:color="000000"/>
              <w:right w:val="single" w:sz="6" w:space="0" w:color="000000"/>
            </w:tcBorders>
            <w:tcMar>
              <w:top w:w="0" w:type="dxa"/>
              <w:left w:w="108" w:type="dxa"/>
              <w:bottom w:w="0" w:type="dxa"/>
              <w:right w:w="108" w:type="dxa"/>
            </w:tcMar>
            <w:vAlign w:val="center"/>
            <w:hideMark/>
          </w:tcPr>
          <w:p w14:paraId="3C77B156"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1.79%</w:t>
            </w:r>
          </w:p>
        </w:tc>
        <w:tc>
          <w:tcPr>
            <w:tcW w:w="1149" w:type="dxa"/>
            <w:tcBorders>
              <w:top w:val="single" w:sz="2" w:space="0" w:color="000000"/>
              <w:left w:val="single" w:sz="2" w:space="0" w:color="000000"/>
              <w:bottom w:val="single" w:sz="12" w:space="0" w:color="000000"/>
              <w:right w:val="single" w:sz="6" w:space="0" w:color="000000"/>
            </w:tcBorders>
            <w:tcMar>
              <w:top w:w="0" w:type="dxa"/>
              <w:left w:w="108" w:type="dxa"/>
              <w:bottom w:w="0" w:type="dxa"/>
              <w:right w:w="108" w:type="dxa"/>
            </w:tcMar>
            <w:vAlign w:val="center"/>
            <w:hideMark/>
          </w:tcPr>
          <w:p w14:paraId="56DB006A"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49.21%</w:t>
            </w:r>
          </w:p>
        </w:tc>
        <w:tc>
          <w:tcPr>
            <w:tcW w:w="1276" w:type="dxa"/>
            <w:tcBorders>
              <w:top w:val="single" w:sz="2" w:space="0" w:color="000000"/>
              <w:left w:val="single" w:sz="2" w:space="0" w:color="000000"/>
              <w:bottom w:val="single" w:sz="12" w:space="0" w:color="000000"/>
              <w:right w:val="single" w:sz="6" w:space="0" w:color="000000"/>
            </w:tcBorders>
            <w:tcMar>
              <w:top w:w="0" w:type="dxa"/>
              <w:left w:w="108" w:type="dxa"/>
              <w:bottom w:w="0" w:type="dxa"/>
              <w:right w:w="108" w:type="dxa"/>
            </w:tcMar>
            <w:vAlign w:val="center"/>
            <w:hideMark/>
          </w:tcPr>
          <w:p w14:paraId="2AABC9FC"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35.07%</w:t>
            </w:r>
          </w:p>
        </w:tc>
        <w:tc>
          <w:tcPr>
            <w:tcW w:w="1275" w:type="dxa"/>
            <w:tcBorders>
              <w:top w:val="single" w:sz="2" w:space="0" w:color="000000"/>
              <w:left w:val="single" w:sz="2" w:space="0" w:color="000000"/>
              <w:bottom w:val="single" w:sz="12" w:space="0" w:color="000000"/>
              <w:right w:val="single" w:sz="12" w:space="0" w:color="000000"/>
            </w:tcBorders>
            <w:tcMar>
              <w:top w:w="0" w:type="dxa"/>
              <w:left w:w="108" w:type="dxa"/>
              <w:bottom w:w="0" w:type="dxa"/>
              <w:right w:w="108" w:type="dxa"/>
            </w:tcMar>
            <w:vAlign w:val="center"/>
            <w:hideMark/>
          </w:tcPr>
          <w:p w14:paraId="1B709C78" w14:textId="77777777" w:rsidR="00B61C1F" w:rsidRPr="00B61C1F" w:rsidRDefault="00B61C1F" w:rsidP="00923C4E">
            <w:pPr>
              <w:widowControl/>
              <w:autoSpaceDE/>
              <w:autoSpaceDN/>
              <w:spacing w:after="156"/>
              <w:jc w:val="center"/>
              <w:rPr>
                <w:rFonts w:eastAsia="等线"/>
                <w:sz w:val="24"/>
                <w:szCs w:val="24"/>
                <w:lang w:eastAsia="zh-CN"/>
              </w:rPr>
            </w:pPr>
            <w:r w:rsidRPr="00B61C1F">
              <w:rPr>
                <w:rFonts w:eastAsia="微软雅黑"/>
                <w:color w:val="000000"/>
                <w:sz w:val="21"/>
                <w:szCs w:val="21"/>
                <w:lang w:eastAsia="zh-CN"/>
              </w:rPr>
              <w:t>13.94%</w:t>
            </w:r>
          </w:p>
        </w:tc>
      </w:tr>
    </w:tbl>
    <w:p w14:paraId="2879BBC7" w14:textId="45DB4C13" w:rsidR="00B61C1F" w:rsidRDefault="00953456" w:rsidP="00923C4E">
      <w:pPr>
        <w:pStyle w:val="a0"/>
        <w:spacing w:before="308" w:line="312" w:lineRule="auto"/>
        <w:ind w:left="85"/>
        <w:jc w:val="both"/>
        <w:rPr>
          <w:rFonts w:eastAsiaTheme="minorEastAsia"/>
          <w:lang w:eastAsia="zh-CN"/>
        </w:rPr>
      </w:pPr>
      <w:r w:rsidRPr="00953456">
        <w:rPr>
          <w:rFonts w:eastAsiaTheme="minorEastAsia"/>
          <w:lang w:eastAsia="zh-CN"/>
        </w:rPr>
        <w:t>The identification of a dominant series provides a critical foundation for our predictive modeling and future site selection. Most stores are characterized by a clearly identifiable dominant series, which often account for over 50% of total sales volume. This categorization is instrumental for our subsequent modeling. By mapping the commercial attributes of a new mall to those of our existing successful pop-ups, we can generate high-value recommendations.</w:t>
      </w:r>
    </w:p>
    <w:p w14:paraId="613EFFF3" w14:textId="6F4F74FD" w:rsidR="00953456" w:rsidRDefault="00953456" w:rsidP="00923C4E">
      <w:pPr>
        <w:pStyle w:val="2"/>
        <w:ind w:right="0"/>
      </w:pPr>
      <w:bookmarkStart w:id="17" w:name="_Toc229242115"/>
      <w:r w:rsidRPr="00953456">
        <w:t>Relationship Between Sales Performance and Consumer Demographics</w:t>
      </w:r>
      <w:bookmarkEnd w:id="17"/>
    </w:p>
    <w:p w14:paraId="11543828" w14:textId="77777777" w:rsidR="00953456" w:rsidRDefault="00953456" w:rsidP="00923C4E">
      <w:pPr>
        <w:pStyle w:val="a0"/>
        <w:spacing w:before="308" w:line="312" w:lineRule="auto"/>
        <w:ind w:left="85"/>
        <w:jc w:val="both"/>
      </w:pPr>
      <w:r>
        <w:lastRenderedPageBreak/>
        <w:t>To understand the drivers behind revenue variance, we analyzed the relationship between weekly sales and key consumer profile indices.</w:t>
      </w:r>
    </w:p>
    <w:p w14:paraId="66FB10D3" w14:textId="54C9E2D4" w:rsidR="00953456" w:rsidRPr="004D0661" w:rsidRDefault="00953456" w:rsidP="00923C4E">
      <w:pPr>
        <w:pStyle w:val="3"/>
        <w:ind w:right="0"/>
      </w:pPr>
      <w:r w:rsidRPr="004D0661">
        <w:t>Gender Distribution and Sales Correlation</w:t>
      </w:r>
    </w:p>
    <w:p w14:paraId="4334AFF4" w14:textId="1BC8CDE3" w:rsidR="004D0661" w:rsidRPr="004D0661" w:rsidRDefault="00953456" w:rsidP="00923C4E">
      <w:pPr>
        <w:pStyle w:val="a0"/>
        <w:spacing w:before="308" w:line="312" w:lineRule="auto"/>
        <w:ind w:left="85"/>
        <w:jc w:val="both"/>
        <w:rPr>
          <w:rFonts w:eastAsiaTheme="minorEastAsia"/>
          <w:lang w:eastAsia="zh-CN"/>
        </w:rPr>
      </w:pPr>
      <w:r>
        <w:t>The scatter plots indicate a clear gender-based performance gap. Sales exhibit a significant upward trend as the male ratio exceeds the 0.50 threshold. Conversely, the female ratio shows an inverse relationship, where higher female concentrations generally correlate with lower sales volume, suggesting the sales has a much stronger appeal within the male demographic.</w:t>
      </w:r>
    </w:p>
    <w:p w14:paraId="1C7142FF" w14:textId="6FEF4119" w:rsidR="004D0661" w:rsidRPr="004D0661" w:rsidRDefault="004D0661" w:rsidP="00923C4E">
      <w:pPr>
        <w:pStyle w:val="a0"/>
        <w:spacing w:before="308" w:line="312" w:lineRule="auto"/>
        <w:ind w:left="85"/>
        <w:rPr>
          <w:rFonts w:eastAsiaTheme="minorEastAsia"/>
          <w:lang w:eastAsia="zh-CN"/>
        </w:rPr>
      </w:pPr>
      <w:r w:rsidRPr="004D0661">
        <w:rPr>
          <w:rFonts w:eastAsiaTheme="minorEastAsia"/>
          <w:noProof/>
          <w:lang w:eastAsia="zh-CN"/>
        </w:rPr>
        <w:drawing>
          <wp:inline distT="0" distB="0" distL="0" distR="0" wp14:anchorId="750D5B37" wp14:editId="54EBAA40">
            <wp:extent cx="5280660" cy="2171700"/>
            <wp:effectExtent l="0" t="0" r="0" b="0"/>
            <wp:docPr id="1247700534"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0660" cy="2171700"/>
                    </a:xfrm>
                    <a:prstGeom prst="rect">
                      <a:avLst/>
                    </a:prstGeom>
                    <a:noFill/>
                    <a:ln>
                      <a:noFill/>
                    </a:ln>
                  </pic:spPr>
                </pic:pic>
              </a:graphicData>
            </a:graphic>
          </wp:inline>
        </w:drawing>
      </w:r>
    </w:p>
    <w:p w14:paraId="66B25FF6" w14:textId="2C731185" w:rsidR="004D0661" w:rsidRPr="004D0661" w:rsidRDefault="004D0661" w:rsidP="00923C4E">
      <w:pPr>
        <w:pStyle w:val="3"/>
        <w:ind w:right="0"/>
      </w:pPr>
      <w:r w:rsidRPr="004D0661">
        <w:t>Socioeconomic Class and Sales Correlation</w:t>
      </w:r>
    </w:p>
    <w:p w14:paraId="73F45446" w14:textId="77777777" w:rsidR="004D0661" w:rsidRDefault="004D0661" w:rsidP="00923C4E">
      <w:pPr>
        <w:pStyle w:val="a0"/>
        <w:spacing w:before="308" w:line="312" w:lineRule="auto"/>
        <w:ind w:left="85"/>
        <w:jc w:val="both"/>
      </w:pPr>
      <w:r>
        <w:t>The relationship between social class and weekly sales reveals distinct patterns.</w:t>
      </w:r>
    </w:p>
    <w:p w14:paraId="7F51E90D" w14:textId="77777777" w:rsidR="004D0661" w:rsidRDefault="004D0661" w:rsidP="00923C4E">
      <w:pPr>
        <w:pStyle w:val="a0"/>
        <w:spacing w:before="308" w:line="312" w:lineRule="auto"/>
        <w:ind w:left="85"/>
        <w:jc w:val="both"/>
      </w:pPr>
      <w:r>
        <w:t>Working class shows a positive relation with sales. Higher sales are achieved when this group constitutes 40% or more of the population, indicating a strong volume-based foundation.</w:t>
      </w:r>
    </w:p>
    <w:p w14:paraId="0466A005" w14:textId="77777777" w:rsidR="004D0661" w:rsidRDefault="004D0661" w:rsidP="00923C4E">
      <w:pPr>
        <w:pStyle w:val="a0"/>
        <w:spacing w:before="308" w:line="312" w:lineRule="auto"/>
        <w:ind w:left="85"/>
        <w:jc w:val="both"/>
      </w:pPr>
      <w:r>
        <w:t>Affluent middle class, upper middle class and high net worth show a fragmented distribution. Their increased ratio does not linearly drive sales, suggesting a ceiling effect.</w:t>
      </w:r>
    </w:p>
    <w:p w14:paraId="641858B3" w14:textId="09165B06" w:rsidR="004D0661" w:rsidRPr="00B61C1F" w:rsidRDefault="004D0661" w:rsidP="00923C4E">
      <w:pPr>
        <w:pStyle w:val="a0"/>
        <w:spacing w:before="308" w:line="312" w:lineRule="auto"/>
        <w:ind w:left="85"/>
        <w:jc w:val="both"/>
        <w:rPr>
          <w:rFonts w:eastAsiaTheme="minorEastAsia"/>
          <w:lang w:eastAsia="zh-CN"/>
        </w:rPr>
      </w:pPr>
      <w:r>
        <w:t>Ultra-high net worth account for very small proportion. However, a slight increase in the presence of these individuals often triggers disproportionate spikes in sales.</w:t>
      </w:r>
    </w:p>
    <w:p w14:paraId="78DD1705" w14:textId="34F69CFE" w:rsidR="004D0661" w:rsidRPr="004D0661" w:rsidRDefault="004D0661" w:rsidP="00923C4E">
      <w:pPr>
        <w:pStyle w:val="a0"/>
        <w:spacing w:before="308" w:line="312" w:lineRule="auto"/>
        <w:ind w:left="85"/>
        <w:rPr>
          <w:rFonts w:eastAsiaTheme="minorEastAsia"/>
          <w:lang w:eastAsia="zh-CN"/>
        </w:rPr>
      </w:pPr>
      <w:r w:rsidRPr="004D0661">
        <w:rPr>
          <w:rFonts w:eastAsiaTheme="minorEastAsia"/>
          <w:noProof/>
          <w:lang w:eastAsia="zh-CN"/>
        </w:rPr>
        <w:lastRenderedPageBreak/>
        <w:drawing>
          <wp:inline distT="0" distB="0" distL="0" distR="0" wp14:anchorId="285FA8D7" wp14:editId="3A85AACF">
            <wp:extent cx="5273040" cy="3497580"/>
            <wp:effectExtent l="0" t="0" r="3810" b="7620"/>
            <wp:docPr id="76598295"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040" cy="3497580"/>
                    </a:xfrm>
                    <a:prstGeom prst="rect">
                      <a:avLst/>
                    </a:prstGeom>
                    <a:noFill/>
                    <a:ln>
                      <a:noFill/>
                    </a:ln>
                  </pic:spPr>
                </pic:pic>
              </a:graphicData>
            </a:graphic>
          </wp:inline>
        </w:drawing>
      </w:r>
    </w:p>
    <w:p w14:paraId="78FB13D3" w14:textId="681D9FB9" w:rsidR="004D0661" w:rsidRPr="004D0661" w:rsidRDefault="004D0661" w:rsidP="00923C4E">
      <w:pPr>
        <w:pStyle w:val="3"/>
        <w:ind w:right="0"/>
      </w:pPr>
      <w:r w:rsidRPr="004D0661">
        <w:t>Age Demographic and Sales Correlation</w:t>
      </w:r>
    </w:p>
    <w:p w14:paraId="53348F38" w14:textId="13D41297" w:rsidR="004D0661" w:rsidRDefault="004D0661" w:rsidP="00923C4E">
      <w:pPr>
        <w:pStyle w:val="a0"/>
        <w:spacing w:before="308" w:line="312" w:lineRule="auto"/>
        <w:ind w:left="85"/>
        <w:jc w:val="both"/>
      </w:pPr>
      <w:r w:rsidRPr="004D0661">
        <w:t>The trend analysis across different age cohorts reveals that senior users are the primary drivers of growth. There is a robust positive correlation between sales and the share of customers aged 50-64. As the share of users aged 50-54, 55-59, and 60-64 increases, the regression line goes upward sharply.</w:t>
      </w:r>
    </w:p>
    <w:p w14:paraId="311F7F12" w14:textId="585190DE" w:rsidR="004D0661" w:rsidRPr="004D0661" w:rsidRDefault="004D0661" w:rsidP="00923C4E">
      <w:pPr>
        <w:pStyle w:val="a0"/>
        <w:spacing w:before="308" w:line="312" w:lineRule="auto"/>
        <w:ind w:left="85"/>
        <w:rPr>
          <w:rFonts w:eastAsiaTheme="minorEastAsia"/>
          <w:lang w:eastAsia="zh-CN"/>
        </w:rPr>
      </w:pPr>
      <w:r w:rsidRPr="004D0661">
        <w:rPr>
          <w:rFonts w:eastAsiaTheme="minorEastAsia"/>
          <w:noProof/>
          <w:lang w:eastAsia="zh-CN"/>
        </w:rPr>
        <w:drawing>
          <wp:inline distT="0" distB="0" distL="0" distR="0" wp14:anchorId="63C9005B" wp14:editId="6C3F6D50">
            <wp:extent cx="5280660" cy="3505200"/>
            <wp:effectExtent l="0" t="0" r="0" b="0"/>
            <wp:docPr id="820499993"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3505200"/>
                    </a:xfrm>
                    <a:prstGeom prst="rect">
                      <a:avLst/>
                    </a:prstGeom>
                    <a:noFill/>
                    <a:ln>
                      <a:noFill/>
                    </a:ln>
                  </pic:spPr>
                </pic:pic>
              </a:graphicData>
            </a:graphic>
          </wp:inline>
        </w:drawing>
      </w:r>
    </w:p>
    <w:p w14:paraId="1E5CC849" w14:textId="035C318E" w:rsidR="004D0661" w:rsidRPr="004D0661" w:rsidRDefault="004D0661" w:rsidP="00923C4E">
      <w:pPr>
        <w:pStyle w:val="3"/>
        <w:ind w:right="0"/>
        <w:rPr>
          <w:rFonts w:eastAsiaTheme="minorEastAsia"/>
          <w:lang w:eastAsia="zh-CN"/>
        </w:rPr>
      </w:pPr>
      <w:r w:rsidRPr="004D0661">
        <w:rPr>
          <w:rFonts w:eastAsiaTheme="minorEastAsia"/>
          <w:lang w:eastAsia="zh-CN"/>
        </w:rPr>
        <w:lastRenderedPageBreak/>
        <w:t>Smartphone Brands and Sales Correlation</w:t>
      </w:r>
    </w:p>
    <w:p w14:paraId="55815333" w14:textId="77777777" w:rsidR="004D0661" w:rsidRDefault="004D0661" w:rsidP="00923C4E">
      <w:pPr>
        <w:pStyle w:val="a0"/>
        <w:spacing w:before="308" w:line="312" w:lineRule="auto"/>
        <w:ind w:left="85"/>
        <w:jc w:val="both"/>
      </w:pPr>
      <w:r>
        <w:t>User device preference serves as a significant predictor of purchasing power and behavior. There is a strong positive correlation between the share of Apple users and sales. Sales experience exponential growth as the Apple user share rises above 15%, identifying this group as the highest-value segment.</w:t>
      </w:r>
    </w:p>
    <w:p w14:paraId="5D619E52" w14:textId="77777777" w:rsidR="004D0661" w:rsidRDefault="004D0661" w:rsidP="00923C4E">
      <w:pPr>
        <w:pStyle w:val="a0"/>
        <w:spacing w:before="308" w:line="312" w:lineRule="auto"/>
        <w:ind w:left="85"/>
        <w:jc w:val="both"/>
      </w:pPr>
      <w:r>
        <w:t>Huawei and Honor show no significant correlation with sales. And sales achieves highest point at moderate user shares (33% for Huawei and 16% for Honor).</w:t>
      </w:r>
    </w:p>
    <w:p w14:paraId="3686823C" w14:textId="62460DE7" w:rsidR="00953456" w:rsidRPr="004D0661" w:rsidRDefault="004D0661" w:rsidP="00923C4E">
      <w:pPr>
        <w:pStyle w:val="a0"/>
        <w:spacing w:before="308" w:line="312" w:lineRule="auto"/>
        <w:ind w:left="85"/>
        <w:jc w:val="both"/>
        <w:rPr>
          <w:rFonts w:eastAsiaTheme="minorEastAsia"/>
          <w:lang w:eastAsia="zh-CN"/>
        </w:rPr>
      </w:pPr>
      <w:r>
        <w:t>Xiaomi, OPPO, and Vivo generally exhibit a negative correlation pattern, where higher user shares often align with lower overall sales.</w:t>
      </w:r>
    </w:p>
    <w:p w14:paraId="48996137" w14:textId="299CEFEA" w:rsidR="004D0661" w:rsidRPr="004D0661" w:rsidRDefault="004D0661" w:rsidP="00923C4E">
      <w:pPr>
        <w:pStyle w:val="a0"/>
        <w:spacing w:before="308" w:line="312" w:lineRule="auto"/>
        <w:ind w:left="85"/>
        <w:rPr>
          <w:rFonts w:eastAsiaTheme="minorEastAsia"/>
          <w:lang w:eastAsia="zh-CN"/>
        </w:rPr>
      </w:pPr>
      <w:r w:rsidRPr="004D0661">
        <w:rPr>
          <w:rFonts w:eastAsiaTheme="minorEastAsia"/>
          <w:noProof/>
          <w:lang w:eastAsia="zh-CN"/>
        </w:rPr>
        <w:drawing>
          <wp:inline distT="0" distB="0" distL="0" distR="0" wp14:anchorId="63763342" wp14:editId="46A1007F">
            <wp:extent cx="5273040" cy="3497580"/>
            <wp:effectExtent l="0" t="0" r="3810" b="7620"/>
            <wp:docPr id="1669376834"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040" cy="3497580"/>
                    </a:xfrm>
                    <a:prstGeom prst="rect">
                      <a:avLst/>
                    </a:prstGeom>
                    <a:noFill/>
                    <a:ln>
                      <a:noFill/>
                    </a:ln>
                  </pic:spPr>
                </pic:pic>
              </a:graphicData>
            </a:graphic>
          </wp:inline>
        </w:drawing>
      </w:r>
    </w:p>
    <w:p w14:paraId="10FD7D1E" w14:textId="77777777" w:rsidR="004D0661" w:rsidRDefault="004D0661" w:rsidP="00923C4E">
      <w:pPr>
        <w:pStyle w:val="3"/>
        <w:ind w:right="0"/>
      </w:pPr>
      <w:r>
        <w:t>Summary of Key Findings</w:t>
      </w:r>
    </w:p>
    <w:p w14:paraId="26A56187" w14:textId="28F3514E" w:rsidR="004D0661" w:rsidRDefault="004D0661" w:rsidP="00923C4E">
      <w:pPr>
        <w:pStyle w:val="a0"/>
        <w:spacing w:before="308" w:line="312" w:lineRule="auto"/>
        <w:ind w:left="85"/>
        <w:jc w:val="both"/>
      </w:pPr>
      <w:r>
        <w:t>In conclusion, the analysis reveals that pop-up store performance is heavily driven by prime commercial locations and a robust appeal among male users and senior demographics (aged 50-64). For some stores, footwear and the "Li-Ning Glory" series provide a stable revenue base. And exponential growth of sales is most closely linked to a high concentration of Apple users and high-net-worth individuals. These findings suggest that future site selection and marketing should prioritize high-end commercial hubs that align with these high-value consumer profiles to maximize sales potential.</w:t>
      </w:r>
    </w:p>
    <w:p w14:paraId="1CB4867E" w14:textId="77777777" w:rsidR="00B61C1F" w:rsidRPr="00B61C1F" w:rsidRDefault="00B61C1F" w:rsidP="00923C4E">
      <w:pPr>
        <w:rPr>
          <w:rFonts w:ascii="Tahoma" w:eastAsiaTheme="minorEastAsia"/>
          <w:w w:val="280"/>
          <w:position w:val="-4"/>
          <w:sz w:val="54"/>
          <w:lang w:eastAsia="zh-CN"/>
        </w:rPr>
      </w:pPr>
    </w:p>
    <w:p w14:paraId="5D971537" w14:textId="77777777" w:rsidR="00B61C1F" w:rsidRPr="00B61C1F" w:rsidRDefault="00B61C1F" w:rsidP="00923C4E">
      <w:pPr>
        <w:rPr>
          <w:rFonts w:eastAsiaTheme="minorEastAsia"/>
          <w:sz w:val="24"/>
          <w:lang w:eastAsia="zh-CN"/>
        </w:rPr>
        <w:sectPr w:rsidR="00B61C1F" w:rsidRPr="00B61C1F" w:rsidSect="0086529A">
          <w:headerReference w:type="even" r:id="rId20"/>
          <w:headerReference w:type="default" r:id="rId21"/>
          <w:footerReference w:type="even" r:id="rId22"/>
          <w:footerReference w:type="default" r:id="rId23"/>
          <w:pgSz w:w="11910" w:h="16840"/>
          <w:pgMar w:top="1440" w:right="1080" w:bottom="1440" w:left="1080" w:header="0" w:footer="1134" w:gutter="0"/>
          <w:pgNumType w:start="1"/>
          <w:cols w:space="720"/>
          <w:docGrid w:linePitch="299"/>
        </w:sectPr>
      </w:pPr>
    </w:p>
    <w:p w14:paraId="23A4EB14" w14:textId="34ACB984" w:rsidR="004D0661" w:rsidRDefault="004D0661" w:rsidP="00923C4E">
      <w:pPr>
        <w:pStyle w:val="1"/>
      </w:pPr>
      <w:bookmarkStart w:id="18" w:name="_Toc229242116"/>
      <w:r w:rsidRPr="004D0661">
        <w:lastRenderedPageBreak/>
        <w:t>Series Allocation Modelling Methodology</w:t>
      </w:r>
      <w:bookmarkEnd w:id="18"/>
    </w:p>
    <w:p w14:paraId="3146E7A6" w14:textId="0F122ADE" w:rsidR="004D0661" w:rsidRDefault="004D0661" w:rsidP="00923C4E">
      <w:pPr>
        <w:pStyle w:val="2"/>
        <w:ind w:right="0"/>
        <w:rPr>
          <w:rFonts w:eastAsiaTheme="minorEastAsia"/>
          <w:lang w:eastAsia="zh-CN"/>
        </w:rPr>
      </w:pPr>
      <w:bookmarkStart w:id="19" w:name="_Toc229242117"/>
      <w:r w:rsidRPr="004D0661">
        <w:t>Introduction</w:t>
      </w:r>
      <w:bookmarkEnd w:id="19"/>
    </w:p>
    <w:p w14:paraId="4BA7AA22" w14:textId="7098E10F" w:rsidR="00A42DAB" w:rsidRPr="004D0661" w:rsidRDefault="004D0661" w:rsidP="00923C4E">
      <w:pPr>
        <w:pStyle w:val="a0"/>
        <w:spacing w:before="309" w:line="312" w:lineRule="auto"/>
        <w:ind w:left="311"/>
        <w:jc w:val="both"/>
        <w:rPr>
          <w:rFonts w:eastAsia="宋体"/>
        </w:rPr>
      </w:pPr>
      <w:r w:rsidRPr="004D0661">
        <w:rPr>
          <w:rFonts w:eastAsia="宋体"/>
        </w:rPr>
        <w:t>In this section, we used a Multinomial Logit (MNL) model to predict product assortment for commercial complexes which are planning to launch pop-up stores in new cities. The model takes 15 pop-up stores’ historical sales data and customer profile as training inputs. After training, the model is applied to all commercial complexes nationwide to predict two key outputs: (1) the customer segments of each commercial complex; and (2) the recommended sales share for each Li Ning product series based on that customer segment. When launching pop-up stores in new cities, the model supports to predict the optimal inventory proportion for each Li Ning series (“</w:t>
      </w:r>
      <w:r w:rsidRPr="004D0661">
        <w:rPr>
          <w:rFonts w:eastAsia="宋体" w:cs="宋体" w:hint="eastAsia"/>
        </w:rPr>
        <w:t>李宁荣耀系列</w:t>
      </w:r>
      <w:r w:rsidRPr="004D0661">
        <w:rPr>
          <w:rFonts w:eastAsia="宋体"/>
        </w:rPr>
        <w:t>”, “</w:t>
      </w:r>
      <w:r w:rsidRPr="004D0661">
        <w:rPr>
          <w:rFonts w:eastAsia="宋体" w:cs="宋体" w:hint="eastAsia"/>
        </w:rPr>
        <w:t>李宁荣耀金标系列</w:t>
      </w:r>
      <w:r w:rsidRPr="004D0661">
        <w:rPr>
          <w:rFonts w:eastAsia="宋体"/>
        </w:rPr>
        <w:t>”, “</w:t>
      </w:r>
      <w:r w:rsidRPr="004D0661">
        <w:rPr>
          <w:rFonts w:eastAsia="宋体" w:cs="宋体" w:hint="eastAsia"/>
        </w:rPr>
        <w:t>国家队系列</w:t>
      </w:r>
      <w:r w:rsidRPr="004D0661">
        <w:rPr>
          <w:rFonts w:eastAsia="宋体"/>
        </w:rPr>
        <w:t>”, “</w:t>
      </w:r>
      <w:r w:rsidRPr="004D0661">
        <w:rPr>
          <w:rFonts w:eastAsia="宋体" w:cs="宋体" w:hint="eastAsia"/>
        </w:rPr>
        <w:t>其他系列</w:t>
      </w:r>
      <w:r w:rsidRPr="004D0661">
        <w:rPr>
          <w:rFonts w:eastAsia="宋体"/>
        </w:rPr>
        <w:t>”).</w:t>
      </w:r>
    </w:p>
    <w:p w14:paraId="66F4A0DA" w14:textId="7DA34DDF" w:rsidR="009A0888" w:rsidRDefault="009A0888" w:rsidP="00923C4E">
      <w:pPr>
        <w:pStyle w:val="2"/>
        <w:ind w:right="0"/>
        <w:rPr>
          <w:rFonts w:eastAsiaTheme="minorEastAsia"/>
          <w:lang w:eastAsia="zh-CN"/>
        </w:rPr>
      </w:pPr>
      <w:bookmarkStart w:id="20" w:name="_Toc229242118"/>
      <w:r w:rsidRPr="009A0888">
        <w:t>Cluster Analysis Based on 15 Pop-Up Stores</w:t>
      </w:r>
      <w:bookmarkEnd w:id="20"/>
    </w:p>
    <w:tbl>
      <w:tblPr>
        <w:tblpPr w:leftFromText="180" w:rightFromText="180" w:vertAnchor="text" w:horzAnchor="margin" w:tblpXSpec="center" w:tblpY="1900"/>
        <w:tblW w:w="0" w:type="auto"/>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985"/>
        <w:gridCol w:w="5310"/>
      </w:tblGrid>
      <w:tr w:rsidR="00DA6E81" w:rsidRPr="00377107" w14:paraId="18C29A88" w14:textId="77777777" w:rsidTr="00A83861">
        <w:trPr>
          <w:trHeight w:val="405"/>
        </w:trPr>
        <w:tc>
          <w:tcPr>
            <w:tcW w:w="2985" w:type="dxa"/>
            <w:shd w:val="clear" w:color="auto" w:fill="C00000"/>
            <w:tcMar>
              <w:top w:w="0" w:type="dxa"/>
              <w:left w:w="108" w:type="dxa"/>
              <w:bottom w:w="0" w:type="dxa"/>
              <w:right w:w="108" w:type="dxa"/>
            </w:tcMar>
            <w:vAlign w:val="center"/>
            <w:hideMark/>
          </w:tcPr>
          <w:p w14:paraId="153AB084" w14:textId="77777777" w:rsidR="00DA6E81" w:rsidRPr="00377107" w:rsidRDefault="00DA6E81" w:rsidP="00A83861">
            <w:pPr>
              <w:widowControl/>
              <w:autoSpaceDE/>
              <w:autoSpaceDN/>
              <w:jc w:val="center"/>
              <w:rPr>
                <w:rFonts w:eastAsia="宋体"/>
                <w:b/>
                <w:bCs/>
                <w:sz w:val="24"/>
                <w:szCs w:val="24"/>
                <w:lang w:eastAsia="zh-CN"/>
              </w:rPr>
            </w:pPr>
            <w:r w:rsidRPr="00377107">
              <w:rPr>
                <w:rFonts w:eastAsia="宋体"/>
                <w:b/>
                <w:bCs/>
                <w:color w:val="000000"/>
                <w:sz w:val="24"/>
                <w:szCs w:val="24"/>
                <w:lang w:eastAsia="zh-CN"/>
              </w:rPr>
              <w:t>Indicator</w:t>
            </w:r>
          </w:p>
        </w:tc>
        <w:tc>
          <w:tcPr>
            <w:tcW w:w="5310" w:type="dxa"/>
            <w:shd w:val="clear" w:color="auto" w:fill="C00000"/>
            <w:tcMar>
              <w:top w:w="0" w:type="dxa"/>
              <w:left w:w="108" w:type="dxa"/>
              <w:bottom w:w="0" w:type="dxa"/>
              <w:right w:w="108" w:type="dxa"/>
            </w:tcMar>
            <w:vAlign w:val="center"/>
            <w:hideMark/>
          </w:tcPr>
          <w:p w14:paraId="079275EC" w14:textId="77777777" w:rsidR="00DA6E81" w:rsidRPr="00377107" w:rsidRDefault="00DA6E81" w:rsidP="00A83861">
            <w:pPr>
              <w:widowControl/>
              <w:autoSpaceDE/>
              <w:autoSpaceDN/>
              <w:jc w:val="center"/>
              <w:rPr>
                <w:rFonts w:eastAsia="宋体"/>
                <w:b/>
                <w:bCs/>
                <w:sz w:val="24"/>
                <w:szCs w:val="24"/>
                <w:lang w:eastAsia="zh-CN"/>
              </w:rPr>
            </w:pPr>
            <w:r w:rsidRPr="00377107">
              <w:rPr>
                <w:rFonts w:eastAsia="宋体"/>
                <w:b/>
                <w:bCs/>
                <w:color w:val="000000"/>
                <w:sz w:val="24"/>
                <w:szCs w:val="24"/>
                <w:lang w:eastAsia="zh-CN"/>
              </w:rPr>
              <w:t>Description</w:t>
            </w:r>
          </w:p>
        </w:tc>
      </w:tr>
      <w:tr w:rsidR="00DA6E81" w:rsidRPr="007C4F3E" w14:paraId="4CCD0D29" w14:textId="77777777" w:rsidTr="00A83861">
        <w:trPr>
          <w:trHeight w:val="405"/>
        </w:trPr>
        <w:tc>
          <w:tcPr>
            <w:tcW w:w="2985" w:type="dxa"/>
            <w:tcMar>
              <w:top w:w="0" w:type="dxa"/>
              <w:left w:w="108" w:type="dxa"/>
              <w:bottom w:w="0" w:type="dxa"/>
              <w:right w:w="108" w:type="dxa"/>
            </w:tcMar>
            <w:vAlign w:val="center"/>
            <w:hideMark/>
          </w:tcPr>
          <w:p w14:paraId="7CAF04EE"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Young Ratio</w:t>
            </w:r>
          </w:p>
        </w:tc>
        <w:tc>
          <w:tcPr>
            <w:tcW w:w="5310" w:type="dxa"/>
            <w:tcMar>
              <w:top w:w="0" w:type="dxa"/>
              <w:left w:w="108" w:type="dxa"/>
              <w:bottom w:w="0" w:type="dxa"/>
              <w:right w:w="108" w:type="dxa"/>
            </w:tcMar>
            <w:vAlign w:val="center"/>
            <w:hideMark/>
          </w:tcPr>
          <w:p w14:paraId="615D2122"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Proportion of customers aged 19-29</w:t>
            </w:r>
          </w:p>
        </w:tc>
      </w:tr>
      <w:tr w:rsidR="00DA6E81" w:rsidRPr="007C4F3E" w14:paraId="09AC80BE" w14:textId="77777777" w:rsidTr="00A83861">
        <w:trPr>
          <w:trHeight w:val="405"/>
        </w:trPr>
        <w:tc>
          <w:tcPr>
            <w:tcW w:w="2985" w:type="dxa"/>
            <w:tcMar>
              <w:top w:w="0" w:type="dxa"/>
              <w:left w:w="108" w:type="dxa"/>
              <w:bottom w:w="0" w:type="dxa"/>
              <w:right w:w="108" w:type="dxa"/>
            </w:tcMar>
            <w:vAlign w:val="center"/>
            <w:hideMark/>
          </w:tcPr>
          <w:p w14:paraId="717EC8BD"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Female Ratio</w:t>
            </w:r>
          </w:p>
        </w:tc>
        <w:tc>
          <w:tcPr>
            <w:tcW w:w="5310" w:type="dxa"/>
            <w:tcMar>
              <w:top w:w="0" w:type="dxa"/>
              <w:left w:w="108" w:type="dxa"/>
              <w:bottom w:w="0" w:type="dxa"/>
              <w:right w:w="108" w:type="dxa"/>
            </w:tcMar>
            <w:vAlign w:val="center"/>
            <w:hideMark/>
          </w:tcPr>
          <w:p w14:paraId="27E7FB9D"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Proportion of female</w:t>
            </w:r>
          </w:p>
        </w:tc>
      </w:tr>
      <w:tr w:rsidR="00DA6E81" w:rsidRPr="007C4F3E" w14:paraId="525BC204" w14:textId="77777777" w:rsidTr="00A83861">
        <w:trPr>
          <w:trHeight w:val="405"/>
        </w:trPr>
        <w:tc>
          <w:tcPr>
            <w:tcW w:w="2985" w:type="dxa"/>
            <w:tcMar>
              <w:top w:w="0" w:type="dxa"/>
              <w:left w:w="108" w:type="dxa"/>
              <w:bottom w:w="0" w:type="dxa"/>
              <w:right w:w="108" w:type="dxa"/>
            </w:tcMar>
            <w:vAlign w:val="center"/>
            <w:hideMark/>
          </w:tcPr>
          <w:p w14:paraId="39D3B02C"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High Purchasing Power</w:t>
            </w:r>
          </w:p>
        </w:tc>
        <w:tc>
          <w:tcPr>
            <w:tcW w:w="5310" w:type="dxa"/>
            <w:tcMar>
              <w:top w:w="0" w:type="dxa"/>
              <w:left w:w="108" w:type="dxa"/>
              <w:bottom w:w="0" w:type="dxa"/>
              <w:right w:w="108" w:type="dxa"/>
            </w:tcMar>
            <w:vAlign w:val="center"/>
            <w:hideMark/>
          </w:tcPr>
          <w:p w14:paraId="091A55D7"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Proportion of customers classified as “super-rich”, “rich”, or “middle-class”</w:t>
            </w:r>
          </w:p>
        </w:tc>
      </w:tr>
      <w:tr w:rsidR="00DA6E81" w:rsidRPr="007C4F3E" w14:paraId="739375EB" w14:textId="77777777" w:rsidTr="00A83861">
        <w:trPr>
          <w:trHeight w:val="405"/>
        </w:trPr>
        <w:tc>
          <w:tcPr>
            <w:tcW w:w="2985" w:type="dxa"/>
            <w:tcMar>
              <w:top w:w="0" w:type="dxa"/>
              <w:left w:w="108" w:type="dxa"/>
              <w:bottom w:w="0" w:type="dxa"/>
              <w:right w:w="108" w:type="dxa"/>
            </w:tcMar>
            <w:vAlign w:val="center"/>
            <w:hideMark/>
          </w:tcPr>
          <w:p w14:paraId="252EF40A"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Working Population (3km)</w:t>
            </w:r>
          </w:p>
        </w:tc>
        <w:tc>
          <w:tcPr>
            <w:tcW w:w="5310" w:type="dxa"/>
            <w:tcMar>
              <w:top w:w="0" w:type="dxa"/>
              <w:left w:w="108" w:type="dxa"/>
              <w:bottom w:w="0" w:type="dxa"/>
              <w:right w:w="108" w:type="dxa"/>
            </w:tcMar>
            <w:vAlign w:val="center"/>
            <w:hideMark/>
          </w:tcPr>
          <w:p w14:paraId="1554DC48"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Working population within 3km of the mall</w:t>
            </w:r>
          </w:p>
        </w:tc>
      </w:tr>
      <w:tr w:rsidR="00DA6E81" w:rsidRPr="007C4F3E" w14:paraId="1E0F1157" w14:textId="77777777" w:rsidTr="00A83861">
        <w:trPr>
          <w:trHeight w:val="1550"/>
        </w:trPr>
        <w:tc>
          <w:tcPr>
            <w:tcW w:w="2985" w:type="dxa"/>
            <w:tcMar>
              <w:top w:w="0" w:type="dxa"/>
              <w:left w:w="108" w:type="dxa"/>
              <w:bottom w:w="0" w:type="dxa"/>
              <w:right w:w="108" w:type="dxa"/>
            </w:tcMar>
            <w:vAlign w:val="center"/>
            <w:hideMark/>
          </w:tcPr>
          <w:p w14:paraId="7B1FA850"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Province Score</w:t>
            </w:r>
          </w:p>
        </w:tc>
        <w:tc>
          <w:tcPr>
            <w:tcW w:w="5310" w:type="dxa"/>
            <w:tcMar>
              <w:top w:w="0" w:type="dxa"/>
              <w:left w:w="108" w:type="dxa"/>
              <w:bottom w:w="0" w:type="dxa"/>
              <w:right w:w="108" w:type="dxa"/>
            </w:tcMar>
            <w:vAlign w:val="center"/>
            <w:hideMark/>
          </w:tcPr>
          <w:p w14:paraId="0888ED4B"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Tier-1 cities = 4;</w:t>
            </w:r>
          </w:p>
          <w:p w14:paraId="0803FCD7"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Tier-2 cities = 3;</w:t>
            </w:r>
          </w:p>
          <w:p w14:paraId="1C076620"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Tier-3 cities = 2;</w:t>
            </w:r>
          </w:p>
          <w:p w14:paraId="62E59EEF" w14:textId="77777777" w:rsidR="00DA6E81" w:rsidRPr="007C4F3E" w:rsidRDefault="00DA6E81" w:rsidP="00A83861">
            <w:pPr>
              <w:widowControl/>
              <w:autoSpaceDE/>
              <w:autoSpaceDN/>
              <w:jc w:val="center"/>
              <w:rPr>
                <w:rFonts w:eastAsia="宋体"/>
                <w:sz w:val="24"/>
                <w:szCs w:val="24"/>
                <w:lang w:eastAsia="zh-CN"/>
              </w:rPr>
            </w:pPr>
            <w:r w:rsidRPr="007C4F3E">
              <w:rPr>
                <w:rFonts w:eastAsia="宋体"/>
                <w:color w:val="000000"/>
                <w:sz w:val="24"/>
                <w:szCs w:val="24"/>
                <w:lang w:eastAsia="zh-CN"/>
              </w:rPr>
              <w:t>Tier-4 cities = 1</w:t>
            </w:r>
          </w:p>
        </w:tc>
      </w:tr>
    </w:tbl>
    <w:p w14:paraId="050CF8F1" w14:textId="7811B658" w:rsidR="009A0888" w:rsidRDefault="007C4F3E" w:rsidP="00923C4E">
      <w:pPr>
        <w:pStyle w:val="a0"/>
        <w:spacing w:after="309" w:line="312" w:lineRule="auto"/>
        <w:ind w:left="312"/>
        <w:jc w:val="both"/>
        <w:rPr>
          <w:rFonts w:eastAsia="宋体"/>
        </w:rPr>
      </w:pPr>
      <w:r w:rsidRPr="007C4F3E">
        <w:rPr>
          <w:rFonts w:eastAsia="宋体"/>
        </w:rPr>
        <w:t>The three customer segments were generated from K-Means clustering analysis of the 15 pop-up stores. The clustering is based on five customer profile indicators. The algorithm automatically grouped the 15 stores into three clusters based on the similarity of these indicators. After clustering, we examined the characteristics of each cluster to define the customer segment types.</w:t>
      </w:r>
    </w:p>
    <w:p w14:paraId="10880EDA" w14:textId="5635248A" w:rsidR="00C54824" w:rsidRDefault="00C54824" w:rsidP="00923C4E">
      <w:pPr>
        <w:pStyle w:val="2"/>
        <w:ind w:right="0"/>
        <w:rPr>
          <w:rFonts w:eastAsiaTheme="minorEastAsia"/>
          <w:lang w:eastAsia="zh-CN"/>
        </w:rPr>
      </w:pPr>
      <w:bookmarkStart w:id="21" w:name="_Toc229242119"/>
      <w:r w:rsidRPr="00C54824">
        <w:t>Customer segments detail for each cluster:</w:t>
      </w:r>
      <w:bookmarkEnd w:id="21"/>
    </w:p>
    <w:p w14:paraId="46C18A4C" w14:textId="77777777" w:rsidR="00C54824" w:rsidRPr="00C54824" w:rsidRDefault="00C54824" w:rsidP="00923C4E">
      <w:pPr>
        <w:pStyle w:val="a0"/>
        <w:spacing w:before="309" w:line="312" w:lineRule="auto"/>
        <w:ind w:left="311"/>
        <w:jc w:val="both"/>
        <w:rPr>
          <w:rFonts w:eastAsia="宋体"/>
        </w:rPr>
      </w:pPr>
      <w:r w:rsidRPr="00C54824">
        <w:rPr>
          <w:rFonts w:eastAsia="宋体" w:hint="eastAsia"/>
        </w:rPr>
        <w:t>“一线城市标杆店”</w:t>
      </w:r>
      <w:r w:rsidRPr="00C54824">
        <w:rPr>
          <w:rFonts w:eastAsia="宋体"/>
        </w:rPr>
        <w:t>: High working population and high province score</w:t>
      </w:r>
    </w:p>
    <w:p w14:paraId="09E3520A" w14:textId="77777777" w:rsidR="00C54824" w:rsidRPr="00C54824" w:rsidRDefault="00C54824" w:rsidP="00923C4E">
      <w:pPr>
        <w:pStyle w:val="a0"/>
        <w:spacing w:before="309" w:line="312" w:lineRule="auto"/>
        <w:ind w:left="311"/>
        <w:jc w:val="both"/>
        <w:rPr>
          <w:rFonts w:eastAsia="宋体"/>
        </w:rPr>
      </w:pPr>
      <w:r w:rsidRPr="00C54824">
        <w:rPr>
          <w:rFonts w:eastAsia="宋体" w:hint="eastAsia"/>
        </w:rPr>
        <w:t>“女性高潜力店”</w:t>
      </w:r>
      <w:r w:rsidRPr="00C54824">
        <w:rPr>
          <w:rFonts w:eastAsia="宋体"/>
        </w:rPr>
        <w:t>: High female ratio and high purchasing power</w:t>
      </w:r>
    </w:p>
    <w:p w14:paraId="4EAE8588" w14:textId="51635ABD" w:rsidR="00C54824" w:rsidRPr="004D0661" w:rsidRDefault="00C54824" w:rsidP="00923C4E">
      <w:pPr>
        <w:pStyle w:val="a0"/>
        <w:spacing w:before="309" w:line="312" w:lineRule="auto"/>
        <w:ind w:left="311"/>
        <w:jc w:val="both"/>
        <w:rPr>
          <w:rFonts w:eastAsia="宋体"/>
        </w:rPr>
      </w:pPr>
      <w:r w:rsidRPr="00C54824">
        <w:rPr>
          <w:rFonts w:eastAsia="宋体" w:hint="eastAsia"/>
        </w:rPr>
        <w:lastRenderedPageBreak/>
        <w:t>“年轻潮流主力店”</w:t>
      </w:r>
      <w:r w:rsidRPr="00C54824">
        <w:rPr>
          <w:rFonts w:eastAsia="宋体"/>
        </w:rPr>
        <w:t>: High young ratio</w:t>
      </w:r>
    </w:p>
    <w:p w14:paraId="4208BDFB" w14:textId="3CB5A975" w:rsidR="00C54824" w:rsidRDefault="00C54824" w:rsidP="00923C4E">
      <w:pPr>
        <w:pStyle w:val="2"/>
        <w:ind w:right="0"/>
        <w:rPr>
          <w:rFonts w:eastAsiaTheme="minorEastAsia"/>
          <w:lang w:eastAsia="zh-CN"/>
        </w:rPr>
      </w:pPr>
      <w:bookmarkStart w:id="22" w:name="_Toc229242120"/>
      <w:r w:rsidRPr="00C54824">
        <w:t>Data Preparation</w:t>
      </w:r>
      <w:bookmarkEnd w:id="22"/>
    </w:p>
    <w:p w14:paraId="1D4C829D" w14:textId="77777777" w:rsidR="00C54824" w:rsidRPr="00C54824" w:rsidRDefault="00C54824" w:rsidP="00923C4E">
      <w:pPr>
        <w:pStyle w:val="a0"/>
        <w:spacing w:before="309" w:line="312" w:lineRule="auto"/>
        <w:ind w:left="311"/>
        <w:jc w:val="both"/>
        <w:rPr>
          <w:rFonts w:eastAsia="宋体"/>
        </w:rPr>
      </w:pPr>
      <w:r w:rsidRPr="00C54824">
        <w:rPr>
          <w:rFonts w:eastAsia="宋体"/>
        </w:rPr>
        <w:t>Before training the model, we first computed sales proportion for each of the 15 pop-up stores across four Li Ning series. We also calculated the average sales share for each customer segment based on the 15 stores’ real sales data.</w:t>
      </w:r>
    </w:p>
    <w:p w14:paraId="646D14EE" w14:textId="1B4E7291" w:rsidR="00C54824" w:rsidRPr="00C54824" w:rsidRDefault="00C54824" w:rsidP="00923C4E">
      <w:pPr>
        <w:pStyle w:val="a0"/>
        <w:spacing w:before="309" w:line="312" w:lineRule="auto"/>
        <w:ind w:left="311"/>
        <w:jc w:val="both"/>
        <w:rPr>
          <w:rFonts w:eastAsia="宋体"/>
        </w:rPr>
      </w:pPr>
      <w:r w:rsidRPr="00C54824">
        <w:rPr>
          <w:rFonts w:eastAsia="宋体"/>
        </w:rPr>
        <w:t>All records with product hierarchy “</w:t>
      </w:r>
      <w:r w:rsidRPr="00C54824">
        <w:rPr>
          <w:rFonts w:eastAsia="宋体" w:hint="eastAsia"/>
        </w:rPr>
        <w:t>推广类”</w:t>
      </w:r>
      <w:r w:rsidRPr="00C54824">
        <w:rPr>
          <w:rFonts w:eastAsia="宋体"/>
        </w:rPr>
        <w:t xml:space="preserve"> (promotional items/gifts). These are complementary gifts bundled with sales and should not be counted towards actual product sales. Removing them ensures our series share calculations reflect the actual customer purchases.</w:t>
      </w:r>
    </w:p>
    <w:p w14:paraId="04F9DFC8" w14:textId="4384999F" w:rsidR="00C54824" w:rsidRPr="00C54824" w:rsidRDefault="00C54824" w:rsidP="00923C4E">
      <w:pPr>
        <w:pStyle w:val="a0"/>
        <w:spacing w:after="309" w:line="312" w:lineRule="auto"/>
        <w:ind w:left="312"/>
        <w:rPr>
          <w:rFonts w:eastAsia="宋体"/>
          <w:lang w:eastAsia="zh-CN"/>
        </w:rPr>
      </w:pPr>
      <w:r w:rsidRPr="00C54824">
        <w:rPr>
          <w:rFonts w:eastAsia="宋体"/>
          <w:noProof/>
          <w:lang w:eastAsia="zh-CN"/>
        </w:rPr>
        <w:drawing>
          <wp:inline distT="0" distB="0" distL="0" distR="0" wp14:anchorId="21D50A53" wp14:editId="267722F3">
            <wp:extent cx="5273040" cy="1859280"/>
            <wp:effectExtent l="0" t="0" r="3810" b="7620"/>
            <wp:docPr id="97958532"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040" cy="1859280"/>
                    </a:xfrm>
                    <a:prstGeom prst="rect">
                      <a:avLst/>
                    </a:prstGeom>
                    <a:noFill/>
                    <a:ln>
                      <a:noFill/>
                    </a:ln>
                  </pic:spPr>
                </pic:pic>
              </a:graphicData>
            </a:graphic>
          </wp:inline>
        </w:drawing>
      </w:r>
    </w:p>
    <w:p w14:paraId="61ACB064" w14:textId="02EF6101" w:rsidR="00C54824" w:rsidRPr="00C54824" w:rsidRDefault="00C54824" w:rsidP="00923C4E">
      <w:pPr>
        <w:pStyle w:val="a0"/>
        <w:spacing w:before="309" w:line="312" w:lineRule="auto"/>
        <w:ind w:left="311"/>
        <w:jc w:val="both"/>
        <w:rPr>
          <w:rFonts w:eastAsia="宋体"/>
          <w:lang w:eastAsia="zh-CN"/>
        </w:rPr>
      </w:pPr>
      <w:r w:rsidRPr="00C54824">
        <w:rPr>
          <w:rFonts w:eastAsia="宋体"/>
        </w:rPr>
        <w:t>Data standardization was then applied to transform different-scale features to the same scale. This step is necessary because different features have different value ranges. The most obvious example is the young ratio against the working population. The young ratio ranges from 0.5 to 0.7, while the working population (3km) ranges from 100,000 to 900,000. Without standardization, the working population feature would dominate the model due to its larger numerical scale. After standardization, each feature has “mean = 0” and “standard deviation = 1”. All features now have equal weights in the model</w:t>
      </w:r>
      <w:r>
        <w:rPr>
          <w:rFonts w:eastAsia="宋体" w:hint="eastAsia"/>
          <w:lang w:eastAsia="zh-CN"/>
        </w:rPr>
        <w:t>.</w:t>
      </w:r>
    </w:p>
    <w:p w14:paraId="40DEA15D" w14:textId="2B006428" w:rsidR="00C54824" w:rsidRDefault="00C54824" w:rsidP="00923C4E">
      <w:pPr>
        <w:pStyle w:val="2"/>
        <w:ind w:right="0"/>
        <w:rPr>
          <w:rFonts w:eastAsiaTheme="minorEastAsia"/>
          <w:lang w:eastAsia="zh-CN"/>
        </w:rPr>
      </w:pPr>
      <w:bookmarkStart w:id="23" w:name="_Toc229242121"/>
      <w:r w:rsidRPr="00C54824">
        <w:t>Train MNL Model</w:t>
      </w:r>
      <w:bookmarkEnd w:id="23"/>
    </w:p>
    <w:p w14:paraId="5CB6D033" w14:textId="77777777" w:rsidR="00C54824" w:rsidRPr="00C54824" w:rsidRDefault="00C54824" w:rsidP="00923C4E">
      <w:pPr>
        <w:pStyle w:val="a0"/>
        <w:spacing w:before="309" w:line="312" w:lineRule="auto"/>
        <w:ind w:left="311"/>
        <w:jc w:val="both"/>
        <w:rPr>
          <w:rFonts w:eastAsia="宋体"/>
        </w:rPr>
      </w:pPr>
      <w:r w:rsidRPr="00C54824">
        <w:rPr>
          <w:rFonts w:eastAsia="宋体"/>
        </w:rPr>
        <w:t xml:space="preserve">The next step is to train a Multinomial Logistic Regression (MNL) model for multi-class classification. The input features are the five consumer profile indicators from the 15 pop-up stores, and then model gives the customer segments as the outputs. </w:t>
      </w:r>
    </w:p>
    <w:p w14:paraId="5A7BA17B" w14:textId="67FF7680" w:rsidR="00C54824" w:rsidRPr="00C54824" w:rsidRDefault="00C54824" w:rsidP="00923C4E">
      <w:pPr>
        <w:pStyle w:val="a0"/>
        <w:spacing w:before="309" w:line="312" w:lineRule="auto"/>
        <w:ind w:left="311"/>
        <w:jc w:val="both"/>
        <w:rPr>
          <w:rFonts w:eastAsia="宋体"/>
        </w:rPr>
      </w:pPr>
      <w:r w:rsidRPr="00C54824">
        <w:rPr>
          <w:rFonts w:eastAsia="宋体"/>
        </w:rPr>
        <w:t>The MNL model calculates the probability of each commercial complex belonging to each customer group type using the formula:</w:t>
      </w:r>
    </w:p>
    <w:p w14:paraId="6571267E" w14:textId="5E87830B" w:rsidR="00C54824" w:rsidRDefault="00C54824" w:rsidP="00923C4E">
      <w:pPr>
        <w:pStyle w:val="a0"/>
        <w:spacing w:after="309" w:line="312" w:lineRule="auto"/>
        <w:ind w:left="312"/>
        <w:jc w:val="center"/>
        <w:rPr>
          <w:rFonts w:eastAsia="宋体"/>
          <w:lang w:eastAsia="zh-CN"/>
        </w:rPr>
      </w:pPr>
      <w:r w:rsidRPr="00C54824">
        <w:rPr>
          <w:rFonts w:eastAsia="宋体"/>
          <w:noProof/>
          <w:lang w:eastAsia="zh-CN"/>
        </w:rPr>
        <w:lastRenderedPageBreak/>
        <w:drawing>
          <wp:inline distT="0" distB="0" distL="0" distR="0" wp14:anchorId="0FBB2F0A" wp14:editId="5B47EF25">
            <wp:extent cx="3101340" cy="917205"/>
            <wp:effectExtent l="0" t="0" r="3810" b="0"/>
            <wp:docPr id="98908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7146" name=""/>
                    <pic:cNvPicPr/>
                  </pic:nvPicPr>
                  <pic:blipFill>
                    <a:blip r:embed="rId25"/>
                    <a:stretch>
                      <a:fillRect/>
                    </a:stretch>
                  </pic:blipFill>
                  <pic:spPr>
                    <a:xfrm>
                      <a:off x="0" y="0"/>
                      <a:ext cx="3111507" cy="920212"/>
                    </a:xfrm>
                    <a:prstGeom prst="rect">
                      <a:avLst/>
                    </a:prstGeom>
                  </pic:spPr>
                </pic:pic>
              </a:graphicData>
            </a:graphic>
          </wp:inline>
        </w:drawing>
      </w:r>
    </w:p>
    <w:p w14:paraId="4A46BED1" w14:textId="7C83F244" w:rsidR="00C54824" w:rsidRDefault="00C54824" w:rsidP="00923C4E">
      <w:pPr>
        <w:pStyle w:val="a0"/>
        <w:spacing w:before="309" w:line="312" w:lineRule="auto"/>
        <w:ind w:left="311"/>
        <w:jc w:val="both"/>
        <w:rPr>
          <w:rFonts w:eastAsia="宋体"/>
        </w:rPr>
      </w:pPr>
      <w:r w:rsidRPr="00C54824">
        <w:rPr>
          <w:rFonts w:eastAsia="宋体"/>
        </w:rPr>
        <w:t xml:space="preserve">X represents the five input features and βj are the coefficients learned by the model for category k. The model selects the customer segment with the highest probability as the prediction result. </w:t>
      </w:r>
    </w:p>
    <w:p w14:paraId="6C156FC5" w14:textId="3BF8D198" w:rsidR="00C54824" w:rsidRDefault="00596C04" w:rsidP="00923C4E">
      <w:pPr>
        <w:pStyle w:val="2"/>
        <w:ind w:right="0"/>
        <w:rPr>
          <w:rFonts w:eastAsiaTheme="minorEastAsia"/>
          <w:lang w:eastAsia="zh-CN"/>
        </w:rPr>
      </w:pPr>
      <w:bookmarkStart w:id="24" w:name="_Toc229242122"/>
      <w:r w:rsidRPr="00596C04">
        <w:t>Apply Model to All Commercial Complexes</w:t>
      </w:r>
      <w:bookmarkEnd w:id="24"/>
    </w:p>
    <w:p w14:paraId="7A64CC85" w14:textId="77777777" w:rsidR="00596C04" w:rsidRPr="00596C04" w:rsidRDefault="00596C04" w:rsidP="00923C4E">
      <w:pPr>
        <w:pStyle w:val="a0"/>
        <w:spacing w:before="309" w:line="312" w:lineRule="auto"/>
        <w:ind w:left="311"/>
        <w:jc w:val="both"/>
        <w:rPr>
          <w:rFonts w:eastAsia="宋体"/>
        </w:rPr>
      </w:pPr>
      <w:r w:rsidRPr="00596C04">
        <w:rPr>
          <w:rFonts w:eastAsia="宋体"/>
        </w:rPr>
        <w:t>After training, we applied the MNL model to all 1,033 commercial complexes nationwide. Below are the detailed steps for each complex:</w:t>
      </w:r>
    </w:p>
    <w:p w14:paraId="0806F8D7" w14:textId="77777777" w:rsidR="00596C04" w:rsidRPr="00596C04" w:rsidRDefault="00596C04" w:rsidP="00923C4E">
      <w:pPr>
        <w:pStyle w:val="a0"/>
        <w:spacing w:before="309" w:line="312" w:lineRule="auto"/>
        <w:ind w:left="311"/>
        <w:jc w:val="both"/>
        <w:rPr>
          <w:rFonts w:eastAsia="宋体"/>
        </w:rPr>
      </w:pPr>
      <w:r w:rsidRPr="00596C04">
        <w:rPr>
          <w:rFonts w:eastAsia="宋体"/>
        </w:rPr>
        <w:t>1.Input five consumer profile features</w:t>
      </w:r>
    </w:p>
    <w:p w14:paraId="0E850096" w14:textId="77777777" w:rsidR="00596C04" w:rsidRPr="00596C04" w:rsidRDefault="00596C04" w:rsidP="00923C4E">
      <w:pPr>
        <w:pStyle w:val="a0"/>
        <w:spacing w:before="309" w:line="312" w:lineRule="auto"/>
        <w:ind w:left="311"/>
        <w:jc w:val="both"/>
        <w:rPr>
          <w:rFonts w:eastAsia="宋体"/>
        </w:rPr>
      </w:pPr>
      <w:r w:rsidRPr="00596C04">
        <w:rPr>
          <w:rFonts w:eastAsia="宋体"/>
        </w:rPr>
        <w:t>2.Predict customer segment using the trained MNL model</w:t>
      </w:r>
    </w:p>
    <w:p w14:paraId="1F7441FA" w14:textId="77777777" w:rsidR="00596C04" w:rsidRPr="00596C04" w:rsidRDefault="00596C04" w:rsidP="00923C4E">
      <w:pPr>
        <w:pStyle w:val="a0"/>
        <w:spacing w:before="309" w:line="312" w:lineRule="auto"/>
        <w:ind w:left="311"/>
        <w:jc w:val="both"/>
        <w:rPr>
          <w:rFonts w:eastAsia="宋体"/>
        </w:rPr>
      </w:pPr>
      <w:r w:rsidRPr="00596C04">
        <w:rPr>
          <w:rFonts w:eastAsia="宋体"/>
        </w:rPr>
        <w:t>3.Assign product assortment recommendations based on the average series sales share of that customer segment from the 15 pop-up stores</w:t>
      </w:r>
    </w:p>
    <w:p w14:paraId="0D6DD8FF" w14:textId="716D3DC3" w:rsidR="00596C04" w:rsidRPr="00C54824" w:rsidRDefault="00596C04" w:rsidP="00923C4E">
      <w:pPr>
        <w:pStyle w:val="a0"/>
        <w:spacing w:before="309" w:line="312" w:lineRule="auto"/>
        <w:ind w:left="311"/>
        <w:jc w:val="both"/>
        <w:rPr>
          <w:rFonts w:eastAsia="宋体"/>
          <w:lang w:eastAsia="zh-CN"/>
        </w:rPr>
      </w:pPr>
      <w:r w:rsidRPr="00596C04">
        <w:rPr>
          <w:rFonts w:eastAsia="宋体"/>
        </w:rPr>
        <w:t xml:space="preserve">Malls with incomplete feature data were removed to avoid errors. The prediction data was also standardized using the same scale fitted on the training data to ensure training and prediction data are on the same scale. </w:t>
      </w:r>
    </w:p>
    <w:p w14:paraId="131226DA" w14:textId="671BE4EF" w:rsidR="00596C04" w:rsidRPr="00596C04" w:rsidRDefault="00596C04" w:rsidP="00923C4E">
      <w:pPr>
        <w:pStyle w:val="2"/>
        <w:ind w:right="0"/>
      </w:pPr>
      <w:bookmarkStart w:id="25" w:name="_Toc229242123"/>
      <w:r w:rsidRPr="00596C04">
        <w:t>Product Mix Recommendations</w:t>
      </w:r>
      <w:bookmarkEnd w:id="25"/>
    </w:p>
    <w:p w14:paraId="6522C9F5" w14:textId="77777777" w:rsidR="00596C04" w:rsidRPr="00596C04" w:rsidRDefault="00596C04" w:rsidP="00923C4E">
      <w:pPr>
        <w:pStyle w:val="a0"/>
        <w:spacing w:before="309" w:line="312" w:lineRule="auto"/>
        <w:ind w:left="311"/>
        <w:jc w:val="both"/>
        <w:rPr>
          <w:rFonts w:eastAsia="宋体"/>
        </w:rPr>
      </w:pPr>
      <w:r w:rsidRPr="00596C04">
        <w:rPr>
          <w:rFonts w:eastAsia="宋体"/>
        </w:rPr>
        <w:t>For each mall, after predicting its customer segment, we provided product selection and distribution suggestions based on that group’s average sales share. This assumes that commercial complexes belonging to the same customer segment will have similar consumer purchasing behavior.</w:t>
      </w:r>
    </w:p>
    <w:p w14:paraId="048C7C7A" w14:textId="69A45EB4" w:rsidR="00596C04" w:rsidRPr="00596C04" w:rsidRDefault="00596C04" w:rsidP="00923C4E">
      <w:pPr>
        <w:pStyle w:val="a0"/>
        <w:spacing w:before="309" w:line="312" w:lineRule="auto"/>
        <w:ind w:left="311"/>
        <w:jc w:val="both"/>
        <w:rPr>
          <w:rFonts w:eastAsia="宋体"/>
        </w:rPr>
      </w:pPr>
      <w:r w:rsidRPr="00596C04">
        <w:rPr>
          <w:rFonts w:eastAsia="宋体"/>
        </w:rPr>
        <w:t>The resulting product mix recommendations for each customer segment is shown below.</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20"/>
        <w:gridCol w:w="2445"/>
        <w:gridCol w:w="1425"/>
        <w:gridCol w:w="1425"/>
        <w:gridCol w:w="1425"/>
        <w:gridCol w:w="1425"/>
      </w:tblGrid>
      <w:tr w:rsidR="00596C04" w:rsidRPr="00596C04" w14:paraId="02CA2289" w14:textId="77777777" w:rsidTr="008962E1">
        <w:trPr>
          <w:trHeight w:val="405"/>
        </w:trPr>
        <w:tc>
          <w:tcPr>
            <w:tcW w:w="8565" w:type="dxa"/>
            <w:gridSpan w:val="6"/>
            <w:tcBorders>
              <w:top w:val="single" w:sz="12" w:space="0" w:color="auto"/>
              <w:left w:val="single" w:sz="12" w:space="0" w:color="auto"/>
              <w:bottom w:val="single" w:sz="6" w:space="0" w:color="000000"/>
              <w:right w:val="single" w:sz="12" w:space="0" w:color="auto"/>
            </w:tcBorders>
            <w:shd w:val="clear" w:color="auto" w:fill="C00000"/>
            <w:tcMar>
              <w:top w:w="0" w:type="dxa"/>
              <w:left w:w="108" w:type="dxa"/>
              <w:bottom w:w="0" w:type="dxa"/>
              <w:right w:w="108" w:type="dxa"/>
            </w:tcMar>
            <w:vAlign w:val="center"/>
            <w:hideMark/>
          </w:tcPr>
          <w:p w14:paraId="05BEC64D" w14:textId="77777777" w:rsidR="00596C04" w:rsidRPr="00596C04" w:rsidRDefault="00596C04" w:rsidP="00923C4E">
            <w:pPr>
              <w:widowControl/>
              <w:autoSpaceDE/>
              <w:autoSpaceDN/>
              <w:jc w:val="center"/>
              <w:rPr>
                <w:rFonts w:eastAsia="宋体"/>
                <w:b/>
                <w:bCs/>
                <w:sz w:val="24"/>
                <w:szCs w:val="24"/>
                <w:lang w:eastAsia="zh-CN"/>
              </w:rPr>
            </w:pPr>
            <w:r w:rsidRPr="00596C04">
              <w:rPr>
                <w:rFonts w:eastAsia="宋体"/>
                <w:b/>
                <w:bCs/>
                <w:color w:val="000000"/>
                <w:sz w:val="24"/>
                <w:szCs w:val="24"/>
                <w:lang w:eastAsia="zh-CN"/>
              </w:rPr>
              <w:t>Product Mix Recommendation for each customer segment</w:t>
            </w:r>
          </w:p>
        </w:tc>
      </w:tr>
      <w:tr w:rsidR="00596C04" w:rsidRPr="00596C04" w14:paraId="1D6B67F9" w14:textId="77777777" w:rsidTr="008962E1">
        <w:trPr>
          <w:trHeight w:val="405"/>
        </w:trPr>
        <w:tc>
          <w:tcPr>
            <w:tcW w:w="420" w:type="dxa"/>
            <w:vMerge w:val="restart"/>
            <w:tcBorders>
              <w:top w:val="single" w:sz="2" w:space="0" w:color="000000"/>
              <w:left w:val="single" w:sz="12" w:space="0" w:color="auto"/>
              <w:right w:val="single" w:sz="6" w:space="0" w:color="000000"/>
            </w:tcBorders>
            <w:tcMar>
              <w:top w:w="0" w:type="dxa"/>
              <w:left w:w="108" w:type="dxa"/>
              <w:bottom w:w="0" w:type="dxa"/>
              <w:right w:w="108" w:type="dxa"/>
            </w:tcMar>
            <w:vAlign w:val="center"/>
            <w:hideMark/>
          </w:tcPr>
          <w:p w14:paraId="1F9B9BD7" w14:textId="25437394" w:rsidR="00596C04" w:rsidRPr="00596C04" w:rsidRDefault="00596C04" w:rsidP="00923C4E">
            <w:pPr>
              <w:widowControl/>
              <w:autoSpaceDE/>
              <w:autoSpaceDN/>
              <w:jc w:val="center"/>
              <w:rPr>
                <w:rFonts w:eastAsia="宋体"/>
                <w:sz w:val="24"/>
                <w:szCs w:val="24"/>
                <w:lang w:eastAsia="zh-CN"/>
              </w:rPr>
            </w:pPr>
          </w:p>
        </w:tc>
        <w:tc>
          <w:tcPr>
            <w:tcW w:w="2445" w:type="dxa"/>
            <w:vMerge w:val="restart"/>
            <w:tcBorders>
              <w:top w:val="single" w:sz="2" w:space="0" w:color="000000"/>
              <w:left w:val="single" w:sz="2" w:space="0" w:color="000000"/>
              <w:right w:val="single" w:sz="6" w:space="0" w:color="000000"/>
            </w:tcBorders>
            <w:tcMar>
              <w:top w:w="0" w:type="dxa"/>
              <w:left w:w="108" w:type="dxa"/>
              <w:bottom w:w="0" w:type="dxa"/>
              <w:right w:w="108" w:type="dxa"/>
            </w:tcMar>
            <w:vAlign w:val="center"/>
            <w:hideMark/>
          </w:tcPr>
          <w:p w14:paraId="2FB6582E" w14:textId="502D77CD"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Customer Segment</w:t>
            </w:r>
          </w:p>
        </w:tc>
        <w:tc>
          <w:tcPr>
            <w:tcW w:w="5700" w:type="dxa"/>
            <w:gridSpan w:val="4"/>
            <w:tcBorders>
              <w:top w:val="single" w:sz="2" w:space="0" w:color="000000"/>
              <w:left w:val="single" w:sz="2" w:space="0" w:color="000000"/>
              <w:bottom w:val="single" w:sz="6" w:space="0" w:color="000000"/>
              <w:right w:val="single" w:sz="12" w:space="0" w:color="auto"/>
            </w:tcBorders>
            <w:tcMar>
              <w:top w:w="0" w:type="dxa"/>
              <w:left w:w="108" w:type="dxa"/>
              <w:bottom w:w="0" w:type="dxa"/>
              <w:right w:w="108" w:type="dxa"/>
            </w:tcMar>
            <w:vAlign w:val="center"/>
            <w:hideMark/>
          </w:tcPr>
          <w:p w14:paraId="0161BBB9"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Series Proportion</w:t>
            </w:r>
          </w:p>
        </w:tc>
      </w:tr>
      <w:tr w:rsidR="00596C04" w:rsidRPr="00596C04" w14:paraId="463604F9" w14:textId="77777777" w:rsidTr="008962E1">
        <w:trPr>
          <w:trHeight w:val="387"/>
        </w:trPr>
        <w:tc>
          <w:tcPr>
            <w:tcW w:w="420" w:type="dxa"/>
            <w:vMerge/>
            <w:tcBorders>
              <w:left w:val="single" w:sz="12" w:space="0" w:color="auto"/>
              <w:bottom w:val="single" w:sz="6" w:space="0" w:color="000000"/>
              <w:right w:val="single" w:sz="6" w:space="0" w:color="000000"/>
            </w:tcBorders>
            <w:tcMar>
              <w:top w:w="0" w:type="dxa"/>
              <w:left w:w="108" w:type="dxa"/>
              <w:bottom w:w="0" w:type="dxa"/>
              <w:right w:w="108" w:type="dxa"/>
            </w:tcMar>
            <w:vAlign w:val="center"/>
            <w:hideMark/>
          </w:tcPr>
          <w:p w14:paraId="3C80850A" w14:textId="27B5C371" w:rsidR="00596C04" w:rsidRPr="00596C04" w:rsidRDefault="00596C04" w:rsidP="00923C4E">
            <w:pPr>
              <w:widowControl/>
              <w:autoSpaceDE/>
              <w:autoSpaceDN/>
              <w:jc w:val="center"/>
              <w:rPr>
                <w:rFonts w:eastAsia="宋体"/>
                <w:sz w:val="24"/>
                <w:szCs w:val="24"/>
                <w:lang w:eastAsia="zh-CN"/>
              </w:rPr>
            </w:pPr>
          </w:p>
        </w:tc>
        <w:tc>
          <w:tcPr>
            <w:tcW w:w="2445" w:type="dxa"/>
            <w:vMerge/>
            <w:tcBorders>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97C9DD9" w14:textId="2B680250" w:rsidR="00596C04" w:rsidRPr="00596C04" w:rsidRDefault="00596C04" w:rsidP="00923C4E">
            <w:pPr>
              <w:widowControl/>
              <w:autoSpaceDE/>
              <w:autoSpaceDN/>
              <w:jc w:val="center"/>
              <w:rPr>
                <w:rFonts w:eastAsia="宋体"/>
                <w:sz w:val="24"/>
                <w:szCs w:val="24"/>
                <w:lang w:eastAsia="zh-CN"/>
              </w:rPr>
            </w:pP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2CC05B76"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4"/>
                <w:szCs w:val="24"/>
                <w:lang w:eastAsia="zh-CN"/>
              </w:rPr>
              <w:t>金标</w:t>
            </w:r>
            <w:r w:rsidRPr="00596C04">
              <w:rPr>
                <w:rFonts w:eastAsia="宋体"/>
                <w:color w:val="0F1115"/>
                <w:sz w:val="24"/>
                <w:szCs w:val="24"/>
                <w:lang w:eastAsia="zh-CN"/>
              </w:rPr>
              <w:t xml:space="preserve"> %</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A81783C"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4"/>
                <w:szCs w:val="24"/>
                <w:lang w:eastAsia="zh-CN"/>
              </w:rPr>
              <w:t>荣耀</w:t>
            </w:r>
            <w:r w:rsidRPr="00596C04">
              <w:rPr>
                <w:rFonts w:eastAsia="宋体"/>
                <w:color w:val="0F1115"/>
                <w:sz w:val="24"/>
                <w:szCs w:val="24"/>
                <w:lang w:eastAsia="zh-CN"/>
              </w:rPr>
              <w:t xml:space="preserve"> %</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03EE82BF"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4"/>
                <w:szCs w:val="24"/>
                <w:lang w:eastAsia="zh-CN"/>
              </w:rPr>
              <w:t>国家队</w:t>
            </w:r>
            <w:r w:rsidRPr="00596C04">
              <w:rPr>
                <w:rFonts w:eastAsia="宋体"/>
                <w:color w:val="0F1115"/>
                <w:sz w:val="24"/>
                <w:szCs w:val="24"/>
                <w:lang w:eastAsia="zh-CN"/>
              </w:rPr>
              <w:t xml:space="preserve"> %</w:t>
            </w:r>
          </w:p>
        </w:tc>
        <w:tc>
          <w:tcPr>
            <w:tcW w:w="1425" w:type="dxa"/>
            <w:tcBorders>
              <w:top w:val="single" w:sz="2" w:space="0" w:color="000000"/>
              <w:left w:val="single" w:sz="2" w:space="0" w:color="000000"/>
              <w:bottom w:val="single" w:sz="6" w:space="0" w:color="000000"/>
              <w:right w:val="single" w:sz="12" w:space="0" w:color="auto"/>
            </w:tcBorders>
            <w:tcMar>
              <w:top w:w="0" w:type="dxa"/>
              <w:left w:w="108" w:type="dxa"/>
              <w:bottom w:w="0" w:type="dxa"/>
              <w:right w:w="108" w:type="dxa"/>
            </w:tcMar>
            <w:vAlign w:val="center"/>
            <w:hideMark/>
          </w:tcPr>
          <w:p w14:paraId="701A90E8"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4"/>
                <w:szCs w:val="24"/>
                <w:lang w:eastAsia="zh-CN"/>
              </w:rPr>
              <w:t>其他</w:t>
            </w:r>
            <w:r w:rsidRPr="00596C04">
              <w:rPr>
                <w:rFonts w:eastAsia="宋体"/>
                <w:color w:val="0F1115"/>
                <w:sz w:val="24"/>
                <w:szCs w:val="24"/>
                <w:lang w:eastAsia="zh-CN"/>
              </w:rPr>
              <w:t xml:space="preserve"> %</w:t>
            </w:r>
          </w:p>
        </w:tc>
      </w:tr>
      <w:tr w:rsidR="00596C04" w:rsidRPr="00596C04" w14:paraId="26980697" w14:textId="77777777" w:rsidTr="008962E1">
        <w:trPr>
          <w:trHeight w:val="405"/>
        </w:trPr>
        <w:tc>
          <w:tcPr>
            <w:tcW w:w="420" w:type="dxa"/>
            <w:tcBorders>
              <w:top w:val="single" w:sz="2" w:space="0" w:color="000000"/>
              <w:left w:val="single" w:sz="12" w:space="0" w:color="auto"/>
              <w:bottom w:val="single" w:sz="6" w:space="0" w:color="000000"/>
              <w:right w:val="single" w:sz="6" w:space="0" w:color="000000"/>
            </w:tcBorders>
            <w:tcMar>
              <w:top w:w="0" w:type="dxa"/>
              <w:left w:w="108" w:type="dxa"/>
              <w:bottom w:w="0" w:type="dxa"/>
              <w:right w:w="108" w:type="dxa"/>
            </w:tcMar>
            <w:vAlign w:val="center"/>
            <w:hideMark/>
          </w:tcPr>
          <w:p w14:paraId="2169A57E"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0</w:t>
            </w:r>
          </w:p>
        </w:tc>
        <w:tc>
          <w:tcPr>
            <w:tcW w:w="244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6CFE8EDD"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一线城市标杆店</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CBBA80C"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16.6%</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462AC6A0"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31.5%</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7212C21C"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0.0%</w:t>
            </w:r>
          </w:p>
        </w:tc>
        <w:tc>
          <w:tcPr>
            <w:tcW w:w="1425" w:type="dxa"/>
            <w:tcBorders>
              <w:top w:val="single" w:sz="2" w:space="0" w:color="000000"/>
              <w:left w:val="single" w:sz="2" w:space="0" w:color="000000"/>
              <w:bottom w:val="single" w:sz="6" w:space="0" w:color="000000"/>
              <w:right w:val="single" w:sz="12" w:space="0" w:color="auto"/>
            </w:tcBorders>
            <w:tcMar>
              <w:top w:w="0" w:type="dxa"/>
              <w:left w:w="108" w:type="dxa"/>
              <w:bottom w:w="0" w:type="dxa"/>
              <w:right w:w="108" w:type="dxa"/>
            </w:tcMar>
            <w:vAlign w:val="center"/>
            <w:hideMark/>
          </w:tcPr>
          <w:p w14:paraId="54ADB225"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51.9%</w:t>
            </w:r>
          </w:p>
        </w:tc>
      </w:tr>
      <w:tr w:rsidR="00596C04" w:rsidRPr="00596C04" w14:paraId="1A064B3C" w14:textId="77777777" w:rsidTr="008962E1">
        <w:trPr>
          <w:trHeight w:val="405"/>
        </w:trPr>
        <w:tc>
          <w:tcPr>
            <w:tcW w:w="420" w:type="dxa"/>
            <w:tcBorders>
              <w:top w:val="single" w:sz="2" w:space="0" w:color="000000"/>
              <w:left w:val="single" w:sz="12" w:space="0" w:color="auto"/>
              <w:bottom w:val="single" w:sz="6" w:space="0" w:color="000000"/>
              <w:right w:val="single" w:sz="6" w:space="0" w:color="000000"/>
            </w:tcBorders>
            <w:tcMar>
              <w:top w:w="0" w:type="dxa"/>
              <w:left w:w="108" w:type="dxa"/>
              <w:bottom w:w="0" w:type="dxa"/>
              <w:right w:w="108" w:type="dxa"/>
            </w:tcMar>
            <w:vAlign w:val="center"/>
            <w:hideMark/>
          </w:tcPr>
          <w:p w14:paraId="31419DD5"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1</w:t>
            </w:r>
          </w:p>
        </w:tc>
        <w:tc>
          <w:tcPr>
            <w:tcW w:w="244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3D50B917"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女性高消潜力店</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5CD9707C"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16.5%</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CBD29AE"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24.9%</w:t>
            </w:r>
          </w:p>
        </w:tc>
        <w:tc>
          <w:tcPr>
            <w:tcW w:w="1425" w:type="dxa"/>
            <w:tcBorders>
              <w:top w:val="single" w:sz="2" w:space="0" w:color="000000"/>
              <w:left w:val="single" w:sz="2" w:space="0" w:color="000000"/>
              <w:bottom w:val="single" w:sz="6" w:space="0" w:color="000000"/>
              <w:right w:val="single" w:sz="6" w:space="0" w:color="000000"/>
            </w:tcBorders>
            <w:tcMar>
              <w:top w:w="0" w:type="dxa"/>
              <w:left w:w="108" w:type="dxa"/>
              <w:bottom w:w="0" w:type="dxa"/>
              <w:right w:w="108" w:type="dxa"/>
            </w:tcMar>
            <w:vAlign w:val="center"/>
            <w:hideMark/>
          </w:tcPr>
          <w:p w14:paraId="1FF4A984"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1.0%</w:t>
            </w:r>
          </w:p>
        </w:tc>
        <w:tc>
          <w:tcPr>
            <w:tcW w:w="1425" w:type="dxa"/>
            <w:tcBorders>
              <w:top w:val="single" w:sz="2" w:space="0" w:color="000000"/>
              <w:left w:val="single" w:sz="2" w:space="0" w:color="000000"/>
              <w:bottom w:val="single" w:sz="6" w:space="0" w:color="000000"/>
              <w:right w:val="single" w:sz="12" w:space="0" w:color="auto"/>
            </w:tcBorders>
            <w:tcMar>
              <w:top w:w="0" w:type="dxa"/>
              <w:left w:w="108" w:type="dxa"/>
              <w:bottom w:w="0" w:type="dxa"/>
              <w:right w:w="108" w:type="dxa"/>
            </w:tcMar>
            <w:vAlign w:val="center"/>
            <w:hideMark/>
          </w:tcPr>
          <w:p w14:paraId="0817F45D"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57.6%</w:t>
            </w:r>
          </w:p>
        </w:tc>
      </w:tr>
      <w:tr w:rsidR="00596C04" w:rsidRPr="00596C04" w14:paraId="60722E90" w14:textId="77777777" w:rsidTr="008962E1">
        <w:trPr>
          <w:trHeight w:val="405"/>
        </w:trPr>
        <w:tc>
          <w:tcPr>
            <w:tcW w:w="420" w:type="dxa"/>
            <w:tcBorders>
              <w:top w:val="single" w:sz="2" w:space="0" w:color="000000"/>
              <w:left w:val="single" w:sz="12" w:space="0" w:color="auto"/>
              <w:bottom w:val="single" w:sz="12" w:space="0" w:color="auto"/>
              <w:right w:val="single" w:sz="6" w:space="0" w:color="000000"/>
            </w:tcBorders>
            <w:tcMar>
              <w:top w:w="0" w:type="dxa"/>
              <w:left w:w="108" w:type="dxa"/>
              <w:bottom w:w="0" w:type="dxa"/>
              <w:right w:w="108" w:type="dxa"/>
            </w:tcMar>
            <w:vAlign w:val="center"/>
            <w:hideMark/>
          </w:tcPr>
          <w:p w14:paraId="7E810027"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2</w:t>
            </w:r>
          </w:p>
        </w:tc>
        <w:tc>
          <w:tcPr>
            <w:tcW w:w="2445" w:type="dxa"/>
            <w:tcBorders>
              <w:top w:val="single" w:sz="2" w:space="0" w:color="000000"/>
              <w:left w:val="single" w:sz="2" w:space="0" w:color="000000"/>
              <w:bottom w:val="single" w:sz="12" w:space="0" w:color="auto"/>
              <w:right w:val="single" w:sz="6" w:space="0" w:color="000000"/>
            </w:tcBorders>
            <w:tcMar>
              <w:top w:w="0" w:type="dxa"/>
              <w:left w:w="108" w:type="dxa"/>
              <w:bottom w:w="0" w:type="dxa"/>
              <w:right w:w="108" w:type="dxa"/>
            </w:tcMar>
            <w:vAlign w:val="center"/>
            <w:hideMark/>
          </w:tcPr>
          <w:p w14:paraId="35EFE3AF"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00000"/>
                <w:sz w:val="24"/>
                <w:szCs w:val="24"/>
                <w:lang w:eastAsia="zh-CN"/>
              </w:rPr>
              <w:t>年轻潮流主力店</w:t>
            </w:r>
          </w:p>
        </w:tc>
        <w:tc>
          <w:tcPr>
            <w:tcW w:w="1425" w:type="dxa"/>
            <w:tcBorders>
              <w:top w:val="single" w:sz="2" w:space="0" w:color="000000"/>
              <w:left w:val="single" w:sz="2" w:space="0" w:color="000000"/>
              <w:bottom w:val="single" w:sz="12" w:space="0" w:color="auto"/>
              <w:right w:val="single" w:sz="6" w:space="0" w:color="000000"/>
            </w:tcBorders>
            <w:tcMar>
              <w:top w:w="0" w:type="dxa"/>
              <w:left w:w="108" w:type="dxa"/>
              <w:bottom w:w="0" w:type="dxa"/>
              <w:right w:w="108" w:type="dxa"/>
            </w:tcMar>
            <w:vAlign w:val="center"/>
            <w:hideMark/>
          </w:tcPr>
          <w:p w14:paraId="4EFE92CE"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8.2%</w:t>
            </w:r>
          </w:p>
        </w:tc>
        <w:tc>
          <w:tcPr>
            <w:tcW w:w="1425" w:type="dxa"/>
            <w:tcBorders>
              <w:top w:val="single" w:sz="2" w:space="0" w:color="000000"/>
              <w:left w:val="single" w:sz="2" w:space="0" w:color="000000"/>
              <w:bottom w:val="single" w:sz="12" w:space="0" w:color="auto"/>
              <w:right w:val="single" w:sz="6" w:space="0" w:color="000000"/>
            </w:tcBorders>
            <w:tcMar>
              <w:top w:w="0" w:type="dxa"/>
              <w:left w:w="108" w:type="dxa"/>
              <w:bottom w:w="0" w:type="dxa"/>
              <w:right w:w="108" w:type="dxa"/>
            </w:tcMar>
            <w:vAlign w:val="center"/>
            <w:hideMark/>
          </w:tcPr>
          <w:p w14:paraId="1752C7B3"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25.6%</w:t>
            </w:r>
          </w:p>
        </w:tc>
        <w:tc>
          <w:tcPr>
            <w:tcW w:w="1425" w:type="dxa"/>
            <w:tcBorders>
              <w:top w:val="single" w:sz="2" w:space="0" w:color="000000"/>
              <w:left w:val="single" w:sz="2" w:space="0" w:color="000000"/>
              <w:bottom w:val="single" w:sz="12" w:space="0" w:color="auto"/>
              <w:right w:val="single" w:sz="6" w:space="0" w:color="000000"/>
            </w:tcBorders>
            <w:tcMar>
              <w:top w:w="0" w:type="dxa"/>
              <w:left w:w="108" w:type="dxa"/>
              <w:bottom w:w="0" w:type="dxa"/>
              <w:right w:w="108" w:type="dxa"/>
            </w:tcMar>
            <w:vAlign w:val="center"/>
            <w:hideMark/>
          </w:tcPr>
          <w:p w14:paraId="5DC3CFDA"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3.2%</w:t>
            </w:r>
          </w:p>
        </w:tc>
        <w:tc>
          <w:tcPr>
            <w:tcW w:w="1425" w:type="dxa"/>
            <w:tcBorders>
              <w:top w:val="single" w:sz="2" w:space="0" w:color="000000"/>
              <w:left w:val="single" w:sz="2" w:space="0" w:color="000000"/>
              <w:bottom w:val="single" w:sz="12" w:space="0" w:color="auto"/>
              <w:right w:val="single" w:sz="12" w:space="0" w:color="auto"/>
            </w:tcBorders>
            <w:tcMar>
              <w:top w:w="0" w:type="dxa"/>
              <w:left w:w="108" w:type="dxa"/>
              <w:bottom w:w="0" w:type="dxa"/>
              <w:right w:w="108" w:type="dxa"/>
            </w:tcMar>
            <w:vAlign w:val="center"/>
            <w:hideMark/>
          </w:tcPr>
          <w:p w14:paraId="3C09D661" w14:textId="77777777" w:rsidR="00596C04" w:rsidRPr="00596C04" w:rsidRDefault="00596C04" w:rsidP="00923C4E">
            <w:pPr>
              <w:widowControl/>
              <w:autoSpaceDE/>
              <w:autoSpaceDN/>
              <w:jc w:val="center"/>
              <w:rPr>
                <w:rFonts w:eastAsia="宋体"/>
                <w:sz w:val="24"/>
                <w:szCs w:val="24"/>
                <w:lang w:eastAsia="zh-CN"/>
              </w:rPr>
            </w:pPr>
            <w:r w:rsidRPr="00596C04">
              <w:rPr>
                <w:rFonts w:eastAsia="宋体"/>
                <w:color w:val="0F1115"/>
                <w:sz w:val="23"/>
                <w:szCs w:val="23"/>
                <w:lang w:eastAsia="zh-CN"/>
              </w:rPr>
              <w:t>63.1%</w:t>
            </w:r>
          </w:p>
        </w:tc>
      </w:tr>
    </w:tbl>
    <w:p w14:paraId="5A007E35" w14:textId="7BA74A5A" w:rsidR="008962E1" w:rsidRPr="008962E1" w:rsidRDefault="008962E1" w:rsidP="00923C4E">
      <w:pPr>
        <w:pStyle w:val="2"/>
        <w:ind w:right="0"/>
      </w:pPr>
      <w:bookmarkStart w:id="26" w:name="_Toc229242124"/>
      <w:r w:rsidRPr="008962E1">
        <w:lastRenderedPageBreak/>
        <w:t>Series Allocation Recommendations</w:t>
      </w:r>
      <w:bookmarkEnd w:id="26"/>
    </w:p>
    <w:p w14:paraId="785CD9B6" w14:textId="60584EDA" w:rsidR="008962E1" w:rsidRPr="00596C04" w:rsidRDefault="008962E1" w:rsidP="00923C4E">
      <w:pPr>
        <w:pStyle w:val="a0"/>
        <w:spacing w:before="309" w:line="312" w:lineRule="auto"/>
        <w:ind w:left="311"/>
        <w:jc w:val="both"/>
        <w:rPr>
          <w:rFonts w:eastAsia="宋体"/>
        </w:rPr>
      </w:pPr>
      <w:r w:rsidRPr="008962E1">
        <w:rPr>
          <w:rFonts w:eastAsia="宋体"/>
        </w:rPr>
        <w:t>Based on the MNL model predictions, we identified the top 7 highest potential stores for selling the “</w:t>
      </w:r>
      <w:r w:rsidRPr="008962E1">
        <w:rPr>
          <w:rFonts w:eastAsia="宋体"/>
        </w:rPr>
        <w:t>李宁荣耀金标系列</w:t>
      </w:r>
      <w:r w:rsidRPr="008962E1">
        <w:rPr>
          <w:rFonts w:eastAsia="宋体"/>
        </w:rPr>
        <w:t>” for Tier 1 and New Tier 1 cities. The results are shown in the tables attached below.</w:t>
      </w:r>
    </w:p>
    <w:tbl>
      <w:tblPr>
        <w:tblW w:w="479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2176"/>
        <w:gridCol w:w="1530"/>
        <w:gridCol w:w="1276"/>
        <w:gridCol w:w="1376"/>
        <w:gridCol w:w="1167"/>
        <w:gridCol w:w="1250"/>
      </w:tblGrid>
      <w:tr w:rsidR="008962E1" w:rsidRPr="008962E1" w14:paraId="11FF7893" w14:textId="77777777" w:rsidTr="00A83861">
        <w:trPr>
          <w:trHeight w:val="405"/>
        </w:trPr>
        <w:tc>
          <w:tcPr>
            <w:tcW w:w="5000" w:type="pct"/>
            <w:gridSpan w:val="7"/>
            <w:shd w:val="clear" w:color="auto" w:fill="C00000"/>
            <w:tcMar>
              <w:top w:w="0" w:type="dxa"/>
              <w:left w:w="108" w:type="dxa"/>
              <w:bottom w:w="0" w:type="dxa"/>
              <w:right w:w="108" w:type="dxa"/>
            </w:tcMar>
            <w:vAlign w:val="center"/>
            <w:hideMark/>
          </w:tcPr>
          <w:p w14:paraId="776C54D5" w14:textId="20A8178E" w:rsidR="008962E1" w:rsidRPr="008962E1" w:rsidRDefault="008962E1" w:rsidP="00923C4E">
            <w:pPr>
              <w:widowControl/>
              <w:autoSpaceDE/>
              <w:autoSpaceDN/>
              <w:jc w:val="center"/>
              <w:rPr>
                <w:rFonts w:eastAsia="宋体"/>
                <w:sz w:val="24"/>
                <w:szCs w:val="24"/>
                <w:lang w:eastAsia="zh-CN"/>
              </w:rPr>
            </w:pPr>
            <w:r w:rsidRPr="008962E1">
              <w:rPr>
                <w:rFonts w:eastAsia="宋体"/>
                <w:b/>
                <w:bCs/>
                <w:color w:val="000000"/>
                <w:sz w:val="24"/>
                <w:szCs w:val="24"/>
                <w:lang w:eastAsia="zh-CN"/>
              </w:rPr>
              <w:t>Table 1: Top 7 Stores by “</w:t>
            </w:r>
            <w:r w:rsidRPr="008962E1">
              <w:rPr>
                <w:rFonts w:eastAsia="宋体"/>
                <w:b/>
                <w:bCs/>
                <w:color w:val="000000"/>
                <w:sz w:val="24"/>
                <w:szCs w:val="24"/>
                <w:lang w:eastAsia="zh-CN"/>
              </w:rPr>
              <w:t>李宁荣耀金标系列</w:t>
            </w:r>
            <w:r w:rsidRPr="008962E1">
              <w:rPr>
                <w:rFonts w:eastAsia="宋体"/>
                <w:b/>
                <w:bCs/>
                <w:color w:val="000000"/>
                <w:sz w:val="24"/>
                <w:szCs w:val="24"/>
                <w:lang w:eastAsia="zh-CN"/>
              </w:rPr>
              <w:t>” in Tier 1 cities</w:t>
            </w:r>
          </w:p>
        </w:tc>
      </w:tr>
      <w:tr w:rsidR="008962E1" w:rsidRPr="008962E1" w14:paraId="408477AF" w14:textId="77777777" w:rsidTr="00A83861">
        <w:trPr>
          <w:trHeight w:val="669"/>
        </w:trPr>
        <w:tc>
          <w:tcPr>
            <w:tcW w:w="407" w:type="pct"/>
            <w:tcMar>
              <w:top w:w="0" w:type="dxa"/>
              <w:left w:w="108" w:type="dxa"/>
              <w:bottom w:w="0" w:type="dxa"/>
              <w:right w:w="108" w:type="dxa"/>
            </w:tcMar>
            <w:vAlign w:val="center"/>
            <w:hideMark/>
          </w:tcPr>
          <w:p w14:paraId="10C1695C"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Rank</w:t>
            </w:r>
          </w:p>
        </w:tc>
        <w:tc>
          <w:tcPr>
            <w:tcW w:w="1139" w:type="pct"/>
            <w:tcMar>
              <w:top w:w="0" w:type="dxa"/>
              <w:left w:w="108" w:type="dxa"/>
              <w:bottom w:w="0" w:type="dxa"/>
              <w:right w:w="108" w:type="dxa"/>
            </w:tcMar>
            <w:vAlign w:val="center"/>
            <w:hideMark/>
          </w:tcPr>
          <w:p w14:paraId="66F3AC9C"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Store Name</w:t>
            </w:r>
          </w:p>
        </w:tc>
        <w:tc>
          <w:tcPr>
            <w:tcW w:w="801" w:type="pct"/>
            <w:tcMar>
              <w:top w:w="0" w:type="dxa"/>
              <w:left w:w="108" w:type="dxa"/>
              <w:bottom w:w="0" w:type="dxa"/>
              <w:right w:w="108" w:type="dxa"/>
            </w:tcMar>
            <w:vAlign w:val="center"/>
            <w:hideMark/>
          </w:tcPr>
          <w:p w14:paraId="2D31D3BC"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City</w:t>
            </w:r>
          </w:p>
        </w:tc>
        <w:tc>
          <w:tcPr>
            <w:tcW w:w="668" w:type="pct"/>
            <w:tcMar>
              <w:top w:w="0" w:type="dxa"/>
              <w:left w:w="108" w:type="dxa"/>
              <w:bottom w:w="0" w:type="dxa"/>
              <w:right w:w="108" w:type="dxa"/>
            </w:tcMar>
            <w:vAlign w:val="center"/>
            <w:hideMark/>
          </w:tcPr>
          <w:p w14:paraId="6B949ED2"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金标</w:t>
            </w:r>
            <w:r w:rsidRPr="008962E1">
              <w:rPr>
                <w:rFonts w:eastAsia="宋体"/>
                <w:b/>
                <w:bCs/>
                <w:color w:val="0F1115"/>
                <w:sz w:val="24"/>
                <w:szCs w:val="24"/>
                <w:lang w:eastAsia="zh-CN"/>
              </w:rPr>
              <w:t xml:space="preserve"> %</w:t>
            </w:r>
          </w:p>
        </w:tc>
        <w:tc>
          <w:tcPr>
            <w:tcW w:w="720" w:type="pct"/>
            <w:tcMar>
              <w:top w:w="0" w:type="dxa"/>
              <w:left w:w="108" w:type="dxa"/>
              <w:bottom w:w="0" w:type="dxa"/>
              <w:right w:w="108" w:type="dxa"/>
            </w:tcMar>
            <w:vAlign w:val="center"/>
            <w:hideMark/>
          </w:tcPr>
          <w:p w14:paraId="3F9DE217"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荣耀</w:t>
            </w:r>
            <w:r w:rsidRPr="008962E1">
              <w:rPr>
                <w:rFonts w:eastAsia="宋体"/>
                <w:b/>
                <w:bCs/>
                <w:color w:val="0F1115"/>
                <w:sz w:val="24"/>
                <w:szCs w:val="24"/>
                <w:lang w:eastAsia="zh-CN"/>
              </w:rPr>
              <w:t xml:space="preserve"> %</w:t>
            </w:r>
          </w:p>
        </w:tc>
        <w:tc>
          <w:tcPr>
            <w:tcW w:w="611" w:type="pct"/>
            <w:tcMar>
              <w:top w:w="0" w:type="dxa"/>
              <w:left w:w="108" w:type="dxa"/>
              <w:bottom w:w="0" w:type="dxa"/>
              <w:right w:w="108" w:type="dxa"/>
            </w:tcMar>
            <w:vAlign w:val="center"/>
            <w:hideMark/>
          </w:tcPr>
          <w:p w14:paraId="26F75350"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国家队</w:t>
            </w:r>
            <w:r w:rsidRPr="008962E1">
              <w:rPr>
                <w:rFonts w:eastAsia="宋体"/>
                <w:b/>
                <w:bCs/>
                <w:color w:val="0F1115"/>
                <w:sz w:val="24"/>
                <w:szCs w:val="24"/>
                <w:lang w:eastAsia="zh-CN"/>
              </w:rPr>
              <w:t xml:space="preserve"> %</w:t>
            </w:r>
          </w:p>
        </w:tc>
        <w:tc>
          <w:tcPr>
            <w:tcW w:w="654" w:type="pct"/>
            <w:tcMar>
              <w:top w:w="0" w:type="dxa"/>
              <w:left w:w="108" w:type="dxa"/>
              <w:bottom w:w="0" w:type="dxa"/>
              <w:right w:w="108" w:type="dxa"/>
            </w:tcMar>
            <w:vAlign w:val="center"/>
            <w:hideMark/>
          </w:tcPr>
          <w:p w14:paraId="7943FE6C" w14:textId="77777777" w:rsidR="008962E1" w:rsidRPr="008962E1" w:rsidRDefault="008962E1" w:rsidP="00923C4E">
            <w:pPr>
              <w:widowControl/>
              <w:autoSpaceDE/>
              <w:autoSpaceDN/>
              <w:jc w:val="center"/>
              <w:rPr>
                <w:rFonts w:eastAsia="宋体"/>
                <w:b/>
                <w:bCs/>
                <w:sz w:val="24"/>
                <w:szCs w:val="24"/>
                <w:lang w:eastAsia="zh-CN"/>
              </w:rPr>
            </w:pPr>
            <w:r w:rsidRPr="008962E1">
              <w:rPr>
                <w:rFonts w:eastAsia="宋体"/>
                <w:b/>
                <w:bCs/>
                <w:color w:val="0F1115"/>
                <w:sz w:val="24"/>
                <w:szCs w:val="24"/>
                <w:lang w:eastAsia="zh-CN"/>
              </w:rPr>
              <w:t>其他</w:t>
            </w:r>
            <w:r w:rsidRPr="008962E1">
              <w:rPr>
                <w:rFonts w:eastAsia="宋体"/>
                <w:b/>
                <w:bCs/>
                <w:color w:val="0F1115"/>
                <w:sz w:val="24"/>
                <w:szCs w:val="24"/>
                <w:lang w:eastAsia="zh-CN"/>
              </w:rPr>
              <w:t xml:space="preserve"> %</w:t>
            </w:r>
          </w:p>
        </w:tc>
      </w:tr>
      <w:tr w:rsidR="008962E1" w:rsidRPr="008962E1" w14:paraId="54EA5B20" w14:textId="77777777" w:rsidTr="00A83861">
        <w:trPr>
          <w:trHeight w:val="405"/>
        </w:trPr>
        <w:tc>
          <w:tcPr>
            <w:tcW w:w="407" w:type="pct"/>
            <w:tcMar>
              <w:top w:w="0" w:type="dxa"/>
              <w:left w:w="108" w:type="dxa"/>
              <w:bottom w:w="0" w:type="dxa"/>
              <w:right w:w="108" w:type="dxa"/>
            </w:tcMar>
            <w:vAlign w:val="center"/>
            <w:hideMark/>
          </w:tcPr>
          <w:p w14:paraId="34F0578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1</w:t>
            </w:r>
          </w:p>
        </w:tc>
        <w:tc>
          <w:tcPr>
            <w:tcW w:w="1139" w:type="pct"/>
            <w:tcMar>
              <w:top w:w="0" w:type="dxa"/>
              <w:left w:w="108" w:type="dxa"/>
              <w:bottom w:w="0" w:type="dxa"/>
              <w:right w:w="108" w:type="dxa"/>
            </w:tcMar>
            <w:vAlign w:val="center"/>
            <w:hideMark/>
          </w:tcPr>
          <w:p w14:paraId="035BBA68"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北京国贸商城</w:t>
            </w:r>
          </w:p>
        </w:tc>
        <w:tc>
          <w:tcPr>
            <w:tcW w:w="801" w:type="pct"/>
            <w:tcMar>
              <w:top w:w="0" w:type="dxa"/>
              <w:left w:w="108" w:type="dxa"/>
              <w:bottom w:w="0" w:type="dxa"/>
              <w:right w:w="108" w:type="dxa"/>
            </w:tcMar>
            <w:vAlign w:val="center"/>
            <w:hideMark/>
          </w:tcPr>
          <w:p w14:paraId="710AD6C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Beijing</w:t>
            </w:r>
          </w:p>
        </w:tc>
        <w:tc>
          <w:tcPr>
            <w:tcW w:w="668" w:type="pct"/>
            <w:tcMar>
              <w:top w:w="0" w:type="dxa"/>
              <w:left w:w="108" w:type="dxa"/>
              <w:bottom w:w="0" w:type="dxa"/>
              <w:right w:w="108" w:type="dxa"/>
            </w:tcMar>
            <w:vAlign w:val="center"/>
            <w:hideMark/>
          </w:tcPr>
          <w:p w14:paraId="47DDCC68"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17%</w:t>
            </w:r>
          </w:p>
        </w:tc>
        <w:tc>
          <w:tcPr>
            <w:tcW w:w="720" w:type="pct"/>
            <w:tcMar>
              <w:top w:w="0" w:type="dxa"/>
              <w:left w:w="108" w:type="dxa"/>
              <w:bottom w:w="0" w:type="dxa"/>
              <w:right w:w="108" w:type="dxa"/>
            </w:tcMar>
            <w:vAlign w:val="center"/>
            <w:hideMark/>
          </w:tcPr>
          <w:p w14:paraId="22F79C68"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32%</w:t>
            </w:r>
          </w:p>
        </w:tc>
        <w:tc>
          <w:tcPr>
            <w:tcW w:w="611" w:type="pct"/>
            <w:tcMar>
              <w:top w:w="0" w:type="dxa"/>
              <w:left w:w="108" w:type="dxa"/>
              <w:bottom w:w="0" w:type="dxa"/>
              <w:right w:w="108" w:type="dxa"/>
            </w:tcMar>
            <w:vAlign w:val="center"/>
            <w:hideMark/>
          </w:tcPr>
          <w:p w14:paraId="10380778"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0%</w:t>
            </w:r>
          </w:p>
        </w:tc>
        <w:tc>
          <w:tcPr>
            <w:tcW w:w="654" w:type="pct"/>
            <w:tcMar>
              <w:top w:w="0" w:type="dxa"/>
              <w:left w:w="108" w:type="dxa"/>
              <w:bottom w:w="0" w:type="dxa"/>
              <w:right w:w="108" w:type="dxa"/>
            </w:tcMar>
            <w:vAlign w:val="center"/>
            <w:hideMark/>
          </w:tcPr>
          <w:p w14:paraId="5083373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52%</w:t>
            </w:r>
          </w:p>
        </w:tc>
      </w:tr>
      <w:tr w:rsidR="008962E1" w:rsidRPr="008962E1" w14:paraId="24520567" w14:textId="77777777" w:rsidTr="00A83861">
        <w:trPr>
          <w:trHeight w:val="405"/>
        </w:trPr>
        <w:tc>
          <w:tcPr>
            <w:tcW w:w="407" w:type="pct"/>
            <w:tcMar>
              <w:top w:w="0" w:type="dxa"/>
              <w:left w:w="108" w:type="dxa"/>
              <w:bottom w:w="0" w:type="dxa"/>
              <w:right w:w="108" w:type="dxa"/>
            </w:tcMar>
            <w:vAlign w:val="center"/>
            <w:hideMark/>
          </w:tcPr>
          <w:p w14:paraId="3DB6B72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2</w:t>
            </w:r>
          </w:p>
        </w:tc>
        <w:tc>
          <w:tcPr>
            <w:tcW w:w="1139" w:type="pct"/>
            <w:tcMar>
              <w:top w:w="0" w:type="dxa"/>
              <w:left w:w="108" w:type="dxa"/>
              <w:bottom w:w="0" w:type="dxa"/>
              <w:right w:w="108" w:type="dxa"/>
            </w:tcMar>
            <w:vAlign w:val="center"/>
            <w:hideMark/>
          </w:tcPr>
          <w:p w14:paraId="259D8640"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上海国金中心</w:t>
            </w:r>
            <w:r w:rsidRPr="008962E1">
              <w:rPr>
                <w:rFonts w:eastAsia="宋体"/>
                <w:color w:val="222222"/>
                <w:sz w:val="21"/>
                <w:szCs w:val="21"/>
                <w:lang w:eastAsia="zh-CN"/>
              </w:rPr>
              <w:t xml:space="preserve"> IFC</w:t>
            </w:r>
          </w:p>
        </w:tc>
        <w:tc>
          <w:tcPr>
            <w:tcW w:w="801" w:type="pct"/>
            <w:tcMar>
              <w:top w:w="0" w:type="dxa"/>
              <w:left w:w="108" w:type="dxa"/>
              <w:bottom w:w="0" w:type="dxa"/>
              <w:right w:w="108" w:type="dxa"/>
            </w:tcMar>
            <w:vAlign w:val="center"/>
            <w:hideMark/>
          </w:tcPr>
          <w:p w14:paraId="2733FD60"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Shanghai</w:t>
            </w:r>
          </w:p>
        </w:tc>
        <w:tc>
          <w:tcPr>
            <w:tcW w:w="668" w:type="pct"/>
            <w:tcMar>
              <w:top w:w="0" w:type="dxa"/>
              <w:left w:w="108" w:type="dxa"/>
              <w:bottom w:w="0" w:type="dxa"/>
              <w:right w:w="108" w:type="dxa"/>
            </w:tcMar>
            <w:vAlign w:val="center"/>
            <w:hideMark/>
          </w:tcPr>
          <w:p w14:paraId="108C013A"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16%</w:t>
            </w:r>
          </w:p>
        </w:tc>
        <w:tc>
          <w:tcPr>
            <w:tcW w:w="720" w:type="pct"/>
            <w:tcMar>
              <w:top w:w="0" w:type="dxa"/>
              <w:left w:w="108" w:type="dxa"/>
              <w:bottom w:w="0" w:type="dxa"/>
              <w:right w:w="108" w:type="dxa"/>
            </w:tcMar>
            <w:vAlign w:val="center"/>
            <w:hideMark/>
          </w:tcPr>
          <w:p w14:paraId="6617CE2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25%</w:t>
            </w:r>
          </w:p>
        </w:tc>
        <w:tc>
          <w:tcPr>
            <w:tcW w:w="611" w:type="pct"/>
            <w:tcMar>
              <w:top w:w="0" w:type="dxa"/>
              <w:left w:w="108" w:type="dxa"/>
              <w:bottom w:w="0" w:type="dxa"/>
              <w:right w:w="108" w:type="dxa"/>
            </w:tcMar>
            <w:vAlign w:val="center"/>
            <w:hideMark/>
          </w:tcPr>
          <w:p w14:paraId="3A4BD3C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w:t>
            </w:r>
          </w:p>
        </w:tc>
        <w:tc>
          <w:tcPr>
            <w:tcW w:w="654" w:type="pct"/>
            <w:tcMar>
              <w:top w:w="0" w:type="dxa"/>
              <w:left w:w="108" w:type="dxa"/>
              <w:bottom w:w="0" w:type="dxa"/>
              <w:right w:w="108" w:type="dxa"/>
            </w:tcMar>
            <w:vAlign w:val="center"/>
            <w:hideMark/>
          </w:tcPr>
          <w:p w14:paraId="0A095D6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58%</w:t>
            </w:r>
          </w:p>
        </w:tc>
      </w:tr>
      <w:tr w:rsidR="008962E1" w:rsidRPr="008962E1" w14:paraId="6FCDA35D" w14:textId="77777777" w:rsidTr="00A83861">
        <w:trPr>
          <w:trHeight w:val="405"/>
        </w:trPr>
        <w:tc>
          <w:tcPr>
            <w:tcW w:w="407" w:type="pct"/>
            <w:tcMar>
              <w:top w:w="0" w:type="dxa"/>
              <w:left w:w="108" w:type="dxa"/>
              <w:bottom w:w="0" w:type="dxa"/>
              <w:right w:w="108" w:type="dxa"/>
            </w:tcMar>
            <w:vAlign w:val="center"/>
            <w:hideMark/>
          </w:tcPr>
          <w:p w14:paraId="79A5FBFC"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3</w:t>
            </w:r>
          </w:p>
        </w:tc>
        <w:tc>
          <w:tcPr>
            <w:tcW w:w="1139" w:type="pct"/>
            <w:tcMar>
              <w:top w:w="0" w:type="dxa"/>
              <w:left w:w="108" w:type="dxa"/>
              <w:bottom w:w="0" w:type="dxa"/>
              <w:right w:w="108" w:type="dxa"/>
            </w:tcMar>
            <w:vAlign w:val="center"/>
            <w:hideMark/>
          </w:tcPr>
          <w:p w14:paraId="6FC0DBE5"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广州天河城</w:t>
            </w:r>
          </w:p>
        </w:tc>
        <w:tc>
          <w:tcPr>
            <w:tcW w:w="801" w:type="pct"/>
            <w:tcMar>
              <w:top w:w="0" w:type="dxa"/>
              <w:left w:w="108" w:type="dxa"/>
              <w:bottom w:w="0" w:type="dxa"/>
              <w:right w:w="108" w:type="dxa"/>
            </w:tcMar>
            <w:vAlign w:val="center"/>
            <w:hideMark/>
          </w:tcPr>
          <w:p w14:paraId="54C0C904"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Guangzhou</w:t>
            </w:r>
          </w:p>
        </w:tc>
        <w:tc>
          <w:tcPr>
            <w:tcW w:w="668" w:type="pct"/>
            <w:tcMar>
              <w:top w:w="0" w:type="dxa"/>
              <w:left w:w="108" w:type="dxa"/>
              <w:bottom w:w="0" w:type="dxa"/>
              <w:right w:w="108" w:type="dxa"/>
            </w:tcMar>
            <w:vAlign w:val="center"/>
            <w:hideMark/>
          </w:tcPr>
          <w:p w14:paraId="02EC7CCB"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16%</w:t>
            </w:r>
          </w:p>
        </w:tc>
        <w:tc>
          <w:tcPr>
            <w:tcW w:w="720" w:type="pct"/>
            <w:tcMar>
              <w:top w:w="0" w:type="dxa"/>
              <w:left w:w="108" w:type="dxa"/>
              <w:bottom w:w="0" w:type="dxa"/>
              <w:right w:w="108" w:type="dxa"/>
            </w:tcMar>
            <w:vAlign w:val="center"/>
            <w:hideMark/>
          </w:tcPr>
          <w:p w14:paraId="457C1F2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29%</w:t>
            </w:r>
          </w:p>
        </w:tc>
        <w:tc>
          <w:tcPr>
            <w:tcW w:w="611" w:type="pct"/>
            <w:tcMar>
              <w:top w:w="0" w:type="dxa"/>
              <w:left w:w="108" w:type="dxa"/>
              <w:bottom w:w="0" w:type="dxa"/>
              <w:right w:w="108" w:type="dxa"/>
            </w:tcMar>
            <w:vAlign w:val="center"/>
            <w:hideMark/>
          </w:tcPr>
          <w:p w14:paraId="45C43034"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0%</w:t>
            </w:r>
          </w:p>
        </w:tc>
        <w:tc>
          <w:tcPr>
            <w:tcW w:w="654" w:type="pct"/>
            <w:tcMar>
              <w:top w:w="0" w:type="dxa"/>
              <w:left w:w="108" w:type="dxa"/>
              <w:bottom w:w="0" w:type="dxa"/>
              <w:right w:w="108" w:type="dxa"/>
            </w:tcMar>
            <w:vAlign w:val="center"/>
            <w:hideMark/>
          </w:tcPr>
          <w:p w14:paraId="127A103D"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55%</w:t>
            </w:r>
          </w:p>
        </w:tc>
      </w:tr>
      <w:tr w:rsidR="008962E1" w:rsidRPr="008962E1" w14:paraId="56E34F9D" w14:textId="77777777" w:rsidTr="00A83861">
        <w:trPr>
          <w:trHeight w:val="405"/>
        </w:trPr>
        <w:tc>
          <w:tcPr>
            <w:tcW w:w="407" w:type="pct"/>
            <w:tcMar>
              <w:top w:w="0" w:type="dxa"/>
              <w:left w:w="108" w:type="dxa"/>
              <w:bottom w:w="0" w:type="dxa"/>
              <w:right w:w="108" w:type="dxa"/>
            </w:tcMar>
            <w:vAlign w:val="center"/>
            <w:hideMark/>
          </w:tcPr>
          <w:p w14:paraId="3F01114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4</w:t>
            </w:r>
          </w:p>
        </w:tc>
        <w:tc>
          <w:tcPr>
            <w:tcW w:w="1139" w:type="pct"/>
            <w:tcMar>
              <w:top w:w="0" w:type="dxa"/>
              <w:left w:w="108" w:type="dxa"/>
              <w:bottom w:w="0" w:type="dxa"/>
              <w:right w:w="108" w:type="dxa"/>
            </w:tcMar>
            <w:vAlign w:val="center"/>
            <w:hideMark/>
          </w:tcPr>
          <w:p w14:paraId="26FFEF2A"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深圳万象城</w:t>
            </w:r>
          </w:p>
        </w:tc>
        <w:tc>
          <w:tcPr>
            <w:tcW w:w="801" w:type="pct"/>
            <w:tcMar>
              <w:top w:w="0" w:type="dxa"/>
              <w:left w:w="108" w:type="dxa"/>
              <w:bottom w:w="0" w:type="dxa"/>
              <w:right w:w="108" w:type="dxa"/>
            </w:tcMar>
            <w:vAlign w:val="center"/>
            <w:hideMark/>
          </w:tcPr>
          <w:p w14:paraId="4386DE1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Shenzhen</w:t>
            </w:r>
          </w:p>
        </w:tc>
        <w:tc>
          <w:tcPr>
            <w:tcW w:w="668" w:type="pct"/>
            <w:tcMar>
              <w:top w:w="0" w:type="dxa"/>
              <w:left w:w="108" w:type="dxa"/>
              <w:bottom w:w="0" w:type="dxa"/>
              <w:right w:w="108" w:type="dxa"/>
            </w:tcMar>
            <w:vAlign w:val="center"/>
            <w:hideMark/>
          </w:tcPr>
          <w:p w14:paraId="280335A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16%</w:t>
            </w:r>
          </w:p>
        </w:tc>
        <w:tc>
          <w:tcPr>
            <w:tcW w:w="720" w:type="pct"/>
            <w:tcMar>
              <w:top w:w="0" w:type="dxa"/>
              <w:left w:w="108" w:type="dxa"/>
              <w:bottom w:w="0" w:type="dxa"/>
              <w:right w:w="108" w:type="dxa"/>
            </w:tcMar>
            <w:vAlign w:val="center"/>
            <w:hideMark/>
          </w:tcPr>
          <w:p w14:paraId="1E2D457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30%</w:t>
            </w:r>
          </w:p>
        </w:tc>
        <w:tc>
          <w:tcPr>
            <w:tcW w:w="611" w:type="pct"/>
            <w:tcMar>
              <w:top w:w="0" w:type="dxa"/>
              <w:left w:w="108" w:type="dxa"/>
              <w:bottom w:w="0" w:type="dxa"/>
              <w:right w:w="108" w:type="dxa"/>
            </w:tcMar>
            <w:vAlign w:val="center"/>
            <w:hideMark/>
          </w:tcPr>
          <w:p w14:paraId="49CDE5BA"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0%</w:t>
            </w:r>
          </w:p>
        </w:tc>
        <w:tc>
          <w:tcPr>
            <w:tcW w:w="654" w:type="pct"/>
            <w:tcMar>
              <w:top w:w="0" w:type="dxa"/>
              <w:left w:w="108" w:type="dxa"/>
              <w:bottom w:w="0" w:type="dxa"/>
              <w:right w:w="108" w:type="dxa"/>
            </w:tcMar>
            <w:vAlign w:val="center"/>
            <w:hideMark/>
          </w:tcPr>
          <w:p w14:paraId="7AF2FD10"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54%</w:t>
            </w:r>
          </w:p>
        </w:tc>
      </w:tr>
      <w:tr w:rsidR="008962E1" w:rsidRPr="008962E1" w14:paraId="4E4C1B23" w14:textId="77777777" w:rsidTr="00A83861">
        <w:trPr>
          <w:trHeight w:val="405"/>
        </w:trPr>
        <w:tc>
          <w:tcPr>
            <w:tcW w:w="407" w:type="pct"/>
            <w:tcMar>
              <w:top w:w="0" w:type="dxa"/>
              <w:left w:w="108" w:type="dxa"/>
              <w:bottom w:w="0" w:type="dxa"/>
              <w:right w:w="108" w:type="dxa"/>
            </w:tcMar>
            <w:vAlign w:val="center"/>
            <w:hideMark/>
          </w:tcPr>
          <w:p w14:paraId="69721D2A"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5</w:t>
            </w:r>
          </w:p>
        </w:tc>
        <w:tc>
          <w:tcPr>
            <w:tcW w:w="1139" w:type="pct"/>
            <w:tcMar>
              <w:top w:w="0" w:type="dxa"/>
              <w:left w:w="108" w:type="dxa"/>
              <w:bottom w:w="0" w:type="dxa"/>
              <w:right w:w="108" w:type="dxa"/>
            </w:tcMar>
            <w:vAlign w:val="center"/>
            <w:hideMark/>
          </w:tcPr>
          <w:p w14:paraId="59D5BA0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北京</w:t>
            </w:r>
            <w:r w:rsidRPr="008962E1">
              <w:rPr>
                <w:rFonts w:eastAsia="宋体"/>
                <w:color w:val="222222"/>
                <w:sz w:val="21"/>
                <w:szCs w:val="21"/>
                <w:lang w:eastAsia="zh-CN"/>
              </w:rPr>
              <w:t xml:space="preserve"> SKP</w:t>
            </w:r>
          </w:p>
        </w:tc>
        <w:tc>
          <w:tcPr>
            <w:tcW w:w="801" w:type="pct"/>
            <w:tcMar>
              <w:top w:w="0" w:type="dxa"/>
              <w:left w:w="108" w:type="dxa"/>
              <w:bottom w:w="0" w:type="dxa"/>
              <w:right w:w="108" w:type="dxa"/>
            </w:tcMar>
            <w:vAlign w:val="center"/>
            <w:hideMark/>
          </w:tcPr>
          <w:p w14:paraId="774DD230"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Beijing</w:t>
            </w:r>
          </w:p>
        </w:tc>
        <w:tc>
          <w:tcPr>
            <w:tcW w:w="668" w:type="pct"/>
            <w:tcMar>
              <w:top w:w="0" w:type="dxa"/>
              <w:left w:w="108" w:type="dxa"/>
              <w:bottom w:w="0" w:type="dxa"/>
              <w:right w:w="108" w:type="dxa"/>
            </w:tcMar>
            <w:vAlign w:val="center"/>
            <w:hideMark/>
          </w:tcPr>
          <w:p w14:paraId="7F85781D"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10%</w:t>
            </w:r>
          </w:p>
        </w:tc>
        <w:tc>
          <w:tcPr>
            <w:tcW w:w="720" w:type="pct"/>
            <w:tcMar>
              <w:top w:w="0" w:type="dxa"/>
              <w:left w:w="108" w:type="dxa"/>
              <w:bottom w:w="0" w:type="dxa"/>
              <w:right w:w="108" w:type="dxa"/>
            </w:tcMar>
            <w:vAlign w:val="center"/>
            <w:hideMark/>
          </w:tcPr>
          <w:p w14:paraId="3E5DFA54"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32%</w:t>
            </w:r>
          </w:p>
        </w:tc>
        <w:tc>
          <w:tcPr>
            <w:tcW w:w="611" w:type="pct"/>
            <w:tcMar>
              <w:top w:w="0" w:type="dxa"/>
              <w:left w:w="108" w:type="dxa"/>
              <w:bottom w:w="0" w:type="dxa"/>
              <w:right w:w="108" w:type="dxa"/>
            </w:tcMar>
            <w:vAlign w:val="center"/>
            <w:hideMark/>
          </w:tcPr>
          <w:p w14:paraId="365943DB"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3%</w:t>
            </w:r>
          </w:p>
        </w:tc>
        <w:tc>
          <w:tcPr>
            <w:tcW w:w="654" w:type="pct"/>
            <w:tcMar>
              <w:top w:w="0" w:type="dxa"/>
              <w:left w:w="108" w:type="dxa"/>
              <w:bottom w:w="0" w:type="dxa"/>
              <w:right w:w="108" w:type="dxa"/>
            </w:tcMar>
            <w:vAlign w:val="center"/>
            <w:hideMark/>
          </w:tcPr>
          <w:p w14:paraId="198CEC26"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54%</w:t>
            </w:r>
          </w:p>
        </w:tc>
      </w:tr>
      <w:tr w:rsidR="008962E1" w:rsidRPr="008962E1" w14:paraId="718B65E4" w14:textId="77777777" w:rsidTr="00A83861">
        <w:trPr>
          <w:trHeight w:val="405"/>
        </w:trPr>
        <w:tc>
          <w:tcPr>
            <w:tcW w:w="407" w:type="pct"/>
            <w:tcMar>
              <w:top w:w="0" w:type="dxa"/>
              <w:left w:w="108" w:type="dxa"/>
              <w:bottom w:w="0" w:type="dxa"/>
              <w:right w:w="108" w:type="dxa"/>
            </w:tcMar>
            <w:vAlign w:val="center"/>
            <w:hideMark/>
          </w:tcPr>
          <w:p w14:paraId="58B9E36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6</w:t>
            </w:r>
          </w:p>
        </w:tc>
        <w:tc>
          <w:tcPr>
            <w:tcW w:w="1139" w:type="pct"/>
            <w:tcMar>
              <w:top w:w="0" w:type="dxa"/>
              <w:left w:w="108" w:type="dxa"/>
              <w:bottom w:w="0" w:type="dxa"/>
              <w:right w:w="108" w:type="dxa"/>
            </w:tcMar>
            <w:vAlign w:val="center"/>
            <w:hideMark/>
          </w:tcPr>
          <w:p w14:paraId="6E56EB5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上海恒隆广场</w:t>
            </w:r>
          </w:p>
        </w:tc>
        <w:tc>
          <w:tcPr>
            <w:tcW w:w="801" w:type="pct"/>
            <w:tcMar>
              <w:top w:w="0" w:type="dxa"/>
              <w:left w:w="108" w:type="dxa"/>
              <w:bottom w:w="0" w:type="dxa"/>
              <w:right w:w="108" w:type="dxa"/>
            </w:tcMar>
            <w:vAlign w:val="center"/>
            <w:hideMark/>
          </w:tcPr>
          <w:p w14:paraId="1790716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Shanghai</w:t>
            </w:r>
          </w:p>
        </w:tc>
        <w:tc>
          <w:tcPr>
            <w:tcW w:w="668" w:type="pct"/>
            <w:tcMar>
              <w:top w:w="0" w:type="dxa"/>
              <w:left w:w="108" w:type="dxa"/>
              <w:bottom w:w="0" w:type="dxa"/>
              <w:right w:w="108" w:type="dxa"/>
            </w:tcMar>
            <w:vAlign w:val="center"/>
            <w:hideMark/>
          </w:tcPr>
          <w:p w14:paraId="1B5A7660"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9%</w:t>
            </w:r>
          </w:p>
        </w:tc>
        <w:tc>
          <w:tcPr>
            <w:tcW w:w="720" w:type="pct"/>
            <w:tcMar>
              <w:top w:w="0" w:type="dxa"/>
              <w:left w:w="108" w:type="dxa"/>
              <w:bottom w:w="0" w:type="dxa"/>
              <w:right w:w="108" w:type="dxa"/>
            </w:tcMar>
            <w:vAlign w:val="center"/>
            <w:hideMark/>
          </w:tcPr>
          <w:p w14:paraId="787BF61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17%</w:t>
            </w:r>
          </w:p>
        </w:tc>
        <w:tc>
          <w:tcPr>
            <w:tcW w:w="611" w:type="pct"/>
            <w:tcMar>
              <w:top w:w="0" w:type="dxa"/>
              <w:left w:w="108" w:type="dxa"/>
              <w:bottom w:w="0" w:type="dxa"/>
              <w:right w:w="108" w:type="dxa"/>
            </w:tcMar>
            <w:vAlign w:val="center"/>
            <w:hideMark/>
          </w:tcPr>
          <w:p w14:paraId="469C0F65"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w:t>
            </w:r>
          </w:p>
        </w:tc>
        <w:tc>
          <w:tcPr>
            <w:tcW w:w="654" w:type="pct"/>
            <w:tcMar>
              <w:top w:w="0" w:type="dxa"/>
              <w:left w:w="108" w:type="dxa"/>
              <w:bottom w:w="0" w:type="dxa"/>
              <w:right w:w="108" w:type="dxa"/>
            </w:tcMar>
            <w:vAlign w:val="center"/>
            <w:hideMark/>
          </w:tcPr>
          <w:p w14:paraId="6C075D1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70%</w:t>
            </w:r>
          </w:p>
        </w:tc>
      </w:tr>
      <w:tr w:rsidR="008962E1" w:rsidRPr="008962E1" w14:paraId="16AECD70" w14:textId="77777777" w:rsidTr="00A83861">
        <w:trPr>
          <w:trHeight w:val="405"/>
        </w:trPr>
        <w:tc>
          <w:tcPr>
            <w:tcW w:w="407" w:type="pct"/>
            <w:tcMar>
              <w:top w:w="0" w:type="dxa"/>
              <w:left w:w="108" w:type="dxa"/>
              <w:bottom w:w="0" w:type="dxa"/>
              <w:right w:w="108" w:type="dxa"/>
            </w:tcMar>
            <w:vAlign w:val="center"/>
            <w:hideMark/>
          </w:tcPr>
          <w:p w14:paraId="0BD0C58E"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0F1115"/>
                <w:sz w:val="24"/>
                <w:szCs w:val="24"/>
                <w:lang w:eastAsia="zh-CN"/>
              </w:rPr>
              <w:t>7</w:t>
            </w:r>
          </w:p>
        </w:tc>
        <w:tc>
          <w:tcPr>
            <w:tcW w:w="1139" w:type="pct"/>
            <w:tcMar>
              <w:top w:w="0" w:type="dxa"/>
              <w:left w:w="108" w:type="dxa"/>
              <w:bottom w:w="0" w:type="dxa"/>
              <w:right w:w="108" w:type="dxa"/>
            </w:tcMar>
            <w:vAlign w:val="center"/>
            <w:hideMark/>
          </w:tcPr>
          <w:p w14:paraId="63379773"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上海</w:t>
            </w:r>
            <w:r w:rsidRPr="008962E1">
              <w:rPr>
                <w:rFonts w:eastAsia="宋体"/>
                <w:color w:val="222222"/>
                <w:sz w:val="21"/>
                <w:szCs w:val="21"/>
                <w:lang w:eastAsia="zh-CN"/>
              </w:rPr>
              <w:t xml:space="preserve"> IFC </w:t>
            </w:r>
            <w:r w:rsidRPr="008962E1">
              <w:rPr>
                <w:rFonts w:eastAsia="宋体"/>
                <w:color w:val="222222"/>
                <w:sz w:val="21"/>
                <w:szCs w:val="21"/>
                <w:lang w:eastAsia="zh-CN"/>
              </w:rPr>
              <w:t>国金中心</w:t>
            </w:r>
          </w:p>
        </w:tc>
        <w:tc>
          <w:tcPr>
            <w:tcW w:w="801" w:type="pct"/>
            <w:tcMar>
              <w:top w:w="0" w:type="dxa"/>
              <w:left w:w="108" w:type="dxa"/>
              <w:bottom w:w="0" w:type="dxa"/>
              <w:right w:w="108" w:type="dxa"/>
            </w:tcMar>
            <w:vAlign w:val="center"/>
            <w:hideMark/>
          </w:tcPr>
          <w:p w14:paraId="66B9FFD3"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333333"/>
                <w:lang w:eastAsia="zh-CN"/>
              </w:rPr>
              <w:t>Shanghai</w:t>
            </w:r>
          </w:p>
        </w:tc>
        <w:tc>
          <w:tcPr>
            <w:tcW w:w="668" w:type="pct"/>
            <w:tcMar>
              <w:top w:w="0" w:type="dxa"/>
              <w:left w:w="108" w:type="dxa"/>
              <w:bottom w:w="0" w:type="dxa"/>
              <w:right w:w="108" w:type="dxa"/>
            </w:tcMar>
            <w:vAlign w:val="center"/>
            <w:hideMark/>
          </w:tcPr>
          <w:p w14:paraId="089834D2"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9%</w:t>
            </w:r>
          </w:p>
        </w:tc>
        <w:tc>
          <w:tcPr>
            <w:tcW w:w="720" w:type="pct"/>
            <w:tcMar>
              <w:top w:w="0" w:type="dxa"/>
              <w:left w:w="108" w:type="dxa"/>
              <w:bottom w:w="0" w:type="dxa"/>
              <w:right w:w="108" w:type="dxa"/>
            </w:tcMar>
            <w:vAlign w:val="center"/>
            <w:hideMark/>
          </w:tcPr>
          <w:p w14:paraId="522F16BB"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17%</w:t>
            </w:r>
          </w:p>
        </w:tc>
        <w:tc>
          <w:tcPr>
            <w:tcW w:w="611" w:type="pct"/>
            <w:tcMar>
              <w:top w:w="0" w:type="dxa"/>
              <w:left w:w="108" w:type="dxa"/>
              <w:bottom w:w="0" w:type="dxa"/>
              <w:right w:w="108" w:type="dxa"/>
            </w:tcMar>
            <w:vAlign w:val="center"/>
            <w:hideMark/>
          </w:tcPr>
          <w:p w14:paraId="7387F7D8"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5%</w:t>
            </w:r>
          </w:p>
        </w:tc>
        <w:tc>
          <w:tcPr>
            <w:tcW w:w="654" w:type="pct"/>
            <w:tcMar>
              <w:top w:w="0" w:type="dxa"/>
              <w:left w:w="108" w:type="dxa"/>
              <w:bottom w:w="0" w:type="dxa"/>
              <w:right w:w="108" w:type="dxa"/>
            </w:tcMar>
            <w:vAlign w:val="center"/>
            <w:hideMark/>
          </w:tcPr>
          <w:p w14:paraId="423C1999" w14:textId="77777777" w:rsidR="008962E1" w:rsidRPr="008962E1" w:rsidRDefault="008962E1" w:rsidP="00923C4E">
            <w:pPr>
              <w:widowControl/>
              <w:autoSpaceDE/>
              <w:autoSpaceDN/>
              <w:jc w:val="center"/>
              <w:rPr>
                <w:rFonts w:eastAsia="宋体"/>
                <w:sz w:val="24"/>
                <w:szCs w:val="24"/>
                <w:lang w:eastAsia="zh-CN"/>
              </w:rPr>
            </w:pPr>
            <w:r w:rsidRPr="008962E1">
              <w:rPr>
                <w:rFonts w:eastAsia="宋体"/>
                <w:color w:val="222222"/>
                <w:sz w:val="21"/>
                <w:szCs w:val="21"/>
                <w:lang w:eastAsia="zh-CN"/>
              </w:rPr>
              <w:t>70%</w:t>
            </w:r>
          </w:p>
        </w:tc>
      </w:tr>
    </w:tbl>
    <w:p w14:paraId="30438DD0" w14:textId="77777777" w:rsidR="008962E1" w:rsidRDefault="008962E1" w:rsidP="00923C4E">
      <w:pPr>
        <w:pStyle w:val="a0"/>
        <w:spacing w:before="309" w:line="312" w:lineRule="auto"/>
        <w:ind w:left="311"/>
        <w:jc w:val="both"/>
        <w:rPr>
          <w:rFonts w:eastAsia="宋体"/>
          <w:lang w:eastAsia="zh-CN"/>
        </w:rPr>
      </w:pPr>
    </w:p>
    <w:tbl>
      <w:tblPr>
        <w:tblW w:w="479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2178"/>
        <w:gridCol w:w="1531"/>
        <w:gridCol w:w="1279"/>
        <w:gridCol w:w="1376"/>
        <w:gridCol w:w="1168"/>
        <w:gridCol w:w="1250"/>
      </w:tblGrid>
      <w:tr w:rsidR="00571ACB" w:rsidRPr="00571ACB" w14:paraId="50E26CB7" w14:textId="77777777" w:rsidTr="00A83861">
        <w:trPr>
          <w:trHeight w:val="405"/>
        </w:trPr>
        <w:tc>
          <w:tcPr>
            <w:tcW w:w="5000" w:type="pct"/>
            <w:gridSpan w:val="7"/>
            <w:shd w:val="clear" w:color="auto" w:fill="C00000"/>
            <w:tcMar>
              <w:top w:w="0" w:type="dxa"/>
              <w:left w:w="108" w:type="dxa"/>
              <w:bottom w:w="0" w:type="dxa"/>
              <w:right w:w="108" w:type="dxa"/>
            </w:tcMar>
            <w:vAlign w:val="center"/>
            <w:hideMark/>
          </w:tcPr>
          <w:p w14:paraId="3AB51B3B" w14:textId="39C71655" w:rsidR="00571ACB" w:rsidRPr="00571ACB" w:rsidRDefault="00571ACB" w:rsidP="00923C4E">
            <w:pPr>
              <w:widowControl/>
              <w:autoSpaceDE/>
              <w:autoSpaceDN/>
              <w:jc w:val="center"/>
              <w:rPr>
                <w:rFonts w:eastAsia="宋体"/>
                <w:sz w:val="24"/>
                <w:szCs w:val="24"/>
                <w:lang w:eastAsia="zh-CN"/>
              </w:rPr>
            </w:pPr>
            <w:r w:rsidRPr="00571ACB">
              <w:rPr>
                <w:rFonts w:eastAsia="宋体"/>
                <w:b/>
                <w:bCs/>
                <w:color w:val="000000"/>
                <w:sz w:val="24"/>
                <w:szCs w:val="24"/>
                <w:lang w:eastAsia="zh-CN"/>
              </w:rPr>
              <w:t>Table 2: Top 7 Stores by “</w:t>
            </w:r>
            <w:r w:rsidRPr="00571ACB">
              <w:rPr>
                <w:rFonts w:eastAsia="宋体"/>
                <w:b/>
                <w:bCs/>
                <w:color w:val="000000"/>
                <w:sz w:val="24"/>
                <w:szCs w:val="24"/>
                <w:lang w:eastAsia="zh-CN"/>
              </w:rPr>
              <w:t>李宁荣耀金标系列</w:t>
            </w:r>
            <w:r w:rsidRPr="00571ACB">
              <w:rPr>
                <w:rFonts w:eastAsia="宋体"/>
                <w:b/>
                <w:bCs/>
                <w:color w:val="000000"/>
                <w:sz w:val="24"/>
                <w:szCs w:val="24"/>
                <w:lang w:eastAsia="zh-CN"/>
              </w:rPr>
              <w:t>” in New Tier 1 cities</w:t>
            </w:r>
          </w:p>
        </w:tc>
      </w:tr>
      <w:tr w:rsidR="00571ACB" w:rsidRPr="00571ACB" w14:paraId="24583737" w14:textId="77777777" w:rsidTr="00A83861">
        <w:trPr>
          <w:trHeight w:val="669"/>
        </w:trPr>
        <w:tc>
          <w:tcPr>
            <w:tcW w:w="406" w:type="pct"/>
            <w:tcMar>
              <w:top w:w="0" w:type="dxa"/>
              <w:left w:w="108" w:type="dxa"/>
              <w:bottom w:w="0" w:type="dxa"/>
              <w:right w:w="108" w:type="dxa"/>
            </w:tcMar>
            <w:vAlign w:val="center"/>
            <w:hideMark/>
          </w:tcPr>
          <w:p w14:paraId="197190DC"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Rank</w:t>
            </w:r>
          </w:p>
        </w:tc>
        <w:tc>
          <w:tcPr>
            <w:tcW w:w="1139" w:type="pct"/>
            <w:tcMar>
              <w:top w:w="0" w:type="dxa"/>
              <w:left w:w="108" w:type="dxa"/>
              <w:bottom w:w="0" w:type="dxa"/>
              <w:right w:w="108" w:type="dxa"/>
            </w:tcMar>
            <w:vAlign w:val="center"/>
            <w:hideMark/>
          </w:tcPr>
          <w:p w14:paraId="34CEFC5F"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Store Name</w:t>
            </w:r>
          </w:p>
        </w:tc>
        <w:tc>
          <w:tcPr>
            <w:tcW w:w="801" w:type="pct"/>
            <w:tcMar>
              <w:top w:w="0" w:type="dxa"/>
              <w:left w:w="108" w:type="dxa"/>
              <w:bottom w:w="0" w:type="dxa"/>
              <w:right w:w="108" w:type="dxa"/>
            </w:tcMar>
            <w:vAlign w:val="center"/>
            <w:hideMark/>
          </w:tcPr>
          <w:p w14:paraId="03B4A80D"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City</w:t>
            </w:r>
          </w:p>
        </w:tc>
        <w:tc>
          <w:tcPr>
            <w:tcW w:w="669" w:type="pct"/>
            <w:tcMar>
              <w:top w:w="0" w:type="dxa"/>
              <w:left w:w="108" w:type="dxa"/>
              <w:bottom w:w="0" w:type="dxa"/>
              <w:right w:w="108" w:type="dxa"/>
            </w:tcMar>
            <w:vAlign w:val="center"/>
            <w:hideMark/>
          </w:tcPr>
          <w:p w14:paraId="449F9E8A"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金标</w:t>
            </w:r>
            <w:r w:rsidRPr="00571ACB">
              <w:rPr>
                <w:rFonts w:eastAsia="宋体"/>
                <w:b/>
                <w:bCs/>
                <w:color w:val="0F1115"/>
                <w:sz w:val="24"/>
                <w:szCs w:val="24"/>
                <w:lang w:eastAsia="zh-CN"/>
              </w:rPr>
              <w:t xml:space="preserve"> %</w:t>
            </w:r>
          </w:p>
        </w:tc>
        <w:tc>
          <w:tcPr>
            <w:tcW w:w="720" w:type="pct"/>
            <w:tcMar>
              <w:top w:w="0" w:type="dxa"/>
              <w:left w:w="108" w:type="dxa"/>
              <w:bottom w:w="0" w:type="dxa"/>
              <w:right w:w="108" w:type="dxa"/>
            </w:tcMar>
            <w:vAlign w:val="center"/>
            <w:hideMark/>
          </w:tcPr>
          <w:p w14:paraId="3A91E73B"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荣耀</w:t>
            </w:r>
            <w:r w:rsidRPr="00571ACB">
              <w:rPr>
                <w:rFonts w:eastAsia="宋体"/>
                <w:b/>
                <w:bCs/>
                <w:color w:val="0F1115"/>
                <w:sz w:val="24"/>
                <w:szCs w:val="24"/>
                <w:lang w:eastAsia="zh-CN"/>
              </w:rPr>
              <w:t xml:space="preserve"> %</w:t>
            </w:r>
          </w:p>
        </w:tc>
        <w:tc>
          <w:tcPr>
            <w:tcW w:w="611" w:type="pct"/>
            <w:tcMar>
              <w:top w:w="0" w:type="dxa"/>
              <w:left w:w="108" w:type="dxa"/>
              <w:bottom w:w="0" w:type="dxa"/>
              <w:right w:w="108" w:type="dxa"/>
            </w:tcMar>
            <w:vAlign w:val="center"/>
            <w:hideMark/>
          </w:tcPr>
          <w:p w14:paraId="0A6086C6"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国家队</w:t>
            </w:r>
            <w:r w:rsidRPr="00571ACB">
              <w:rPr>
                <w:rFonts w:eastAsia="宋体"/>
                <w:b/>
                <w:bCs/>
                <w:color w:val="0F1115"/>
                <w:sz w:val="24"/>
                <w:szCs w:val="24"/>
                <w:lang w:eastAsia="zh-CN"/>
              </w:rPr>
              <w:t xml:space="preserve"> %</w:t>
            </w:r>
          </w:p>
        </w:tc>
        <w:tc>
          <w:tcPr>
            <w:tcW w:w="653" w:type="pct"/>
            <w:tcMar>
              <w:top w:w="0" w:type="dxa"/>
              <w:left w:w="108" w:type="dxa"/>
              <w:bottom w:w="0" w:type="dxa"/>
              <w:right w:w="108" w:type="dxa"/>
            </w:tcMar>
            <w:vAlign w:val="center"/>
            <w:hideMark/>
          </w:tcPr>
          <w:p w14:paraId="341F0038" w14:textId="77777777" w:rsidR="00571ACB" w:rsidRPr="00571ACB" w:rsidRDefault="00571ACB" w:rsidP="00923C4E">
            <w:pPr>
              <w:widowControl/>
              <w:autoSpaceDE/>
              <w:autoSpaceDN/>
              <w:jc w:val="center"/>
              <w:rPr>
                <w:rFonts w:eastAsia="宋体"/>
                <w:b/>
                <w:bCs/>
                <w:sz w:val="24"/>
                <w:szCs w:val="24"/>
                <w:lang w:eastAsia="zh-CN"/>
              </w:rPr>
            </w:pPr>
            <w:r w:rsidRPr="00571ACB">
              <w:rPr>
                <w:rFonts w:eastAsia="宋体"/>
                <w:b/>
                <w:bCs/>
                <w:color w:val="0F1115"/>
                <w:sz w:val="24"/>
                <w:szCs w:val="24"/>
                <w:lang w:eastAsia="zh-CN"/>
              </w:rPr>
              <w:t>其他</w:t>
            </w:r>
            <w:r w:rsidRPr="00571ACB">
              <w:rPr>
                <w:rFonts w:eastAsia="宋体"/>
                <w:b/>
                <w:bCs/>
                <w:color w:val="0F1115"/>
                <w:sz w:val="24"/>
                <w:szCs w:val="24"/>
                <w:lang w:eastAsia="zh-CN"/>
              </w:rPr>
              <w:t xml:space="preserve"> %</w:t>
            </w:r>
          </w:p>
        </w:tc>
      </w:tr>
      <w:tr w:rsidR="00571ACB" w:rsidRPr="00571ACB" w14:paraId="33990CDC" w14:textId="77777777" w:rsidTr="00A83861">
        <w:trPr>
          <w:trHeight w:val="405"/>
        </w:trPr>
        <w:tc>
          <w:tcPr>
            <w:tcW w:w="406" w:type="pct"/>
            <w:tcMar>
              <w:top w:w="0" w:type="dxa"/>
              <w:left w:w="108" w:type="dxa"/>
              <w:bottom w:w="0" w:type="dxa"/>
              <w:right w:w="108" w:type="dxa"/>
            </w:tcMar>
            <w:vAlign w:val="center"/>
            <w:hideMark/>
          </w:tcPr>
          <w:p w14:paraId="674B0EC5"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1</w:t>
            </w:r>
          </w:p>
        </w:tc>
        <w:tc>
          <w:tcPr>
            <w:tcW w:w="1139" w:type="pct"/>
            <w:tcMar>
              <w:top w:w="0" w:type="dxa"/>
              <w:left w:w="108" w:type="dxa"/>
              <w:bottom w:w="0" w:type="dxa"/>
              <w:right w:w="108" w:type="dxa"/>
            </w:tcMar>
            <w:vAlign w:val="center"/>
            <w:hideMark/>
          </w:tcPr>
          <w:p w14:paraId="45829AF2"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长沙</w:t>
            </w:r>
            <w:r w:rsidRPr="00571ACB">
              <w:rPr>
                <w:rFonts w:eastAsia="宋体"/>
                <w:color w:val="333333"/>
                <w:lang w:eastAsia="zh-CN"/>
              </w:rPr>
              <w:t xml:space="preserve"> IFS </w:t>
            </w:r>
            <w:r w:rsidRPr="00571ACB">
              <w:rPr>
                <w:rFonts w:eastAsia="宋体"/>
                <w:color w:val="333333"/>
                <w:lang w:eastAsia="zh-CN"/>
              </w:rPr>
              <w:t>国金中心</w:t>
            </w:r>
          </w:p>
        </w:tc>
        <w:tc>
          <w:tcPr>
            <w:tcW w:w="801" w:type="pct"/>
            <w:tcMar>
              <w:top w:w="0" w:type="dxa"/>
              <w:left w:w="108" w:type="dxa"/>
              <w:bottom w:w="0" w:type="dxa"/>
              <w:right w:w="108" w:type="dxa"/>
            </w:tcMar>
            <w:vAlign w:val="center"/>
            <w:hideMark/>
          </w:tcPr>
          <w:p w14:paraId="3E7F07A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Changsha</w:t>
            </w:r>
          </w:p>
        </w:tc>
        <w:tc>
          <w:tcPr>
            <w:tcW w:w="669" w:type="pct"/>
            <w:tcMar>
              <w:top w:w="0" w:type="dxa"/>
              <w:left w:w="108" w:type="dxa"/>
              <w:bottom w:w="0" w:type="dxa"/>
              <w:right w:w="108" w:type="dxa"/>
            </w:tcMar>
            <w:vAlign w:val="center"/>
            <w:hideMark/>
          </w:tcPr>
          <w:p w14:paraId="2A55BEC1"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12%</w:t>
            </w:r>
          </w:p>
        </w:tc>
        <w:tc>
          <w:tcPr>
            <w:tcW w:w="720" w:type="pct"/>
            <w:tcMar>
              <w:top w:w="0" w:type="dxa"/>
              <w:left w:w="108" w:type="dxa"/>
              <w:bottom w:w="0" w:type="dxa"/>
              <w:right w:w="108" w:type="dxa"/>
            </w:tcMar>
            <w:vAlign w:val="center"/>
            <w:hideMark/>
          </w:tcPr>
          <w:p w14:paraId="3683BC3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27%</w:t>
            </w:r>
          </w:p>
        </w:tc>
        <w:tc>
          <w:tcPr>
            <w:tcW w:w="611" w:type="pct"/>
            <w:tcMar>
              <w:top w:w="0" w:type="dxa"/>
              <w:left w:w="108" w:type="dxa"/>
              <w:bottom w:w="0" w:type="dxa"/>
              <w:right w:w="108" w:type="dxa"/>
            </w:tcMar>
            <w:vAlign w:val="center"/>
            <w:hideMark/>
          </w:tcPr>
          <w:p w14:paraId="76D87C7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w:t>
            </w:r>
          </w:p>
        </w:tc>
        <w:tc>
          <w:tcPr>
            <w:tcW w:w="653" w:type="pct"/>
            <w:tcMar>
              <w:top w:w="0" w:type="dxa"/>
              <w:left w:w="108" w:type="dxa"/>
              <w:bottom w:w="0" w:type="dxa"/>
              <w:right w:w="108" w:type="dxa"/>
            </w:tcMar>
            <w:vAlign w:val="center"/>
            <w:hideMark/>
          </w:tcPr>
          <w:p w14:paraId="6A2BF66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60%</w:t>
            </w:r>
          </w:p>
        </w:tc>
      </w:tr>
      <w:tr w:rsidR="00571ACB" w:rsidRPr="00571ACB" w14:paraId="5FE816EF" w14:textId="77777777" w:rsidTr="00A83861">
        <w:trPr>
          <w:trHeight w:val="405"/>
        </w:trPr>
        <w:tc>
          <w:tcPr>
            <w:tcW w:w="406" w:type="pct"/>
            <w:tcMar>
              <w:top w:w="0" w:type="dxa"/>
              <w:left w:w="108" w:type="dxa"/>
              <w:bottom w:w="0" w:type="dxa"/>
              <w:right w:w="108" w:type="dxa"/>
            </w:tcMar>
            <w:vAlign w:val="center"/>
            <w:hideMark/>
          </w:tcPr>
          <w:p w14:paraId="118F314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2</w:t>
            </w:r>
          </w:p>
        </w:tc>
        <w:tc>
          <w:tcPr>
            <w:tcW w:w="1139" w:type="pct"/>
            <w:tcMar>
              <w:top w:w="0" w:type="dxa"/>
              <w:left w:w="108" w:type="dxa"/>
              <w:bottom w:w="0" w:type="dxa"/>
              <w:right w:w="108" w:type="dxa"/>
            </w:tcMar>
            <w:vAlign w:val="center"/>
            <w:hideMark/>
          </w:tcPr>
          <w:p w14:paraId="3D627D6F"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武汉武商广场</w:t>
            </w:r>
          </w:p>
        </w:tc>
        <w:tc>
          <w:tcPr>
            <w:tcW w:w="801" w:type="pct"/>
            <w:tcMar>
              <w:top w:w="0" w:type="dxa"/>
              <w:left w:w="108" w:type="dxa"/>
              <w:bottom w:w="0" w:type="dxa"/>
              <w:right w:w="108" w:type="dxa"/>
            </w:tcMar>
            <w:vAlign w:val="center"/>
            <w:hideMark/>
          </w:tcPr>
          <w:p w14:paraId="0672E2D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Wuhan</w:t>
            </w:r>
          </w:p>
        </w:tc>
        <w:tc>
          <w:tcPr>
            <w:tcW w:w="669" w:type="pct"/>
            <w:tcMar>
              <w:top w:w="0" w:type="dxa"/>
              <w:left w:w="108" w:type="dxa"/>
              <w:bottom w:w="0" w:type="dxa"/>
              <w:right w:w="108" w:type="dxa"/>
            </w:tcMar>
            <w:vAlign w:val="center"/>
            <w:hideMark/>
          </w:tcPr>
          <w:p w14:paraId="007531F1"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11%</w:t>
            </w:r>
          </w:p>
        </w:tc>
        <w:tc>
          <w:tcPr>
            <w:tcW w:w="720" w:type="pct"/>
            <w:tcMar>
              <w:top w:w="0" w:type="dxa"/>
              <w:left w:w="108" w:type="dxa"/>
              <w:bottom w:w="0" w:type="dxa"/>
              <w:right w:w="108" w:type="dxa"/>
            </w:tcMar>
            <w:vAlign w:val="center"/>
            <w:hideMark/>
          </w:tcPr>
          <w:p w14:paraId="2B09AA3E"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30%</w:t>
            </w:r>
          </w:p>
        </w:tc>
        <w:tc>
          <w:tcPr>
            <w:tcW w:w="611" w:type="pct"/>
            <w:tcMar>
              <w:top w:w="0" w:type="dxa"/>
              <w:left w:w="108" w:type="dxa"/>
              <w:bottom w:w="0" w:type="dxa"/>
              <w:right w:w="108" w:type="dxa"/>
            </w:tcMar>
            <w:vAlign w:val="center"/>
            <w:hideMark/>
          </w:tcPr>
          <w:p w14:paraId="2CD4CF23"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0%</w:t>
            </w:r>
          </w:p>
        </w:tc>
        <w:tc>
          <w:tcPr>
            <w:tcW w:w="653" w:type="pct"/>
            <w:tcMar>
              <w:top w:w="0" w:type="dxa"/>
              <w:left w:w="108" w:type="dxa"/>
              <w:bottom w:w="0" w:type="dxa"/>
              <w:right w:w="108" w:type="dxa"/>
            </w:tcMar>
            <w:vAlign w:val="center"/>
            <w:hideMark/>
          </w:tcPr>
          <w:p w14:paraId="7B1B430C"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58%</w:t>
            </w:r>
          </w:p>
        </w:tc>
      </w:tr>
      <w:tr w:rsidR="00571ACB" w:rsidRPr="00571ACB" w14:paraId="7FD34E53" w14:textId="77777777" w:rsidTr="00A83861">
        <w:trPr>
          <w:trHeight w:val="405"/>
        </w:trPr>
        <w:tc>
          <w:tcPr>
            <w:tcW w:w="406" w:type="pct"/>
            <w:tcMar>
              <w:top w:w="0" w:type="dxa"/>
              <w:left w:w="108" w:type="dxa"/>
              <w:bottom w:w="0" w:type="dxa"/>
              <w:right w:w="108" w:type="dxa"/>
            </w:tcMar>
            <w:vAlign w:val="center"/>
            <w:hideMark/>
          </w:tcPr>
          <w:p w14:paraId="65C4C2E3"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3</w:t>
            </w:r>
          </w:p>
        </w:tc>
        <w:tc>
          <w:tcPr>
            <w:tcW w:w="1139" w:type="pct"/>
            <w:tcMar>
              <w:top w:w="0" w:type="dxa"/>
              <w:left w:w="108" w:type="dxa"/>
              <w:bottom w:w="0" w:type="dxa"/>
              <w:right w:w="108" w:type="dxa"/>
            </w:tcMar>
            <w:vAlign w:val="center"/>
            <w:hideMark/>
          </w:tcPr>
          <w:p w14:paraId="4875662A"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南京德基广场（</w:t>
            </w:r>
            <w:r w:rsidRPr="00571ACB">
              <w:rPr>
                <w:rFonts w:eastAsia="宋体"/>
                <w:color w:val="333333"/>
                <w:lang w:eastAsia="zh-CN"/>
              </w:rPr>
              <w:t xml:space="preserve">A </w:t>
            </w:r>
            <w:r w:rsidRPr="00571ACB">
              <w:rPr>
                <w:rFonts w:eastAsia="宋体"/>
                <w:color w:val="333333"/>
                <w:lang w:eastAsia="zh-CN"/>
              </w:rPr>
              <w:t>馆）</w:t>
            </w:r>
          </w:p>
        </w:tc>
        <w:tc>
          <w:tcPr>
            <w:tcW w:w="801" w:type="pct"/>
            <w:tcMar>
              <w:top w:w="0" w:type="dxa"/>
              <w:left w:w="108" w:type="dxa"/>
              <w:bottom w:w="0" w:type="dxa"/>
              <w:right w:w="108" w:type="dxa"/>
            </w:tcMar>
            <w:vAlign w:val="center"/>
            <w:hideMark/>
          </w:tcPr>
          <w:p w14:paraId="5ADD4215"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Nanjin</w:t>
            </w:r>
          </w:p>
        </w:tc>
        <w:tc>
          <w:tcPr>
            <w:tcW w:w="669" w:type="pct"/>
            <w:tcMar>
              <w:top w:w="0" w:type="dxa"/>
              <w:left w:w="108" w:type="dxa"/>
              <w:bottom w:w="0" w:type="dxa"/>
              <w:right w:w="108" w:type="dxa"/>
            </w:tcMar>
            <w:vAlign w:val="center"/>
            <w:hideMark/>
          </w:tcPr>
          <w:p w14:paraId="753CFDE3"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11%</w:t>
            </w:r>
          </w:p>
        </w:tc>
        <w:tc>
          <w:tcPr>
            <w:tcW w:w="720" w:type="pct"/>
            <w:tcMar>
              <w:top w:w="0" w:type="dxa"/>
              <w:left w:w="108" w:type="dxa"/>
              <w:bottom w:w="0" w:type="dxa"/>
              <w:right w:w="108" w:type="dxa"/>
            </w:tcMar>
            <w:vAlign w:val="center"/>
            <w:hideMark/>
          </w:tcPr>
          <w:p w14:paraId="3FE4DAA3"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26%</w:t>
            </w:r>
          </w:p>
        </w:tc>
        <w:tc>
          <w:tcPr>
            <w:tcW w:w="611" w:type="pct"/>
            <w:tcMar>
              <w:top w:w="0" w:type="dxa"/>
              <w:left w:w="108" w:type="dxa"/>
              <w:bottom w:w="0" w:type="dxa"/>
              <w:right w:w="108" w:type="dxa"/>
            </w:tcMar>
            <w:vAlign w:val="center"/>
            <w:hideMark/>
          </w:tcPr>
          <w:p w14:paraId="49A46BB7"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0%</w:t>
            </w:r>
          </w:p>
        </w:tc>
        <w:tc>
          <w:tcPr>
            <w:tcW w:w="653" w:type="pct"/>
            <w:tcMar>
              <w:top w:w="0" w:type="dxa"/>
              <w:left w:w="108" w:type="dxa"/>
              <w:bottom w:w="0" w:type="dxa"/>
              <w:right w:w="108" w:type="dxa"/>
            </w:tcMar>
            <w:vAlign w:val="center"/>
            <w:hideMark/>
          </w:tcPr>
          <w:p w14:paraId="43C536C7"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63%</w:t>
            </w:r>
          </w:p>
        </w:tc>
      </w:tr>
      <w:tr w:rsidR="00571ACB" w:rsidRPr="00571ACB" w14:paraId="46C6D8CB" w14:textId="77777777" w:rsidTr="00A83861">
        <w:trPr>
          <w:trHeight w:val="405"/>
        </w:trPr>
        <w:tc>
          <w:tcPr>
            <w:tcW w:w="406" w:type="pct"/>
            <w:tcMar>
              <w:top w:w="0" w:type="dxa"/>
              <w:left w:w="108" w:type="dxa"/>
              <w:bottom w:w="0" w:type="dxa"/>
              <w:right w:w="108" w:type="dxa"/>
            </w:tcMar>
            <w:vAlign w:val="center"/>
            <w:hideMark/>
          </w:tcPr>
          <w:p w14:paraId="6870C4C7"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4</w:t>
            </w:r>
          </w:p>
        </w:tc>
        <w:tc>
          <w:tcPr>
            <w:tcW w:w="1139" w:type="pct"/>
            <w:tcMar>
              <w:top w:w="0" w:type="dxa"/>
              <w:left w:w="108" w:type="dxa"/>
              <w:bottom w:w="0" w:type="dxa"/>
              <w:right w:w="108" w:type="dxa"/>
            </w:tcMar>
            <w:vAlign w:val="center"/>
            <w:hideMark/>
          </w:tcPr>
          <w:p w14:paraId="493A059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沈阳万象城</w:t>
            </w:r>
          </w:p>
        </w:tc>
        <w:tc>
          <w:tcPr>
            <w:tcW w:w="801" w:type="pct"/>
            <w:tcMar>
              <w:top w:w="0" w:type="dxa"/>
              <w:left w:w="108" w:type="dxa"/>
              <w:bottom w:w="0" w:type="dxa"/>
              <w:right w:w="108" w:type="dxa"/>
            </w:tcMar>
            <w:vAlign w:val="center"/>
            <w:hideMark/>
          </w:tcPr>
          <w:p w14:paraId="51F5895C"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Shenyang</w:t>
            </w:r>
          </w:p>
        </w:tc>
        <w:tc>
          <w:tcPr>
            <w:tcW w:w="669" w:type="pct"/>
            <w:tcMar>
              <w:top w:w="0" w:type="dxa"/>
              <w:left w:w="108" w:type="dxa"/>
              <w:bottom w:w="0" w:type="dxa"/>
              <w:right w:w="108" w:type="dxa"/>
            </w:tcMar>
            <w:vAlign w:val="center"/>
            <w:hideMark/>
          </w:tcPr>
          <w:p w14:paraId="53A372E6"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11%</w:t>
            </w:r>
          </w:p>
        </w:tc>
        <w:tc>
          <w:tcPr>
            <w:tcW w:w="720" w:type="pct"/>
            <w:tcMar>
              <w:top w:w="0" w:type="dxa"/>
              <w:left w:w="108" w:type="dxa"/>
              <w:bottom w:w="0" w:type="dxa"/>
              <w:right w:w="108" w:type="dxa"/>
            </w:tcMar>
            <w:vAlign w:val="center"/>
            <w:hideMark/>
          </w:tcPr>
          <w:p w14:paraId="407BD1A6"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29%</w:t>
            </w:r>
          </w:p>
        </w:tc>
        <w:tc>
          <w:tcPr>
            <w:tcW w:w="611" w:type="pct"/>
            <w:tcMar>
              <w:top w:w="0" w:type="dxa"/>
              <w:left w:w="108" w:type="dxa"/>
              <w:bottom w:w="0" w:type="dxa"/>
              <w:right w:w="108" w:type="dxa"/>
            </w:tcMar>
            <w:vAlign w:val="center"/>
            <w:hideMark/>
          </w:tcPr>
          <w:p w14:paraId="69269CF4"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0%</w:t>
            </w:r>
          </w:p>
        </w:tc>
        <w:tc>
          <w:tcPr>
            <w:tcW w:w="653" w:type="pct"/>
            <w:tcMar>
              <w:top w:w="0" w:type="dxa"/>
              <w:left w:w="108" w:type="dxa"/>
              <w:bottom w:w="0" w:type="dxa"/>
              <w:right w:w="108" w:type="dxa"/>
            </w:tcMar>
            <w:vAlign w:val="center"/>
            <w:hideMark/>
          </w:tcPr>
          <w:p w14:paraId="096019B5"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60%</w:t>
            </w:r>
          </w:p>
        </w:tc>
      </w:tr>
      <w:tr w:rsidR="00571ACB" w:rsidRPr="00571ACB" w14:paraId="19185DEB" w14:textId="77777777" w:rsidTr="00A83861">
        <w:trPr>
          <w:trHeight w:val="405"/>
        </w:trPr>
        <w:tc>
          <w:tcPr>
            <w:tcW w:w="406" w:type="pct"/>
            <w:tcMar>
              <w:top w:w="0" w:type="dxa"/>
              <w:left w:w="108" w:type="dxa"/>
              <w:bottom w:w="0" w:type="dxa"/>
              <w:right w:w="108" w:type="dxa"/>
            </w:tcMar>
            <w:vAlign w:val="center"/>
            <w:hideMark/>
          </w:tcPr>
          <w:p w14:paraId="5577CBBF"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5</w:t>
            </w:r>
          </w:p>
        </w:tc>
        <w:tc>
          <w:tcPr>
            <w:tcW w:w="1139" w:type="pct"/>
            <w:tcMar>
              <w:top w:w="0" w:type="dxa"/>
              <w:left w:w="108" w:type="dxa"/>
              <w:bottom w:w="0" w:type="dxa"/>
              <w:right w:w="108" w:type="dxa"/>
            </w:tcMar>
            <w:vAlign w:val="center"/>
            <w:hideMark/>
          </w:tcPr>
          <w:p w14:paraId="6FD03CB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郑州丹尼斯大卫城</w:t>
            </w:r>
          </w:p>
        </w:tc>
        <w:tc>
          <w:tcPr>
            <w:tcW w:w="801" w:type="pct"/>
            <w:tcMar>
              <w:top w:w="0" w:type="dxa"/>
              <w:left w:w="108" w:type="dxa"/>
              <w:bottom w:w="0" w:type="dxa"/>
              <w:right w:w="108" w:type="dxa"/>
            </w:tcMar>
            <w:vAlign w:val="center"/>
            <w:hideMark/>
          </w:tcPr>
          <w:p w14:paraId="22B652FC"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Zhengzhou</w:t>
            </w:r>
          </w:p>
        </w:tc>
        <w:tc>
          <w:tcPr>
            <w:tcW w:w="669" w:type="pct"/>
            <w:tcMar>
              <w:top w:w="0" w:type="dxa"/>
              <w:left w:w="108" w:type="dxa"/>
              <w:bottom w:w="0" w:type="dxa"/>
              <w:right w:w="108" w:type="dxa"/>
            </w:tcMar>
            <w:vAlign w:val="center"/>
            <w:hideMark/>
          </w:tcPr>
          <w:p w14:paraId="479A5601"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10%</w:t>
            </w:r>
          </w:p>
        </w:tc>
        <w:tc>
          <w:tcPr>
            <w:tcW w:w="720" w:type="pct"/>
            <w:tcMar>
              <w:top w:w="0" w:type="dxa"/>
              <w:left w:w="108" w:type="dxa"/>
              <w:bottom w:w="0" w:type="dxa"/>
              <w:right w:w="108" w:type="dxa"/>
            </w:tcMar>
            <w:vAlign w:val="center"/>
            <w:hideMark/>
          </w:tcPr>
          <w:p w14:paraId="06E230A5"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28%</w:t>
            </w:r>
          </w:p>
        </w:tc>
        <w:tc>
          <w:tcPr>
            <w:tcW w:w="611" w:type="pct"/>
            <w:tcMar>
              <w:top w:w="0" w:type="dxa"/>
              <w:left w:w="108" w:type="dxa"/>
              <w:bottom w:w="0" w:type="dxa"/>
              <w:right w:w="108" w:type="dxa"/>
            </w:tcMar>
            <w:vAlign w:val="center"/>
            <w:hideMark/>
          </w:tcPr>
          <w:p w14:paraId="2E70D9F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0%</w:t>
            </w:r>
          </w:p>
        </w:tc>
        <w:tc>
          <w:tcPr>
            <w:tcW w:w="653" w:type="pct"/>
            <w:tcMar>
              <w:top w:w="0" w:type="dxa"/>
              <w:left w:w="108" w:type="dxa"/>
              <w:bottom w:w="0" w:type="dxa"/>
              <w:right w:w="108" w:type="dxa"/>
            </w:tcMar>
            <w:vAlign w:val="center"/>
            <w:hideMark/>
          </w:tcPr>
          <w:p w14:paraId="3A66E97E"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62%</w:t>
            </w:r>
          </w:p>
        </w:tc>
      </w:tr>
      <w:tr w:rsidR="00571ACB" w:rsidRPr="00571ACB" w14:paraId="7468AE70" w14:textId="77777777" w:rsidTr="00A83861">
        <w:trPr>
          <w:trHeight w:val="405"/>
        </w:trPr>
        <w:tc>
          <w:tcPr>
            <w:tcW w:w="406" w:type="pct"/>
            <w:tcMar>
              <w:top w:w="0" w:type="dxa"/>
              <w:left w:w="108" w:type="dxa"/>
              <w:bottom w:w="0" w:type="dxa"/>
              <w:right w:w="108" w:type="dxa"/>
            </w:tcMar>
            <w:vAlign w:val="center"/>
            <w:hideMark/>
          </w:tcPr>
          <w:p w14:paraId="56D7BD5D"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6</w:t>
            </w:r>
          </w:p>
        </w:tc>
        <w:tc>
          <w:tcPr>
            <w:tcW w:w="1139" w:type="pct"/>
            <w:tcMar>
              <w:top w:w="0" w:type="dxa"/>
              <w:left w:w="108" w:type="dxa"/>
              <w:bottom w:w="0" w:type="dxa"/>
              <w:right w:w="108" w:type="dxa"/>
            </w:tcMar>
            <w:vAlign w:val="center"/>
            <w:hideMark/>
          </w:tcPr>
          <w:p w14:paraId="2D886D15"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杭州万象城</w:t>
            </w:r>
          </w:p>
        </w:tc>
        <w:tc>
          <w:tcPr>
            <w:tcW w:w="801" w:type="pct"/>
            <w:tcMar>
              <w:top w:w="0" w:type="dxa"/>
              <w:left w:w="108" w:type="dxa"/>
              <w:bottom w:w="0" w:type="dxa"/>
              <w:right w:w="108" w:type="dxa"/>
            </w:tcMar>
            <w:vAlign w:val="center"/>
            <w:hideMark/>
          </w:tcPr>
          <w:p w14:paraId="65CD7F5D"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Hangzhou</w:t>
            </w:r>
          </w:p>
        </w:tc>
        <w:tc>
          <w:tcPr>
            <w:tcW w:w="669" w:type="pct"/>
            <w:tcMar>
              <w:top w:w="0" w:type="dxa"/>
              <w:left w:w="108" w:type="dxa"/>
              <w:bottom w:w="0" w:type="dxa"/>
              <w:right w:w="108" w:type="dxa"/>
            </w:tcMar>
            <w:vAlign w:val="center"/>
            <w:hideMark/>
          </w:tcPr>
          <w:p w14:paraId="179C109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10%</w:t>
            </w:r>
          </w:p>
        </w:tc>
        <w:tc>
          <w:tcPr>
            <w:tcW w:w="720" w:type="pct"/>
            <w:tcMar>
              <w:top w:w="0" w:type="dxa"/>
              <w:left w:w="108" w:type="dxa"/>
              <w:bottom w:w="0" w:type="dxa"/>
              <w:right w:w="108" w:type="dxa"/>
            </w:tcMar>
            <w:vAlign w:val="center"/>
            <w:hideMark/>
          </w:tcPr>
          <w:p w14:paraId="593549B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28%</w:t>
            </w:r>
          </w:p>
        </w:tc>
        <w:tc>
          <w:tcPr>
            <w:tcW w:w="611" w:type="pct"/>
            <w:tcMar>
              <w:top w:w="0" w:type="dxa"/>
              <w:left w:w="108" w:type="dxa"/>
              <w:bottom w:w="0" w:type="dxa"/>
              <w:right w:w="108" w:type="dxa"/>
            </w:tcMar>
            <w:vAlign w:val="center"/>
            <w:hideMark/>
          </w:tcPr>
          <w:p w14:paraId="6C5A0204"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w:t>
            </w:r>
          </w:p>
        </w:tc>
        <w:tc>
          <w:tcPr>
            <w:tcW w:w="653" w:type="pct"/>
            <w:tcMar>
              <w:top w:w="0" w:type="dxa"/>
              <w:left w:w="108" w:type="dxa"/>
              <w:bottom w:w="0" w:type="dxa"/>
              <w:right w:w="108" w:type="dxa"/>
            </w:tcMar>
            <w:vAlign w:val="center"/>
            <w:hideMark/>
          </w:tcPr>
          <w:p w14:paraId="540C3C0D"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59%</w:t>
            </w:r>
          </w:p>
        </w:tc>
      </w:tr>
      <w:tr w:rsidR="00571ACB" w:rsidRPr="00571ACB" w14:paraId="6722173E" w14:textId="77777777" w:rsidTr="00A83861">
        <w:trPr>
          <w:trHeight w:val="432"/>
        </w:trPr>
        <w:tc>
          <w:tcPr>
            <w:tcW w:w="406" w:type="pct"/>
            <w:tcMar>
              <w:top w:w="0" w:type="dxa"/>
              <w:left w:w="108" w:type="dxa"/>
              <w:bottom w:w="0" w:type="dxa"/>
              <w:right w:w="108" w:type="dxa"/>
            </w:tcMar>
            <w:vAlign w:val="center"/>
            <w:hideMark/>
          </w:tcPr>
          <w:p w14:paraId="6EF8F83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0F1115"/>
                <w:sz w:val="24"/>
                <w:szCs w:val="24"/>
                <w:lang w:eastAsia="zh-CN"/>
              </w:rPr>
              <w:t>7</w:t>
            </w:r>
          </w:p>
        </w:tc>
        <w:tc>
          <w:tcPr>
            <w:tcW w:w="1139" w:type="pct"/>
            <w:tcMar>
              <w:top w:w="0" w:type="dxa"/>
              <w:left w:w="108" w:type="dxa"/>
              <w:bottom w:w="0" w:type="dxa"/>
              <w:right w:w="108" w:type="dxa"/>
            </w:tcMar>
            <w:vAlign w:val="center"/>
            <w:hideMark/>
          </w:tcPr>
          <w:p w14:paraId="60576E28"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南京德基广场（</w:t>
            </w:r>
            <w:r w:rsidRPr="00571ACB">
              <w:rPr>
                <w:rFonts w:eastAsia="宋体"/>
                <w:color w:val="333333"/>
                <w:lang w:eastAsia="zh-CN"/>
              </w:rPr>
              <w:t xml:space="preserve">B </w:t>
            </w:r>
            <w:r w:rsidRPr="00571ACB">
              <w:rPr>
                <w:rFonts w:eastAsia="宋体"/>
                <w:color w:val="333333"/>
                <w:lang w:eastAsia="zh-CN"/>
              </w:rPr>
              <w:t>馆）</w:t>
            </w:r>
          </w:p>
        </w:tc>
        <w:tc>
          <w:tcPr>
            <w:tcW w:w="801" w:type="pct"/>
            <w:tcMar>
              <w:top w:w="0" w:type="dxa"/>
              <w:left w:w="108" w:type="dxa"/>
              <w:bottom w:w="0" w:type="dxa"/>
              <w:right w:w="108" w:type="dxa"/>
            </w:tcMar>
            <w:vAlign w:val="center"/>
            <w:hideMark/>
          </w:tcPr>
          <w:p w14:paraId="1529F171"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333333"/>
                <w:lang w:eastAsia="zh-CN"/>
              </w:rPr>
              <w:t>Nanjin</w:t>
            </w:r>
          </w:p>
        </w:tc>
        <w:tc>
          <w:tcPr>
            <w:tcW w:w="669" w:type="pct"/>
            <w:tcMar>
              <w:top w:w="0" w:type="dxa"/>
              <w:left w:w="108" w:type="dxa"/>
              <w:bottom w:w="0" w:type="dxa"/>
              <w:right w:w="108" w:type="dxa"/>
            </w:tcMar>
            <w:vAlign w:val="center"/>
            <w:hideMark/>
          </w:tcPr>
          <w:p w14:paraId="052027AA"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10%</w:t>
            </w:r>
          </w:p>
        </w:tc>
        <w:tc>
          <w:tcPr>
            <w:tcW w:w="720" w:type="pct"/>
            <w:tcMar>
              <w:top w:w="0" w:type="dxa"/>
              <w:left w:w="108" w:type="dxa"/>
              <w:bottom w:w="0" w:type="dxa"/>
              <w:right w:w="108" w:type="dxa"/>
            </w:tcMar>
            <w:vAlign w:val="center"/>
            <w:hideMark/>
          </w:tcPr>
          <w:p w14:paraId="3D9E4D4B"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30%</w:t>
            </w:r>
          </w:p>
        </w:tc>
        <w:tc>
          <w:tcPr>
            <w:tcW w:w="611" w:type="pct"/>
            <w:tcMar>
              <w:top w:w="0" w:type="dxa"/>
              <w:left w:w="108" w:type="dxa"/>
              <w:bottom w:w="0" w:type="dxa"/>
              <w:right w:w="108" w:type="dxa"/>
            </w:tcMar>
            <w:vAlign w:val="center"/>
            <w:hideMark/>
          </w:tcPr>
          <w:p w14:paraId="7D081A59"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2%</w:t>
            </w:r>
          </w:p>
        </w:tc>
        <w:tc>
          <w:tcPr>
            <w:tcW w:w="653" w:type="pct"/>
            <w:tcMar>
              <w:top w:w="0" w:type="dxa"/>
              <w:left w:w="108" w:type="dxa"/>
              <w:bottom w:w="0" w:type="dxa"/>
              <w:right w:w="108" w:type="dxa"/>
            </w:tcMar>
            <w:vAlign w:val="center"/>
            <w:hideMark/>
          </w:tcPr>
          <w:p w14:paraId="3AE7BBF2" w14:textId="77777777" w:rsidR="00571ACB" w:rsidRPr="00571ACB" w:rsidRDefault="00571ACB" w:rsidP="00923C4E">
            <w:pPr>
              <w:widowControl/>
              <w:autoSpaceDE/>
              <w:autoSpaceDN/>
              <w:jc w:val="center"/>
              <w:rPr>
                <w:rFonts w:eastAsia="宋体"/>
                <w:sz w:val="24"/>
                <w:szCs w:val="24"/>
                <w:lang w:eastAsia="zh-CN"/>
              </w:rPr>
            </w:pPr>
            <w:r w:rsidRPr="00571ACB">
              <w:rPr>
                <w:rFonts w:eastAsia="宋体"/>
                <w:color w:val="222222"/>
                <w:sz w:val="21"/>
                <w:szCs w:val="21"/>
                <w:lang w:eastAsia="zh-CN"/>
              </w:rPr>
              <w:t>58%</w:t>
            </w:r>
          </w:p>
        </w:tc>
      </w:tr>
    </w:tbl>
    <w:p w14:paraId="2CC91BD5" w14:textId="77777777" w:rsidR="00571ACB" w:rsidRPr="00571ACB" w:rsidRDefault="00571ACB" w:rsidP="00923C4E">
      <w:pPr>
        <w:pStyle w:val="a0"/>
        <w:spacing w:before="309" w:line="312" w:lineRule="auto"/>
        <w:ind w:left="311"/>
        <w:jc w:val="both"/>
        <w:rPr>
          <w:rFonts w:eastAsia="宋体"/>
          <w:b/>
          <w:bCs/>
        </w:rPr>
      </w:pPr>
      <w:r w:rsidRPr="00571ACB">
        <w:rPr>
          <w:rFonts w:eastAsia="宋体"/>
          <w:b/>
          <w:bCs/>
        </w:rPr>
        <w:t>Key Insights</w:t>
      </w:r>
    </w:p>
    <w:p w14:paraId="3A3D8994" w14:textId="1308B2EC" w:rsidR="00571ACB" w:rsidRPr="00571ACB" w:rsidRDefault="00571ACB" w:rsidP="00923C4E">
      <w:pPr>
        <w:pStyle w:val="a0"/>
        <w:spacing w:before="309" w:line="312" w:lineRule="auto"/>
        <w:ind w:left="311"/>
        <w:jc w:val="both"/>
        <w:rPr>
          <w:rFonts w:eastAsia="宋体"/>
        </w:rPr>
      </w:pPr>
      <w:r>
        <w:rPr>
          <w:rFonts w:eastAsia="宋体" w:hint="eastAsia"/>
          <w:lang w:eastAsia="zh-CN"/>
        </w:rPr>
        <w:t xml:space="preserve">a. </w:t>
      </w:r>
      <w:r w:rsidRPr="00571ACB">
        <w:rPr>
          <w:rFonts w:eastAsia="宋体"/>
        </w:rPr>
        <w:t>Top Tier 1 stores outperform New Tier 1 stores in Gold share. For example, Beijing China World Mall achieves a Gold share of 17%, which is significantly higher than Changsha IFS at 12%.</w:t>
      </w:r>
    </w:p>
    <w:p w14:paraId="65D3CC61" w14:textId="18549D3A" w:rsidR="00571ACB" w:rsidRPr="00571ACB" w:rsidRDefault="00571ACB" w:rsidP="00923C4E">
      <w:pPr>
        <w:pStyle w:val="a0"/>
        <w:spacing w:before="309" w:line="312" w:lineRule="auto"/>
        <w:ind w:left="311"/>
        <w:jc w:val="both"/>
        <w:rPr>
          <w:rFonts w:eastAsia="宋体"/>
        </w:rPr>
      </w:pPr>
      <w:r>
        <w:rPr>
          <w:rFonts w:eastAsia="宋体" w:hint="eastAsia"/>
          <w:lang w:eastAsia="zh-CN"/>
        </w:rPr>
        <w:t xml:space="preserve">b. </w:t>
      </w:r>
      <w:r w:rsidRPr="00571ACB">
        <w:rPr>
          <w:rFonts w:eastAsia="宋体"/>
        </w:rPr>
        <w:t xml:space="preserve">Glory share is consistently high across all top-performing stores. Regardless of whether the </w:t>
      </w:r>
      <w:r w:rsidRPr="00571ACB">
        <w:rPr>
          <w:rFonts w:eastAsia="宋体"/>
        </w:rPr>
        <w:lastRenderedPageBreak/>
        <w:t>store is in a Tier 1 or New Tier 1 city, the Glory share remains strong, ranging from 25% to 32%.</w:t>
      </w:r>
    </w:p>
    <w:p w14:paraId="0954885F" w14:textId="65EA776C" w:rsidR="00571ACB" w:rsidRPr="00571ACB" w:rsidRDefault="00571ACB" w:rsidP="00923C4E">
      <w:pPr>
        <w:pStyle w:val="a0"/>
        <w:spacing w:before="309" w:line="312" w:lineRule="auto"/>
        <w:ind w:left="311"/>
        <w:jc w:val="both"/>
        <w:rPr>
          <w:rFonts w:eastAsia="宋体"/>
        </w:rPr>
      </w:pPr>
      <w:r>
        <w:rPr>
          <w:rFonts w:eastAsia="宋体" w:hint="eastAsia"/>
          <w:lang w:eastAsia="zh-CN"/>
        </w:rPr>
        <w:t xml:space="preserve">c. </w:t>
      </w:r>
      <w:r w:rsidRPr="00571ACB">
        <w:rPr>
          <w:rFonts w:eastAsia="宋体"/>
        </w:rPr>
        <w:t xml:space="preserve">National Team share is very low across almost all stores, with shares ranging from 0% to only 5%. </w:t>
      </w:r>
    </w:p>
    <w:p w14:paraId="7D0E5F28" w14:textId="46DCCD18" w:rsidR="00571ACB" w:rsidRPr="00596C04" w:rsidRDefault="00571ACB" w:rsidP="00923C4E">
      <w:pPr>
        <w:pStyle w:val="a0"/>
        <w:spacing w:before="309" w:line="312" w:lineRule="auto"/>
        <w:ind w:left="311"/>
        <w:jc w:val="both"/>
        <w:rPr>
          <w:rFonts w:eastAsia="宋体"/>
        </w:rPr>
      </w:pPr>
      <w:r>
        <w:rPr>
          <w:rFonts w:eastAsia="宋体" w:hint="eastAsia"/>
          <w:lang w:eastAsia="zh-CN"/>
        </w:rPr>
        <w:t xml:space="preserve">d. </w:t>
      </w:r>
      <w:r w:rsidRPr="00571ACB">
        <w:rPr>
          <w:rFonts w:eastAsia="宋体"/>
        </w:rPr>
        <w:t>Store-level variation is significant, even within the same city. In Shanghai, for instance, Gold share varies considerably from as low as 6% to as high as 16%, depending on the specific commercial complex.</w:t>
      </w:r>
      <w:r w:rsidRPr="008962E1">
        <w:rPr>
          <w:rFonts w:eastAsia="宋体"/>
        </w:rPr>
        <w:t>Based on the MNL model predictions, we identified the top 7 highest potential stores for selling the “</w:t>
      </w:r>
      <w:r w:rsidRPr="008962E1">
        <w:rPr>
          <w:rFonts w:eastAsia="宋体"/>
        </w:rPr>
        <w:t>李宁荣耀金标系列</w:t>
      </w:r>
      <w:r w:rsidRPr="008962E1">
        <w:rPr>
          <w:rFonts w:eastAsia="宋体"/>
        </w:rPr>
        <w:t>” for Tier 1 and New Tier 1 cities. The results are shown in the tables attached below.</w:t>
      </w:r>
    </w:p>
    <w:p w14:paraId="6A2D7D9C" w14:textId="77777777" w:rsidR="00571ACB" w:rsidRPr="00571ACB" w:rsidRDefault="00571ACB" w:rsidP="00923C4E">
      <w:pPr>
        <w:pStyle w:val="a0"/>
        <w:spacing w:before="309" w:line="312" w:lineRule="auto"/>
        <w:ind w:left="311"/>
        <w:jc w:val="both"/>
        <w:rPr>
          <w:rFonts w:eastAsia="宋体"/>
          <w:b/>
          <w:bCs/>
          <w:lang w:eastAsia="zh-CN"/>
        </w:rPr>
      </w:pPr>
      <w:r w:rsidRPr="00571ACB">
        <w:rPr>
          <w:rFonts w:eastAsia="宋体"/>
          <w:b/>
          <w:bCs/>
          <w:lang w:eastAsia="zh-CN"/>
        </w:rPr>
        <w:t>Strategic Recommendations</w:t>
      </w:r>
    </w:p>
    <w:p w14:paraId="6E38AB4D" w14:textId="0CA4B731" w:rsidR="00571ACB" w:rsidRPr="00571ACB" w:rsidRDefault="00571ACB" w:rsidP="00923C4E">
      <w:pPr>
        <w:pStyle w:val="a0"/>
        <w:spacing w:before="309" w:line="312" w:lineRule="auto"/>
        <w:ind w:left="311"/>
        <w:jc w:val="both"/>
        <w:rPr>
          <w:rFonts w:eastAsia="宋体"/>
          <w:lang w:eastAsia="zh-CN"/>
        </w:rPr>
      </w:pPr>
      <w:r>
        <w:rPr>
          <w:rFonts w:eastAsia="宋体" w:hint="eastAsia"/>
          <w:lang w:eastAsia="zh-CN"/>
        </w:rPr>
        <w:t xml:space="preserve">a. </w:t>
      </w:r>
      <w:r w:rsidRPr="00571ACB">
        <w:rPr>
          <w:rFonts w:eastAsia="宋体"/>
          <w:lang w:eastAsia="zh-CN"/>
        </w:rPr>
        <w:t>We recommend prioritizing the top seven stores in each city tier for pop-up store launches, as these stores show the highest Gold and Glory acceptance based on our model predictions.</w:t>
      </w:r>
    </w:p>
    <w:p w14:paraId="0F109CD1" w14:textId="27E54399" w:rsidR="00571ACB" w:rsidRPr="00571ACB" w:rsidRDefault="00571ACB" w:rsidP="00923C4E">
      <w:pPr>
        <w:pStyle w:val="a0"/>
        <w:spacing w:before="309" w:line="312" w:lineRule="auto"/>
        <w:ind w:left="311"/>
        <w:jc w:val="both"/>
        <w:rPr>
          <w:rFonts w:eastAsia="宋体"/>
          <w:lang w:eastAsia="zh-CN"/>
        </w:rPr>
      </w:pPr>
      <w:r>
        <w:rPr>
          <w:rFonts w:eastAsia="宋体" w:hint="eastAsia"/>
          <w:lang w:eastAsia="zh-CN"/>
        </w:rPr>
        <w:t xml:space="preserve">b. </w:t>
      </w:r>
      <w:r w:rsidRPr="00571ACB">
        <w:rPr>
          <w:rFonts w:eastAsia="宋体"/>
          <w:lang w:eastAsia="zh-CN"/>
        </w:rPr>
        <w:t>For the Glory series, all top stores in both city tiers show strong Glory share between 25% and 32%. Therefore, this series is suitable for broad promotion across most core commercial complexes.</w:t>
      </w:r>
    </w:p>
    <w:p w14:paraId="0B5CAA83" w14:textId="32BE2100" w:rsidR="00571ACB" w:rsidRPr="00571ACB" w:rsidRDefault="00571ACB" w:rsidP="00923C4E">
      <w:pPr>
        <w:pStyle w:val="a0"/>
        <w:spacing w:before="309" w:line="312" w:lineRule="auto"/>
        <w:ind w:left="311"/>
        <w:jc w:val="both"/>
        <w:rPr>
          <w:rFonts w:eastAsia="宋体"/>
          <w:lang w:eastAsia="zh-CN"/>
        </w:rPr>
      </w:pPr>
      <w:r>
        <w:rPr>
          <w:rFonts w:eastAsia="宋体" w:hint="eastAsia"/>
          <w:lang w:eastAsia="zh-CN"/>
        </w:rPr>
        <w:t xml:space="preserve">c. </w:t>
      </w:r>
      <w:r w:rsidRPr="00571ACB">
        <w:rPr>
          <w:rFonts w:eastAsia="宋体"/>
          <w:lang w:eastAsia="zh-CN"/>
        </w:rPr>
        <w:t>For the National Team series, we recommend not allocating significant inventory, with a maximum of 0% to 5%, as the demand has proven to be consistently low across almost all store types. However, the National Team series could be piloted in top-tier commercial complexes in Tier 1 cities to test market response, rather than being prioritized for broad pop-up store allocation.</w:t>
      </w:r>
    </w:p>
    <w:p w14:paraId="7DBA3C38" w14:textId="7BFBC490" w:rsidR="00571ACB" w:rsidRDefault="00571ACB" w:rsidP="00923C4E">
      <w:pPr>
        <w:pStyle w:val="a0"/>
        <w:spacing w:before="309" w:line="312" w:lineRule="auto"/>
        <w:ind w:left="311"/>
        <w:jc w:val="both"/>
        <w:rPr>
          <w:rFonts w:eastAsia="宋体"/>
          <w:lang w:eastAsia="zh-CN"/>
        </w:rPr>
      </w:pPr>
      <w:r>
        <w:rPr>
          <w:rFonts w:eastAsia="宋体" w:hint="eastAsia"/>
          <w:lang w:eastAsia="zh-CN"/>
        </w:rPr>
        <w:t xml:space="preserve">d. </w:t>
      </w:r>
      <w:r w:rsidRPr="00571ACB">
        <w:rPr>
          <w:rFonts w:eastAsia="宋体"/>
          <w:lang w:eastAsia="zh-CN"/>
        </w:rPr>
        <w:t>For suburban and community malls, the strategy should focus primarily on the Other series, allocating 70% or more of inventory to basic products, while keeping Gold share below 8%.</w:t>
      </w:r>
    </w:p>
    <w:p w14:paraId="72F5A0F3" w14:textId="77777777" w:rsidR="00571ACB" w:rsidRPr="00571ACB" w:rsidRDefault="00571ACB" w:rsidP="00923C4E">
      <w:pPr>
        <w:pStyle w:val="a0"/>
        <w:spacing w:before="309" w:line="312" w:lineRule="auto"/>
        <w:ind w:left="311"/>
        <w:jc w:val="both"/>
        <w:rPr>
          <w:rFonts w:eastAsia="宋体"/>
        </w:rPr>
      </w:pPr>
      <w:r w:rsidRPr="00571ACB">
        <w:rPr>
          <w:rFonts w:eastAsia="宋体"/>
        </w:rPr>
        <w:t>To facilitate easier access for the business team, we have developed an AI bot that allows users to input natural language queries and generate assortment recommendations for individual commercial complexes.</w:t>
      </w:r>
    </w:p>
    <w:p w14:paraId="61624208" w14:textId="05B12712" w:rsidR="00571ACB" w:rsidRPr="00571ACB" w:rsidRDefault="00571ACB" w:rsidP="00923C4E">
      <w:pPr>
        <w:pStyle w:val="2"/>
        <w:ind w:right="0"/>
      </w:pPr>
      <w:bookmarkStart w:id="27" w:name="_Toc229242125"/>
      <w:r w:rsidRPr="00571ACB">
        <w:t>AI-Assisted Assortment Recommendation System: Implementation and Testing Report</w:t>
      </w:r>
      <w:bookmarkEnd w:id="27"/>
    </w:p>
    <w:p w14:paraId="27827640" w14:textId="6101B424" w:rsidR="00571ACB" w:rsidRPr="00596C04" w:rsidRDefault="00D72BC3" w:rsidP="00923C4E">
      <w:pPr>
        <w:pStyle w:val="a0"/>
        <w:spacing w:before="309" w:line="312" w:lineRule="auto"/>
        <w:ind w:left="311"/>
        <w:jc w:val="both"/>
        <w:rPr>
          <w:rFonts w:eastAsia="宋体"/>
        </w:rPr>
      </w:pPr>
      <w:r w:rsidRPr="00D72BC3">
        <w:rPr>
          <w:rFonts w:eastAsia="宋体"/>
        </w:rPr>
        <w:t>Link for AI bot:</w:t>
      </w:r>
      <w:hyperlink r:id="rId26" w:history="1">
        <w:r w:rsidRPr="00D72BC3">
          <w:rPr>
            <w:rStyle w:val="ab"/>
            <w:rFonts w:eastAsia="宋体"/>
            <w:color w:val="00B0F0"/>
          </w:rPr>
          <w:t xml:space="preserve"> https://www.coze.cn/s/v-rkoQAwYeA/</w:t>
        </w:r>
      </w:hyperlink>
    </w:p>
    <w:p w14:paraId="303C1F33" w14:textId="658A6B74" w:rsidR="00D72BC3" w:rsidRPr="00D72BC3" w:rsidRDefault="00D72BC3" w:rsidP="00923C4E">
      <w:pPr>
        <w:pStyle w:val="3"/>
        <w:ind w:right="0"/>
        <w:rPr>
          <w:rFonts w:eastAsia="宋体"/>
        </w:rPr>
      </w:pPr>
      <w:r w:rsidRPr="00D72BC3">
        <w:rPr>
          <w:rFonts w:eastAsia="宋体"/>
        </w:rPr>
        <w:t>System Background and Objective</w:t>
      </w:r>
    </w:p>
    <w:p w14:paraId="0D85B24F" w14:textId="77777777" w:rsidR="00D72BC3" w:rsidRPr="00D72BC3" w:rsidRDefault="00D72BC3" w:rsidP="00923C4E">
      <w:pPr>
        <w:pStyle w:val="a0"/>
        <w:spacing w:before="309" w:line="312" w:lineRule="auto"/>
        <w:ind w:left="311"/>
        <w:jc w:val="both"/>
        <w:rPr>
          <w:rFonts w:eastAsia="宋体"/>
        </w:rPr>
      </w:pPr>
      <w:r w:rsidRPr="00D72BC3">
        <w:rPr>
          <w:rFonts w:eastAsia="宋体"/>
        </w:rPr>
        <w:lastRenderedPageBreak/>
        <w:t>In this project, we built an assortment recommendation model for Li-Ning’s new-category stores based on consumer profile data, historical pop-up store sales data, and mall-level characteristics.</w:t>
      </w:r>
    </w:p>
    <w:p w14:paraId="5D163ED0" w14:textId="77777777" w:rsidR="00D72BC3" w:rsidRPr="00D72BC3" w:rsidRDefault="00D72BC3" w:rsidP="00923C4E">
      <w:pPr>
        <w:pStyle w:val="a0"/>
        <w:spacing w:before="309" w:line="312" w:lineRule="auto"/>
        <w:ind w:left="311"/>
        <w:jc w:val="both"/>
        <w:rPr>
          <w:rFonts w:eastAsia="宋体"/>
        </w:rPr>
      </w:pPr>
      <w:r w:rsidRPr="00D72BC3">
        <w:rPr>
          <w:rFonts w:eastAsia="宋体"/>
        </w:rPr>
        <w:t>The model can evaluate the potential of a commercial complex based on its mall profile and generate recommended allocation shares for different product lines, such as Li-Ning Glory, Li-Ning Glory Gold Label, National Team, and Other Series.</w:t>
      </w:r>
    </w:p>
    <w:p w14:paraId="3974A1A8" w14:textId="77777777" w:rsidR="00D72BC3" w:rsidRPr="00D72BC3" w:rsidRDefault="00D72BC3" w:rsidP="00923C4E">
      <w:pPr>
        <w:pStyle w:val="a0"/>
        <w:spacing w:before="309" w:line="312" w:lineRule="auto"/>
        <w:ind w:left="311"/>
        <w:jc w:val="both"/>
        <w:rPr>
          <w:rFonts w:eastAsia="宋体"/>
        </w:rPr>
      </w:pPr>
      <w:r w:rsidRPr="00D72BC3">
        <w:rPr>
          <w:rFonts w:eastAsia="宋体"/>
        </w:rPr>
        <w:t>To connect the existing model with AI, our team developed an AI-assisted retail recommendation prototype. Users can upload Excel files and enter natural-language prompts to call the backend model and obtain analysis results.</w:t>
      </w:r>
    </w:p>
    <w:p w14:paraId="4A6A79AE" w14:textId="77777777" w:rsidR="00D72BC3" w:rsidRPr="00D72BC3" w:rsidRDefault="00D72BC3" w:rsidP="00923C4E">
      <w:pPr>
        <w:pStyle w:val="a0"/>
        <w:spacing w:before="309" w:line="312" w:lineRule="auto"/>
        <w:ind w:left="311"/>
        <w:jc w:val="both"/>
        <w:rPr>
          <w:rFonts w:eastAsia="宋体"/>
        </w:rPr>
      </w:pPr>
      <w:r w:rsidRPr="00D72BC3">
        <w:rPr>
          <w:rFonts w:eastAsia="宋体"/>
        </w:rPr>
        <w:t>The system does not allow AI to generate predictions on its own. Instead, AI serves as a natural-language interface.</w:t>
      </w:r>
    </w:p>
    <w:p w14:paraId="6483F11F" w14:textId="71CAE545" w:rsidR="00D72BC3" w:rsidRPr="00571ACB" w:rsidRDefault="00D72BC3" w:rsidP="00923C4E">
      <w:pPr>
        <w:pStyle w:val="a0"/>
        <w:spacing w:before="309" w:line="312" w:lineRule="auto"/>
        <w:ind w:left="311"/>
        <w:jc w:val="both"/>
        <w:rPr>
          <w:rFonts w:eastAsia="宋体"/>
        </w:rPr>
      </w:pPr>
      <w:r w:rsidRPr="00D72BC3">
        <w:rPr>
          <w:rFonts w:eastAsia="宋体"/>
        </w:rPr>
        <w:t>The numerical calculations are still completed by the backend model. AI mainly understands user questions, triggers the corresponding workflow, and translates model outputs into business-readable conclusions.</w:t>
      </w:r>
    </w:p>
    <w:p w14:paraId="1F323E3A" w14:textId="77777777" w:rsidR="00D72BC3" w:rsidRPr="00D72BC3" w:rsidRDefault="00D72BC3" w:rsidP="00923C4E">
      <w:pPr>
        <w:pStyle w:val="3"/>
        <w:ind w:right="0"/>
        <w:rPr>
          <w:rFonts w:eastAsia="宋体"/>
        </w:rPr>
      </w:pPr>
      <w:r w:rsidRPr="00D72BC3">
        <w:rPr>
          <w:rFonts w:eastAsia="宋体"/>
        </w:rPr>
        <w:t>Overall System Introduction</w:t>
      </w:r>
    </w:p>
    <w:p w14:paraId="6589EEE4" w14:textId="77777777" w:rsidR="00D72BC3" w:rsidRPr="00D72BC3" w:rsidRDefault="00D72BC3" w:rsidP="00923C4E">
      <w:pPr>
        <w:pStyle w:val="a0"/>
        <w:spacing w:before="309" w:line="312" w:lineRule="auto"/>
        <w:ind w:left="311"/>
        <w:jc w:val="both"/>
        <w:rPr>
          <w:rFonts w:eastAsia="宋体"/>
        </w:rPr>
      </w:pPr>
      <w:r w:rsidRPr="00D72BC3">
        <w:rPr>
          <w:rFonts w:eastAsia="宋体"/>
        </w:rPr>
        <w:t>The system is implemented using Coze Bot + Coze Workflow + Railway backend + GitHub code management.</w:t>
      </w:r>
    </w:p>
    <w:p w14:paraId="779E8707" w14:textId="77777777" w:rsidR="00D72BC3" w:rsidRPr="00D72BC3" w:rsidRDefault="00D72BC3" w:rsidP="00923C4E">
      <w:pPr>
        <w:pStyle w:val="a0"/>
        <w:spacing w:before="309" w:line="312" w:lineRule="auto"/>
        <w:ind w:left="311"/>
        <w:jc w:val="both"/>
        <w:rPr>
          <w:rFonts w:eastAsia="宋体"/>
        </w:rPr>
      </w:pPr>
      <w:r w:rsidRPr="00D72BC3">
        <w:rPr>
          <w:rFonts w:eastAsia="宋体"/>
        </w:rPr>
        <w:t>In process Description:</w:t>
      </w:r>
    </w:p>
    <w:p w14:paraId="17AF0E75" w14:textId="77777777" w:rsidR="00D72BC3" w:rsidRPr="00D72BC3" w:rsidRDefault="00D72BC3" w:rsidP="00923C4E">
      <w:pPr>
        <w:pStyle w:val="a0"/>
        <w:spacing w:before="309" w:line="312" w:lineRule="auto"/>
        <w:ind w:left="311"/>
        <w:jc w:val="both"/>
        <w:rPr>
          <w:rFonts w:eastAsia="宋体"/>
        </w:rPr>
      </w:pPr>
      <w:r w:rsidRPr="00D72BC3">
        <w:rPr>
          <w:rFonts w:eastAsia="宋体"/>
        </w:rPr>
        <w:t>(1)The user uploads seven Excel files and enters a natural-language prompt.</w:t>
      </w:r>
    </w:p>
    <w:p w14:paraId="31CA5C2C" w14:textId="77777777" w:rsidR="00D72BC3" w:rsidRPr="00D72BC3" w:rsidRDefault="00D72BC3" w:rsidP="00923C4E">
      <w:pPr>
        <w:pStyle w:val="a0"/>
        <w:spacing w:before="309" w:line="312" w:lineRule="auto"/>
        <w:ind w:left="311"/>
        <w:jc w:val="both"/>
        <w:rPr>
          <w:rFonts w:eastAsia="宋体"/>
        </w:rPr>
      </w:pPr>
      <w:r w:rsidRPr="00D72BC3">
        <w:rPr>
          <w:rFonts w:eastAsia="宋体"/>
        </w:rPr>
        <w:t>(2)Coze Bot understands the user’s intent and triggers the corresponding workflow.</w:t>
      </w:r>
    </w:p>
    <w:p w14:paraId="3B3ECA45" w14:textId="77777777" w:rsidR="00D72BC3" w:rsidRPr="00D72BC3" w:rsidRDefault="00D72BC3" w:rsidP="00923C4E">
      <w:pPr>
        <w:pStyle w:val="a0"/>
        <w:spacing w:before="309" w:line="312" w:lineRule="auto"/>
        <w:ind w:left="311"/>
        <w:jc w:val="both"/>
        <w:rPr>
          <w:rFonts w:eastAsia="宋体"/>
        </w:rPr>
      </w:pPr>
      <w:r w:rsidRPr="00D72BC3">
        <w:rPr>
          <w:rFonts w:eastAsia="宋体"/>
        </w:rPr>
        <w:t>(3)Coze Workflow calls the Railway backend API and passes the uploaded file parameters.</w:t>
      </w:r>
    </w:p>
    <w:p w14:paraId="72E27B13" w14:textId="77777777" w:rsidR="00D72BC3" w:rsidRPr="00D72BC3" w:rsidRDefault="00D72BC3" w:rsidP="00923C4E">
      <w:pPr>
        <w:pStyle w:val="a0"/>
        <w:spacing w:before="309" w:line="312" w:lineRule="auto"/>
        <w:ind w:left="311"/>
        <w:jc w:val="both"/>
        <w:rPr>
          <w:rFonts w:eastAsia="宋体"/>
        </w:rPr>
      </w:pPr>
      <w:r w:rsidRPr="00D72BC3">
        <w:rPr>
          <w:rFonts w:eastAsia="宋体"/>
        </w:rPr>
        <w:t>(4)Railway backend receives the HTTP request from the workflow node and calls the Python backend interface deployed on Railway.</w:t>
      </w:r>
    </w:p>
    <w:p w14:paraId="75988913" w14:textId="77777777" w:rsidR="00D72BC3" w:rsidRPr="00D72BC3" w:rsidRDefault="00D72BC3" w:rsidP="00923C4E">
      <w:pPr>
        <w:pStyle w:val="a0"/>
        <w:spacing w:before="309" w:line="312" w:lineRule="auto"/>
        <w:ind w:left="311"/>
        <w:jc w:val="both"/>
        <w:rPr>
          <w:rFonts w:eastAsia="宋体"/>
        </w:rPr>
      </w:pPr>
      <w:r w:rsidRPr="00D72BC3">
        <w:rPr>
          <w:rFonts w:eastAsia="宋体"/>
        </w:rPr>
        <w:t>(5)Backend computation reads and parses the Excel files, then completes data reading, cleaning, merging, and model calculation.</w:t>
      </w:r>
    </w:p>
    <w:p w14:paraId="77CFA3CC" w14:textId="77777777" w:rsidR="00D72BC3" w:rsidRPr="00D72BC3" w:rsidRDefault="00D72BC3" w:rsidP="00923C4E">
      <w:pPr>
        <w:pStyle w:val="a0"/>
        <w:spacing w:before="309" w:line="312" w:lineRule="auto"/>
        <w:ind w:left="311"/>
        <w:jc w:val="both"/>
        <w:rPr>
          <w:rFonts w:eastAsia="宋体"/>
        </w:rPr>
      </w:pPr>
      <w:r w:rsidRPr="00D72BC3">
        <w:rPr>
          <w:rFonts w:eastAsia="宋体"/>
        </w:rPr>
        <w:t>(6)Result return sends back outputs such as predicted product-line shares for each commercial complex and the TOP20 commercial complex list in JSON format.</w:t>
      </w:r>
    </w:p>
    <w:p w14:paraId="73CBB9B9" w14:textId="77777777" w:rsidR="00D72BC3" w:rsidRPr="00D72BC3" w:rsidRDefault="00D72BC3" w:rsidP="00923C4E">
      <w:pPr>
        <w:pStyle w:val="a0"/>
        <w:spacing w:before="309" w:line="312" w:lineRule="auto"/>
        <w:ind w:left="311"/>
        <w:jc w:val="both"/>
        <w:rPr>
          <w:rFonts w:eastAsia="宋体"/>
        </w:rPr>
      </w:pPr>
      <w:r w:rsidRPr="00D72BC3">
        <w:rPr>
          <w:rFonts w:eastAsia="宋体"/>
        </w:rPr>
        <w:lastRenderedPageBreak/>
        <w:t>(7)Coze Bot output converts the structured model results into language that business users can understand.</w:t>
      </w:r>
    </w:p>
    <w:p w14:paraId="69A0EEB5" w14:textId="77777777" w:rsidR="00D72BC3" w:rsidRPr="00D72BC3" w:rsidRDefault="00D72BC3" w:rsidP="00923C4E">
      <w:pPr>
        <w:pStyle w:val="a0"/>
        <w:spacing w:before="309" w:line="312" w:lineRule="auto"/>
        <w:ind w:left="311"/>
        <w:jc w:val="both"/>
        <w:rPr>
          <w:rFonts w:eastAsia="宋体"/>
        </w:rPr>
      </w:pPr>
      <w:r w:rsidRPr="00D72BC3">
        <w:rPr>
          <w:rFonts w:eastAsia="宋体"/>
        </w:rPr>
        <w:t>In module Functions, Coze Bot provides the user interaction interface, receives uploaded files and natural-language prompts, and triggers the corresponding workflow based on user intent. Coze Workflow receives instructions from the bot, calls the corresponding backend API on Railway, and passes the uploaded file parameters. Railway deploys the Python backend model server and connects with the GitHub repository for automatic deployment. GitHub stores the backend code and connects with Railway for automatic deployment. Python analysis service performs data cleaning, feature engineering, clustering analysis, model prediction, and result output in JSON format. Coze Bot then explains the structured model results in language that business users can understand.</w:t>
      </w:r>
    </w:p>
    <w:p w14:paraId="5DF2835F" w14:textId="77777777" w:rsidR="00D72BC3" w:rsidRPr="00D72BC3" w:rsidRDefault="00D72BC3" w:rsidP="00923C4E">
      <w:pPr>
        <w:pStyle w:val="a0"/>
        <w:spacing w:before="309" w:line="312" w:lineRule="auto"/>
        <w:ind w:left="311"/>
        <w:jc w:val="both"/>
        <w:rPr>
          <w:rFonts w:eastAsia="宋体"/>
        </w:rPr>
      </w:pPr>
      <w:r w:rsidRPr="00D72BC3">
        <w:rPr>
          <w:rFonts w:eastAsia="宋体"/>
        </w:rPr>
        <w:t xml:space="preserve"> The system does not allow AI to generate predictions on its own. Instead, AI is used as the natural-language interaction layer. AI is responsible for understanding user questions, identifying the task type, triggering the corresponding process, and translating results into business language. The backend model is responsible for data processing and numerical calculation, including clustering and prediction.</w:t>
      </w:r>
    </w:p>
    <w:p w14:paraId="61050F7E" w14:textId="0896965B" w:rsidR="00D72BC3" w:rsidRPr="00D72BC3" w:rsidRDefault="00D72BC3" w:rsidP="00923C4E">
      <w:pPr>
        <w:pStyle w:val="a0"/>
        <w:spacing w:before="309" w:line="312" w:lineRule="auto"/>
        <w:ind w:left="311"/>
        <w:jc w:val="both"/>
        <w:rPr>
          <w:rFonts w:eastAsia="宋体"/>
        </w:rPr>
      </w:pPr>
      <w:r w:rsidRPr="00D72BC3">
        <w:rPr>
          <w:rFonts w:eastAsia="宋体"/>
        </w:rPr>
        <w:t>This design turns a model that originally could only run in a Notebook into an AI decision-support tool that can be used through a chat interface.</w:t>
      </w:r>
    </w:p>
    <w:p w14:paraId="34E1A01F" w14:textId="77777777" w:rsidR="00D72BC3" w:rsidRPr="00D72BC3" w:rsidRDefault="00D72BC3" w:rsidP="00923C4E">
      <w:pPr>
        <w:pStyle w:val="3"/>
        <w:ind w:right="0"/>
        <w:rPr>
          <w:rFonts w:eastAsia="宋体"/>
        </w:rPr>
      </w:pPr>
      <w:r w:rsidRPr="00D72BC3">
        <w:rPr>
          <w:rFonts w:eastAsia="宋体"/>
        </w:rPr>
        <w:t>Input File Design</w:t>
      </w:r>
    </w:p>
    <w:p w14:paraId="4EC8A4B8" w14:textId="77777777" w:rsidR="00D72BC3" w:rsidRPr="00D72BC3" w:rsidRDefault="00D72BC3" w:rsidP="00923C4E">
      <w:pPr>
        <w:pStyle w:val="a0"/>
        <w:spacing w:before="309" w:line="312" w:lineRule="auto"/>
        <w:ind w:left="311"/>
        <w:jc w:val="both"/>
        <w:rPr>
          <w:rFonts w:eastAsia="宋体"/>
        </w:rPr>
      </w:pPr>
      <w:r w:rsidRPr="00D72BC3">
        <w:rPr>
          <w:rFonts w:eastAsia="宋体"/>
        </w:rPr>
        <w:t>The current prototype requires users to upload seven Excel files.</w:t>
      </w:r>
    </w:p>
    <w:p w14:paraId="0264106C" w14:textId="77777777" w:rsidR="00D72BC3" w:rsidRPr="00D72BC3" w:rsidRDefault="00D72BC3" w:rsidP="00923C4E">
      <w:pPr>
        <w:pStyle w:val="a0"/>
        <w:spacing w:before="309" w:line="312" w:lineRule="auto"/>
        <w:ind w:left="311"/>
        <w:jc w:val="both"/>
        <w:rPr>
          <w:rFonts w:eastAsia="宋体"/>
        </w:rPr>
      </w:pPr>
      <w:r w:rsidRPr="00D72BC3">
        <w:rPr>
          <w:rFonts w:eastAsia="宋体"/>
        </w:rPr>
        <w:t>These files come from the original project data. After splitting and format standardization, they can be read more stably by the workflow.</w:t>
      </w:r>
    </w:p>
    <w:p w14:paraId="3B3C1D69" w14:textId="6E2E2651" w:rsidR="00D72BC3" w:rsidRPr="00D72BC3" w:rsidRDefault="00D72BC3" w:rsidP="00923C4E">
      <w:pPr>
        <w:pStyle w:val="a0"/>
        <w:spacing w:before="309" w:line="312" w:lineRule="auto"/>
        <w:ind w:left="311"/>
        <w:jc w:val="both"/>
        <w:rPr>
          <w:rFonts w:eastAsia="宋体"/>
        </w:rPr>
      </w:pPr>
      <w:r w:rsidRPr="00D72BC3">
        <w:rPr>
          <w:rFonts w:eastAsia="宋体"/>
        </w:rPr>
        <w:t>The seven files are listed below:</w:t>
      </w:r>
    </w:p>
    <w:tbl>
      <w:tblPr>
        <w:tblW w:w="0" w:type="auto"/>
        <w:tblBorders>
          <w:top w:val="single" w:sz="12" w:space="0" w:color="auto"/>
          <w:left w:val="single" w:sz="12" w:space="0" w:color="auto"/>
          <w:bottom w:val="single" w:sz="12" w:space="0" w:color="auto"/>
          <w:right w:val="single" w:sz="12" w:space="0" w:color="auto"/>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2205"/>
        <w:gridCol w:w="1872"/>
        <w:gridCol w:w="4962"/>
      </w:tblGrid>
      <w:tr w:rsidR="00D72BC3" w:rsidRPr="00D72BC3" w14:paraId="258016F8" w14:textId="77777777" w:rsidTr="00175D7E">
        <w:trPr>
          <w:trHeight w:val="405"/>
        </w:trPr>
        <w:tc>
          <w:tcPr>
            <w:tcW w:w="2205" w:type="dxa"/>
            <w:shd w:val="clear" w:color="auto" w:fill="C00000"/>
            <w:tcMar>
              <w:top w:w="0" w:type="dxa"/>
              <w:left w:w="108" w:type="dxa"/>
              <w:bottom w:w="0" w:type="dxa"/>
              <w:right w:w="108" w:type="dxa"/>
            </w:tcMar>
            <w:vAlign w:val="center"/>
            <w:hideMark/>
          </w:tcPr>
          <w:p w14:paraId="53D980FE" w14:textId="77777777" w:rsidR="00D72BC3" w:rsidRPr="00D72BC3" w:rsidRDefault="00D72BC3" w:rsidP="00923C4E">
            <w:pPr>
              <w:widowControl/>
              <w:autoSpaceDE/>
              <w:autoSpaceDN/>
              <w:spacing w:after="160"/>
              <w:jc w:val="center"/>
              <w:rPr>
                <w:rFonts w:eastAsia="宋体"/>
                <w:b/>
                <w:bCs/>
                <w:sz w:val="24"/>
                <w:szCs w:val="24"/>
                <w:lang w:eastAsia="zh-CN"/>
              </w:rPr>
            </w:pPr>
            <w:r w:rsidRPr="00D72BC3">
              <w:rPr>
                <w:rFonts w:eastAsia="宋体"/>
                <w:b/>
                <w:bCs/>
                <w:color w:val="000000"/>
                <w:sz w:val="24"/>
                <w:szCs w:val="24"/>
                <w:lang w:eastAsia="zh-CN"/>
              </w:rPr>
              <w:t>File Name</w:t>
            </w:r>
          </w:p>
        </w:tc>
        <w:tc>
          <w:tcPr>
            <w:tcW w:w="1872" w:type="dxa"/>
            <w:shd w:val="clear" w:color="auto" w:fill="C00000"/>
            <w:tcMar>
              <w:top w:w="0" w:type="dxa"/>
              <w:left w:w="108" w:type="dxa"/>
              <w:bottom w:w="0" w:type="dxa"/>
              <w:right w:w="108" w:type="dxa"/>
            </w:tcMar>
            <w:vAlign w:val="center"/>
            <w:hideMark/>
          </w:tcPr>
          <w:p w14:paraId="5A36604C" w14:textId="77777777" w:rsidR="00D72BC3" w:rsidRPr="00D72BC3" w:rsidRDefault="00D72BC3" w:rsidP="00923C4E">
            <w:pPr>
              <w:widowControl/>
              <w:autoSpaceDE/>
              <w:autoSpaceDN/>
              <w:spacing w:after="160"/>
              <w:jc w:val="center"/>
              <w:rPr>
                <w:rFonts w:eastAsia="宋体"/>
                <w:b/>
                <w:bCs/>
                <w:sz w:val="24"/>
                <w:szCs w:val="24"/>
                <w:lang w:eastAsia="zh-CN"/>
              </w:rPr>
            </w:pPr>
            <w:r w:rsidRPr="00D72BC3">
              <w:rPr>
                <w:rFonts w:eastAsia="宋体"/>
                <w:b/>
                <w:bCs/>
                <w:color w:val="000000"/>
                <w:sz w:val="24"/>
                <w:szCs w:val="24"/>
                <w:lang w:eastAsia="zh-CN"/>
              </w:rPr>
              <w:t>Data Source</w:t>
            </w:r>
          </w:p>
        </w:tc>
        <w:tc>
          <w:tcPr>
            <w:tcW w:w="4962" w:type="dxa"/>
            <w:shd w:val="clear" w:color="auto" w:fill="C00000"/>
            <w:tcMar>
              <w:top w:w="0" w:type="dxa"/>
              <w:left w:w="108" w:type="dxa"/>
              <w:bottom w:w="0" w:type="dxa"/>
              <w:right w:w="108" w:type="dxa"/>
            </w:tcMar>
            <w:vAlign w:val="center"/>
            <w:hideMark/>
          </w:tcPr>
          <w:p w14:paraId="73191D25" w14:textId="77777777" w:rsidR="00D72BC3" w:rsidRPr="00D72BC3" w:rsidRDefault="00D72BC3" w:rsidP="00923C4E">
            <w:pPr>
              <w:widowControl/>
              <w:autoSpaceDE/>
              <w:autoSpaceDN/>
              <w:spacing w:after="160"/>
              <w:jc w:val="center"/>
              <w:rPr>
                <w:rFonts w:eastAsia="宋体"/>
                <w:b/>
                <w:bCs/>
                <w:sz w:val="24"/>
                <w:szCs w:val="24"/>
                <w:lang w:eastAsia="zh-CN"/>
              </w:rPr>
            </w:pPr>
            <w:r w:rsidRPr="00D72BC3">
              <w:rPr>
                <w:rFonts w:eastAsia="宋体"/>
                <w:b/>
                <w:bCs/>
                <w:color w:val="000000"/>
                <w:sz w:val="24"/>
                <w:szCs w:val="24"/>
                <w:lang w:eastAsia="zh-CN"/>
              </w:rPr>
              <w:t>Main Purpose</w:t>
            </w:r>
          </w:p>
        </w:tc>
      </w:tr>
      <w:tr w:rsidR="00D72BC3" w:rsidRPr="00D72BC3" w14:paraId="7966413F" w14:textId="77777777" w:rsidTr="00175D7E">
        <w:trPr>
          <w:trHeight w:val="405"/>
        </w:trPr>
        <w:tc>
          <w:tcPr>
            <w:tcW w:w="2205" w:type="dxa"/>
            <w:tcMar>
              <w:top w:w="0" w:type="dxa"/>
              <w:left w:w="108" w:type="dxa"/>
              <w:bottom w:w="0" w:type="dxa"/>
              <w:right w:w="108" w:type="dxa"/>
            </w:tcMar>
            <w:vAlign w:val="center"/>
            <w:hideMark/>
          </w:tcPr>
          <w:p w14:paraId="3DFDEBC1"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Daily Foot Traffic &amp; Population.xlsx</w:t>
            </w:r>
          </w:p>
        </w:tc>
        <w:tc>
          <w:tcPr>
            <w:tcW w:w="1872" w:type="dxa"/>
            <w:tcMar>
              <w:top w:w="0" w:type="dxa"/>
              <w:left w:w="108" w:type="dxa"/>
              <w:bottom w:w="0" w:type="dxa"/>
              <w:right w:w="108" w:type="dxa"/>
            </w:tcMar>
            <w:vAlign w:val="center"/>
            <w:hideMark/>
          </w:tcPr>
          <w:p w14:paraId="514A25C7"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Consumer profile data</w:t>
            </w:r>
          </w:p>
        </w:tc>
        <w:tc>
          <w:tcPr>
            <w:tcW w:w="4962" w:type="dxa"/>
            <w:tcMar>
              <w:top w:w="0" w:type="dxa"/>
              <w:left w:w="108" w:type="dxa"/>
              <w:bottom w:w="0" w:type="dxa"/>
              <w:right w:w="108" w:type="dxa"/>
            </w:tcMar>
            <w:vAlign w:val="center"/>
            <w:hideMark/>
          </w:tcPr>
          <w:p w14:paraId="249814E4"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basic features such as city, commercial complex name, working population, and residential population</w:t>
            </w:r>
          </w:p>
        </w:tc>
      </w:tr>
      <w:tr w:rsidR="00D72BC3" w:rsidRPr="00D72BC3" w14:paraId="35058FAA" w14:textId="77777777" w:rsidTr="00175D7E">
        <w:trPr>
          <w:trHeight w:val="405"/>
        </w:trPr>
        <w:tc>
          <w:tcPr>
            <w:tcW w:w="2205" w:type="dxa"/>
            <w:tcMar>
              <w:top w:w="0" w:type="dxa"/>
              <w:left w:w="108" w:type="dxa"/>
              <w:bottom w:w="0" w:type="dxa"/>
              <w:right w:w="108" w:type="dxa"/>
            </w:tcMar>
            <w:vAlign w:val="center"/>
            <w:hideMark/>
          </w:tcPr>
          <w:p w14:paraId="62E20698"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Mobile Brand TOP Foot Traffic Profile Share.xlsx</w:t>
            </w:r>
          </w:p>
        </w:tc>
        <w:tc>
          <w:tcPr>
            <w:tcW w:w="1872" w:type="dxa"/>
            <w:tcMar>
              <w:top w:w="0" w:type="dxa"/>
              <w:left w:w="108" w:type="dxa"/>
              <w:bottom w:w="0" w:type="dxa"/>
              <w:right w:w="108" w:type="dxa"/>
            </w:tcMar>
            <w:vAlign w:val="center"/>
            <w:hideMark/>
          </w:tcPr>
          <w:p w14:paraId="1423E70A"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Consumer profile data</w:t>
            </w:r>
          </w:p>
        </w:tc>
        <w:tc>
          <w:tcPr>
            <w:tcW w:w="4962" w:type="dxa"/>
            <w:tcMar>
              <w:top w:w="0" w:type="dxa"/>
              <w:left w:w="108" w:type="dxa"/>
              <w:bottom w:w="0" w:type="dxa"/>
              <w:right w:w="108" w:type="dxa"/>
            </w:tcMar>
            <w:vAlign w:val="center"/>
            <w:hideMark/>
          </w:tcPr>
          <w:p w14:paraId="40631ABD"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user shares of phone brands such as Apple, Huawei, Honor, and Xiaomi</w:t>
            </w:r>
          </w:p>
        </w:tc>
      </w:tr>
      <w:tr w:rsidR="00D72BC3" w:rsidRPr="00D72BC3" w14:paraId="1C49A224" w14:textId="77777777" w:rsidTr="00175D7E">
        <w:trPr>
          <w:trHeight w:val="405"/>
        </w:trPr>
        <w:tc>
          <w:tcPr>
            <w:tcW w:w="2205" w:type="dxa"/>
            <w:tcMar>
              <w:top w:w="0" w:type="dxa"/>
              <w:left w:w="108" w:type="dxa"/>
              <w:bottom w:w="0" w:type="dxa"/>
              <w:right w:w="108" w:type="dxa"/>
            </w:tcMar>
            <w:vAlign w:val="center"/>
            <w:hideMark/>
          </w:tcPr>
          <w:p w14:paraId="31653FC8"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Age Share.xlsx</w:t>
            </w:r>
          </w:p>
        </w:tc>
        <w:tc>
          <w:tcPr>
            <w:tcW w:w="1872" w:type="dxa"/>
            <w:tcMar>
              <w:top w:w="0" w:type="dxa"/>
              <w:left w:w="108" w:type="dxa"/>
              <w:bottom w:w="0" w:type="dxa"/>
              <w:right w:w="108" w:type="dxa"/>
            </w:tcMar>
            <w:vAlign w:val="center"/>
            <w:hideMark/>
          </w:tcPr>
          <w:p w14:paraId="144C9907"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Consumer profile data</w:t>
            </w:r>
          </w:p>
        </w:tc>
        <w:tc>
          <w:tcPr>
            <w:tcW w:w="4962" w:type="dxa"/>
            <w:tcMar>
              <w:top w:w="0" w:type="dxa"/>
              <w:left w:w="108" w:type="dxa"/>
              <w:bottom w:w="0" w:type="dxa"/>
              <w:right w:w="108" w:type="dxa"/>
            </w:tcMar>
            <w:vAlign w:val="center"/>
            <w:hideMark/>
          </w:tcPr>
          <w:p w14:paraId="59974BF3"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age-group shares, used to calculate young customer and mature customer features</w:t>
            </w:r>
          </w:p>
        </w:tc>
      </w:tr>
      <w:tr w:rsidR="00D72BC3" w:rsidRPr="00D72BC3" w14:paraId="46F5B6F4" w14:textId="77777777" w:rsidTr="00175D7E">
        <w:trPr>
          <w:trHeight w:val="405"/>
        </w:trPr>
        <w:tc>
          <w:tcPr>
            <w:tcW w:w="2205" w:type="dxa"/>
            <w:tcMar>
              <w:top w:w="0" w:type="dxa"/>
              <w:left w:w="108" w:type="dxa"/>
              <w:bottom w:w="0" w:type="dxa"/>
              <w:right w:w="108" w:type="dxa"/>
            </w:tcMar>
            <w:vAlign w:val="center"/>
            <w:hideMark/>
          </w:tcPr>
          <w:p w14:paraId="4FDDF207"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lastRenderedPageBreak/>
              <w:t>Gender Share.xlsx</w:t>
            </w:r>
          </w:p>
        </w:tc>
        <w:tc>
          <w:tcPr>
            <w:tcW w:w="1872" w:type="dxa"/>
            <w:tcMar>
              <w:top w:w="0" w:type="dxa"/>
              <w:left w:w="108" w:type="dxa"/>
              <w:bottom w:w="0" w:type="dxa"/>
              <w:right w:w="108" w:type="dxa"/>
            </w:tcMar>
            <w:vAlign w:val="center"/>
            <w:hideMark/>
          </w:tcPr>
          <w:p w14:paraId="109AE42B"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Consumer profile data</w:t>
            </w:r>
          </w:p>
        </w:tc>
        <w:tc>
          <w:tcPr>
            <w:tcW w:w="4962" w:type="dxa"/>
            <w:tcMar>
              <w:top w:w="0" w:type="dxa"/>
              <w:left w:w="108" w:type="dxa"/>
              <w:bottom w:w="0" w:type="dxa"/>
              <w:right w:w="108" w:type="dxa"/>
            </w:tcMar>
            <w:vAlign w:val="center"/>
            <w:hideMark/>
          </w:tcPr>
          <w:p w14:paraId="212FEF22"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male and female customer ratios</w:t>
            </w:r>
          </w:p>
        </w:tc>
      </w:tr>
      <w:tr w:rsidR="00D72BC3" w:rsidRPr="00D72BC3" w14:paraId="5C912A97" w14:textId="77777777" w:rsidTr="00175D7E">
        <w:trPr>
          <w:trHeight w:val="405"/>
        </w:trPr>
        <w:tc>
          <w:tcPr>
            <w:tcW w:w="2205" w:type="dxa"/>
            <w:tcMar>
              <w:top w:w="0" w:type="dxa"/>
              <w:left w:w="108" w:type="dxa"/>
              <w:bottom w:w="0" w:type="dxa"/>
              <w:right w:w="108" w:type="dxa"/>
            </w:tcMar>
            <w:vAlign w:val="center"/>
            <w:hideMark/>
          </w:tcPr>
          <w:p w14:paraId="5B78930B"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Asset Level Share.xlsx</w:t>
            </w:r>
          </w:p>
        </w:tc>
        <w:tc>
          <w:tcPr>
            <w:tcW w:w="1872" w:type="dxa"/>
            <w:tcMar>
              <w:top w:w="0" w:type="dxa"/>
              <w:left w:w="108" w:type="dxa"/>
              <w:bottom w:w="0" w:type="dxa"/>
              <w:right w:w="108" w:type="dxa"/>
            </w:tcMar>
            <w:vAlign w:val="center"/>
            <w:hideMark/>
          </w:tcPr>
          <w:p w14:paraId="3BADF61F"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Consumer profile data</w:t>
            </w:r>
          </w:p>
        </w:tc>
        <w:tc>
          <w:tcPr>
            <w:tcW w:w="4962" w:type="dxa"/>
            <w:tcMar>
              <w:top w:w="0" w:type="dxa"/>
              <w:left w:w="108" w:type="dxa"/>
              <w:bottom w:w="0" w:type="dxa"/>
              <w:right w:w="108" w:type="dxa"/>
            </w:tcMar>
            <w:vAlign w:val="center"/>
            <w:hideMark/>
          </w:tcPr>
          <w:p w14:paraId="1BC7D709"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asset-level shares, including ultra-high-net-worth, wealthy, middle-class, well-off, and working-class groups</w:t>
            </w:r>
          </w:p>
        </w:tc>
      </w:tr>
      <w:tr w:rsidR="00D72BC3" w:rsidRPr="00D72BC3" w14:paraId="551392CD" w14:textId="77777777" w:rsidTr="00175D7E">
        <w:trPr>
          <w:trHeight w:val="405"/>
        </w:trPr>
        <w:tc>
          <w:tcPr>
            <w:tcW w:w="2205" w:type="dxa"/>
            <w:tcMar>
              <w:top w:w="0" w:type="dxa"/>
              <w:left w:w="108" w:type="dxa"/>
              <w:bottom w:w="0" w:type="dxa"/>
              <w:right w:w="108" w:type="dxa"/>
            </w:tcMar>
            <w:vAlign w:val="center"/>
            <w:hideMark/>
          </w:tcPr>
          <w:p w14:paraId="481BD725"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Updated Pop-up Store Sales Detail_unpivot.xlsx</w:t>
            </w:r>
          </w:p>
        </w:tc>
        <w:tc>
          <w:tcPr>
            <w:tcW w:w="1872" w:type="dxa"/>
            <w:tcMar>
              <w:top w:w="0" w:type="dxa"/>
              <w:left w:w="108" w:type="dxa"/>
              <w:bottom w:w="0" w:type="dxa"/>
              <w:right w:w="108" w:type="dxa"/>
            </w:tcMar>
            <w:vAlign w:val="center"/>
            <w:hideMark/>
          </w:tcPr>
          <w:p w14:paraId="6F197CAE"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Pop-up store sales detail data</w:t>
            </w:r>
          </w:p>
        </w:tc>
        <w:tc>
          <w:tcPr>
            <w:tcW w:w="4962" w:type="dxa"/>
            <w:tcMar>
              <w:top w:w="0" w:type="dxa"/>
              <w:left w:w="108" w:type="dxa"/>
              <w:bottom w:w="0" w:type="dxa"/>
              <w:right w:w="108" w:type="dxa"/>
            </w:tcMar>
            <w:vAlign w:val="center"/>
            <w:hideMark/>
          </w:tcPr>
          <w:p w14:paraId="3FD12209"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Provides historical pop-up store sales data by product line, category, sales amount, and sales quantity</w:t>
            </w:r>
          </w:p>
        </w:tc>
      </w:tr>
      <w:tr w:rsidR="00D72BC3" w:rsidRPr="00D72BC3" w14:paraId="3C539679" w14:textId="77777777" w:rsidTr="00175D7E">
        <w:trPr>
          <w:trHeight w:val="405"/>
        </w:trPr>
        <w:tc>
          <w:tcPr>
            <w:tcW w:w="2205" w:type="dxa"/>
            <w:tcMar>
              <w:top w:w="0" w:type="dxa"/>
              <w:left w:w="108" w:type="dxa"/>
              <w:bottom w:w="0" w:type="dxa"/>
              <w:right w:w="108" w:type="dxa"/>
            </w:tcMar>
            <w:vAlign w:val="center"/>
            <w:hideMark/>
          </w:tcPr>
          <w:p w14:paraId="6AF3B303"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Pop-up Store Name Mapping.xlsx</w:t>
            </w:r>
          </w:p>
        </w:tc>
        <w:tc>
          <w:tcPr>
            <w:tcW w:w="1872" w:type="dxa"/>
            <w:tcMar>
              <w:top w:w="0" w:type="dxa"/>
              <w:left w:w="108" w:type="dxa"/>
              <w:bottom w:w="0" w:type="dxa"/>
              <w:right w:w="108" w:type="dxa"/>
            </w:tcMar>
            <w:vAlign w:val="center"/>
            <w:hideMark/>
          </w:tcPr>
          <w:p w14:paraId="2227738D"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Manually prepared mapping table</w:t>
            </w:r>
          </w:p>
        </w:tc>
        <w:tc>
          <w:tcPr>
            <w:tcW w:w="4962" w:type="dxa"/>
            <w:tcMar>
              <w:top w:w="0" w:type="dxa"/>
              <w:left w:w="108" w:type="dxa"/>
              <w:bottom w:w="0" w:type="dxa"/>
              <w:right w:w="108" w:type="dxa"/>
            </w:tcMar>
            <w:vAlign w:val="center"/>
            <w:hideMark/>
          </w:tcPr>
          <w:p w14:paraId="5E88ACA1" w14:textId="77777777" w:rsidR="00D72BC3" w:rsidRPr="00D72BC3" w:rsidRDefault="00D72BC3" w:rsidP="00923C4E">
            <w:pPr>
              <w:widowControl/>
              <w:autoSpaceDE/>
              <w:autoSpaceDN/>
              <w:spacing w:after="160"/>
              <w:jc w:val="center"/>
              <w:rPr>
                <w:rFonts w:eastAsia="宋体"/>
                <w:sz w:val="24"/>
                <w:szCs w:val="24"/>
                <w:lang w:eastAsia="zh-CN"/>
              </w:rPr>
            </w:pPr>
            <w:r w:rsidRPr="00D72BC3">
              <w:rPr>
                <w:rFonts w:eastAsia="宋体"/>
                <w:color w:val="000000"/>
                <w:sz w:val="24"/>
                <w:szCs w:val="24"/>
                <w:lang w:eastAsia="zh-CN"/>
              </w:rPr>
              <w:t>Connects historical pop-up store names with standard mall names in the consumer profile data</w:t>
            </w:r>
          </w:p>
        </w:tc>
      </w:tr>
    </w:tbl>
    <w:p w14:paraId="7D408E3B" w14:textId="452DBAD2" w:rsidR="003F0191" w:rsidRPr="003F0191" w:rsidRDefault="003F0191" w:rsidP="00923C4E">
      <w:pPr>
        <w:pStyle w:val="a0"/>
        <w:spacing w:before="309" w:line="312" w:lineRule="auto"/>
        <w:ind w:left="311"/>
        <w:jc w:val="both"/>
        <w:rPr>
          <w:rFonts w:eastAsia="宋体"/>
        </w:rPr>
      </w:pPr>
      <w:r w:rsidRPr="003F0191">
        <w:rPr>
          <w:rFonts w:eastAsia="宋体"/>
        </w:rPr>
        <w:t>These seven files can be grouped into three categories.</w:t>
      </w:r>
    </w:p>
    <w:p w14:paraId="309D6266" w14:textId="77777777" w:rsidR="003F0191" w:rsidRPr="003F0191" w:rsidRDefault="003F0191" w:rsidP="00923C4E">
      <w:pPr>
        <w:pStyle w:val="a0"/>
        <w:spacing w:before="309" w:line="312" w:lineRule="auto"/>
        <w:ind w:left="311"/>
        <w:jc w:val="both"/>
        <w:rPr>
          <w:rFonts w:eastAsia="宋体"/>
        </w:rPr>
      </w:pPr>
      <w:r w:rsidRPr="003F0191">
        <w:rPr>
          <w:rFonts w:eastAsia="宋体"/>
        </w:rPr>
        <w:t>First, consumer profile data, including population, age, gender, phone brand, and asset level. These files provide input features for the commercial complexes to be predicted.</w:t>
      </w:r>
    </w:p>
    <w:p w14:paraId="20D4AB5D" w14:textId="77777777" w:rsidR="003F0191" w:rsidRPr="003F0191" w:rsidRDefault="003F0191" w:rsidP="00923C4E">
      <w:pPr>
        <w:pStyle w:val="a0"/>
        <w:spacing w:before="309" w:line="312" w:lineRule="auto"/>
        <w:ind w:left="311"/>
        <w:jc w:val="both"/>
        <w:rPr>
          <w:rFonts w:eastAsia="宋体"/>
        </w:rPr>
      </w:pPr>
      <w:r w:rsidRPr="003F0191">
        <w:rPr>
          <w:rFonts w:eastAsia="宋体"/>
        </w:rPr>
        <w:t>Second, historical pop-up store sales data, which is used to calculate sales shares by product line and category in historical stores. It provides a reference basis for the model.</w:t>
      </w:r>
    </w:p>
    <w:p w14:paraId="19BECD21" w14:textId="77777777" w:rsidR="003F0191" w:rsidRPr="003F0191" w:rsidRDefault="003F0191" w:rsidP="00923C4E">
      <w:pPr>
        <w:pStyle w:val="a0"/>
        <w:spacing w:before="309" w:line="312" w:lineRule="auto"/>
        <w:ind w:left="311"/>
        <w:jc w:val="both"/>
        <w:rPr>
          <w:rFonts w:eastAsia="宋体"/>
        </w:rPr>
      </w:pPr>
      <w:r w:rsidRPr="003F0191">
        <w:rPr>
          <w:rFonts w:eastAsia="宋体"/>
        </w:rPr>
        <w:t>Third, the name mapping file, which solves the inconsistency between historical pop-up store names and mall names in the consumer profile data. It ensures that sales data and profile data can be merged correctly.</w:t>
      </w:r>
    </w:p>
    <w:p w14:paraId="47D02342" w14:textId="77777777" w:rsidR="003F0191" w:rsidRPr="003F0191" w:rsidRDefault="003F0191" w:rsidP="00923C4E">
      <w:pPr>
        <w:pStyle w:val="a0"/>
        <w:spacing w:before="309" w:line="312" w:lineRule="auto"/>
        <w:ind w:left="311"/>
        <w:jc w:val="both"/>
        <w:rPr>
          <w:rFonts w:eastAsia="宋体"/>
        </w:rPr>
      </w:pPr>
      <w:r w:rsidRPr="003F0191">
        <w:rPr>
          <w:rFonts w:eastAsia="宋体"/>
        </w:rPr>
        <w:t>Technically, one Excel workbook can also contain multiple sheets. However, in the current prototype, we split the original data into seven separate files to improve workflow stability and maintainability.</w:t>
      </w:r>
    </w:p>
    <w:p w14:paraId="16E584A1" w14:textId="77777777" w:rsidR="003F0191" w:rsidRPr="003F0191" w:rsidRDefault="003F0191" w:rsidP="00923C4E">
      <w:pPr>
        <w:pStyle w:val="a0"/>
        <w:spacing w:before="309" w:line="312" w:lineRule="auto"/>
        <w:ind w:left="311"/>
        <w:jc w:val="both"/>
        <w:rPr>
          <w:rFonts w:eastAsia="宋体"/>
        </w:rPr>
      </w:pPr>
      <w:r w:rsidRPr="003F0191">
        <w:rPr>
          <w:rFonts w:eastAsia="宋体"/>
        </w:rPr>
        <w:t>The current Coze Workflow and Railway backend read files by data module. For example, population data, phone brand data, age data, sales data, and name mapping data each enter different processing steps.</w:t>
      </w:r>
    </w:p>
    <w:p w14:paraId="182E7D87" w14:textId="7E1DCC4E" w:rsidR="003F0191" w:rsidRDefault="003F0191" w:rsidP="00923C4E">
      <w:pPr>
        <w:pStyle w:val="a0"/>
        <w:spacing w:before="309" w:line="312" w:lineRule="auto"/>
        <w:ind w:left="311"/>
        <w:jc w:val="both"/>
        <w:rPr>
          <w:rFonts w:eastAsia="宋体"/>
        </w:rPr>
      </w:pPr>
      <w:r w:rsidRPr="003F0191">
        <w:rPr>
          <w:rFonts w:eastAsia="宋体"/>
        </w:rPr>
        <w:t>This makes it easier to check whether each type of data has been uploaded completely and to locate data format issues more clearly.</w:t>
      </w:r>
    </w:p>
    <w:p w14:paraId="0889E694" w14:textId="77777777" w:rsidR="003F0191" w:rsidRPr="003F0191" w:rsidRDefault="003F0191" w:rsidP="00923C4E">
      <w:pPr>
        <w:pStyle w:val="3"/>
        <w:ind w:right="0"/>
        <w:rPr>
          <w:rFonts w:eastAsia="宋体"/>
          <w:lang w:eastAsia="zh-CN"/>
        </w:rPr>
      </w:pPr>
      <w:r w:rsidRPr="003F0191">
        <w:rPr>
          <w:rFonts w:eastAsia="宋体"/>
          <w:lang w:eastAsia="zh-CN"/>
        </w:rPr>
        <w:t>System Workflow</w:t>
      </w:r>
    </w:p>
    <w:p w14:paraId="2D5F7D08"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t>When users operate the system, the process is mainly divided into the following steps.</w:t>
      </w:r>
    </w:p>
    <w:p w14:paraId="4FE3E1C3" w14:textId="77777777" w:rsidR="003F0191" w:rsidRPr="003F0191" w:rsidRDefault="003F0191" w:rsidP="00923C4E">
      <w:pPr>
        <w:pStyle w:val="a0"/>
        <w:spacing w:before="309" w:line="312" w:lineRule="auto"/>
        <w:ind w:left="311"/>
        <w:rPr>
          <w:rFonts w:eastAsia="宋体"/>
          <w:lang w:eastAsia="zh-CN"/>
        </w:rPr>
      </w:pPr>
      <w:r w:rsidRPr="003F0191">
        <w:rPr>
          <w:rFonts w:eastAsia="宋体"/>
          <w:b/>
          <w:bCs/>
          <w:lang w:eastAsia="zh-CN"/>
        </w:rPr>
        <w:t>Step 1: Upload Excel Files</w:t>
      </w:r>
    </w:p>
    <w:p w14:paraId="7458D140"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lastRenderedPageBreak/>
        <w:t>The user uploads the seven standardized Excel files to the Coze Bot.</w:t>
      </w:r>
    </w:p>
    <w:p w14:paraId="0E60752C"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t>The system checks whether the required files are complete and passes them to the workflow.</w:t>
      </w:r>
    </w:p>
    <w:p w14:paraId="257BC246" w14:textId="77777777" w:rsidR="003F0191" w:rsidRPr="003F0191" w:rsidRDefault="003F0191" w:rsidP="00923C4E">
      <w:pPr>
        <w:pStyle w:val="a0"/>
        <w:spacing w:before="309" w:line="312" w:lineRule="auto"/>
        <w:ind w:left="311"/>
        <w:rPr>
          <w:rFonts w:eastAsia="宋体"/>
          <w:lang w:eastAsia="zh-CN"/>
        </w:rPr>
      </w:pPr>
      <w:r w:rsidRPr="003F0191">
        <w:rPr>
          <w:rFonts w:eastAsia="宋体"/>
          <w:b/>
          <w:bCs/>
          <w:lang w:eastAsia="zh-CN"/>
        </w:rPr>
        <w:t>Step 2: Enter a Natural-Language Prompt</w:t>
      </w:r>
    </w:p>
    <w:p w14:paraId="17D8AE21"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t>The user can enter a natural-language question, such as 'Generate the TOP20 high-potential commercial complexes' or 'Predict the product-line share for Shanghai Nanxiang InCity MEGA'.</w:t>
      </w:r>
    </w:p>
    <w:p w14:paraId="6E9CF264"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t>The user does not need to understand the backend model structure or write any code.</w:t>
      </w:r>
    </w:p>
    <w:p w14:paraId="160BCE55" w14:textId="77777777" w:rsidR="003F0191" w:rsidRPr="003F0191" w:rsidRDefault="003F0191" w:rsidP="00923C4E">
      <w:pPr>
        <w:pStyle w:val="a0"/>
        <w:spacing w:before="309" w:line="312" w:lineRule="auto"/>
        <w:ind w:left="311"/>
        <w:rPr>
          <w:rFonts w:eastAsia="宋体"/>
          <w:lang w:eastAsia="zh-CN"/>
        </w:rPr>
      </w:pPr>
      <w:r w:rsidRPr="003F0191">
        <w:rPr>
          <w:rFonts w:eastAsia="宋体"/>
          <w:b/>
          <w:bCs/>
          <w:lang w:eastAsia="zh-CN"/>
        </w:rPr>
        <w:t>Step 3: Workflow Identifies the Task Type</w:t>
      </w:r>
    </w:p>
    <w:p w14:paraId="5DF74AD9" w14:textId="77777777" w:rsidR="003F0191" w:rsidRPr="003F0191" w:rsidRDefault="003F0191" w:rsidP="00923C4E">
      <w:pPr>
        <w:pStyle w:val="a0"/>
        <w:spacing w:before="309" w:line="312" w:lineRule="auto"/>
        <w:ind w:left="311"/>
        <w:rPr>
          <w:rFonts w:eastAsia="宋体"/>
          <w:lang w:eastAsia="zh-CN"/>
        </w:rPr>
      </w:pPr>
      <w:r w:rsidRPr="003F0191">
        <w:rPr>
          <w:rFonts w:eastAsia="宋体"/>
          <w:lang w:eastAsia="zh-CN"/>
        </w:rPr>
        <w:t>Coze Workflow identifies which analysis process should be called based on the user prompt.</w:t>
      </w:r>
    </w:p>
    <w:tbl>
      <w:tblPr>
        <w:tblW w:w="0" w:type="auto"/>
        <w:tblInd w:w="280" w:type="dxa"/>
        <w:tblBorders>
          <w:top w:val="single" w:sz="12" w:space="0" w:color="auto"/>
          <w:left w:val="single" w:sz="12" w:space="0" w:color="auto"/>
          <w:bottom w:val="single" w:sz="12" w:space="0" w:color="auto"/>
          <w:right w:val="single" w:sz="12" w:space="0" w:color="auto"/>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4965"/>
        <w:gridCol w:w="3255"/>
      </w:tblGrid>
      <w:tr w:rsidR="003F0191" w:rsidRPr="003F0191" w14:paraId="040A8234" w14:textId="77777777" w:rsidTr="00FF7E20">
        <w:trPr>
          <w:trHeight w:val="405"/>
        </w:trPr>
        <w:tc>
          <w:tcPr>
            <w:tcW w:w="4965" w:type="dxa"/>
            <w:shd w:val="clear" w:color="auto" w:fill="C00000"/>
            <w:tcMar>
              <w:top w:w="0" w:type="dxa"/>
              <w:left w:w="108" w:type="dxa"/>
              <w:bottom w:w="0" w:type="dxa"/>
              <w:right w:w="108" w:type="dxa"/>
            </w:tcMar>
            <w:vAlign w:val="center"/>
            <w:hideMark/>
          </w:tcPr>
          <w:p w14:paraId="42FAACBB" w14:textId="77777777" w:rsidR="003F0191" w:rsidRPr="003F0191" w:rsidRDefault="003F0191" w:rsidP="00923C4E">
            <w:pPr>
              <w:widowControl/>
              <w:autoSpaceDE/>
              <w:autoSpaceDN/>
              <w:spacing w:after="160"/>
              <w:jc w:val="center"/>
              <w:rPr>
                <w:rFonts w:eastAsia="宋体"/>
                <w:b/>
                <w:bCs/>
                <w:sz w:val="24"/>
                <w:szCs w:val="24"/>
                <w:lang w:eastAsia="zh-CN"/>
              </w:rPr>
            </w:pPr>
            <w:r w:rsidRPr="003F0191">
              <w:rPr>
                <w:rFonts w:eastAsia="宋体"/>
                <w:b/>
                <w:bCs/>
                <w:color w:val="000000"/>
                <w:sz w:val="24"/>
                <w:szCs w:val="24"/>
                <w:lang w:eastAsia="zh-CN"/>
              </w:rPr>
              <w:t>User Question</w:t>
            </w:r>
          </w:p>
        </w:tc>
        <w:tc>
          <w:tcPr>
            <w:tcW w:w="3255" w:type="dxa"/>
            <w:shd w:val="clear" w:color="auto" w:fill="C00000"/>
            <w:tcMar>
              <w:top w:w="0" w:type="dxa"/>
              <w:left w:w="108" w:type="dxa"/>
              <w:bottom w:w="0" w:type="dxa"/>
              <w:right w:w="108" w:type="dxa"/>
            </w:tcMar>
            <w:vAlign w:val="center"/>
            <w:hideMark/>
          </w:tcPr>
          <w:p w14:paraId="25C14F43" w14:textId="77777777" w:rsidR="003F0191" w:rsidRPr="003F0191" w:rsidRDefault="003F0191" w:rsidP="00923C4E">
            <w:pPr>
              <w:widowControl/>
              <w:autoSpaceDE/>
              <w:autoSpaceDN/>
              <w:spacing w:after="160"/>
              <w:jc w:val="center"/>
              <w:rPr>
                <w:rFonts w:eastAsia="宋体"/>
                <w:b/>
                <w:bCs/>
                <w:sz w:val="24"/>
                <w:szCs w:val="24"/>
                <w:lang w:eastAsia="zh-CN"/>
              </w:rPr>
            </w:pPr>
            <w:r w:rsidRPr="003F0191">
              <w:rPr>
                <w:rFonts w:eastAsia="宋体"/>
                <w:b/>
                <w:bCs/>
                <w:color w:val="000000"/>
                <w:sz w:val="24"/>
                <w:szCs w:val="24"/>
                <w:lang w:eastAsia="zh-CN"/>
              </w:rPr>
              <w:t>Calling Logic</w:t>
            </w:r>
          </w:p>
        </w:tc>
      </w:tr>
      <w:tr w:rsidR="003F0191" w:rsidRPr="003F0191" w14:paraId="57F066B9" w14:textId="77777777" w:rsidTr="00FF7E20">
        <w:trPr>
          <w:trHeight w:val="405"/>
        </w:trPr>
        <w:tc>
          <w:tcPr>
            <w:tcW w:w="4965" w:type="dxa"/>
            <w:tcMar>
              <w:top w:w="0" w:type="dxa"/>
              <w:left w:w="108" w:type="dxa"/>
              <w:bottom w:w="0" w:type="dxa"/>
              <w:right w:w="108" w:type="dxa"/>
            </w:tcMar>
            <w:vAlign w:val="center"/>
            <w:hideMark/>
          </w:tcPr>
          <w:p w14:paraId="2231B599"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TOP20 high-potential commercial complexes</w:t>
            </w:r>
          </w:p>
        </w:tc>
        <w:tc>
          <w:tcPr>
            <w:tcW w:w="3255" w:type="dxa"/>
            <w:tcMar>
              <w:top w:w="0" w:type="dxa"/>
              <w:left w:w="108" w:type="dxa"/>
              <w:bottom w:w="0" w:type="dxa"/>
              <w:right w:w="108" w:type="dxa"/>
            </w:tcMar>
            <w:vAlign w:val="center"/>
            <w:hideMark/>
          </w:tcPr>
          <w:p w14:paraId="6810649A"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Call the TOP20 workflow</w:t>
            </w:r>
          </w:p>
        </w:tc>
      </w:tr>
      <w:tr w:rsidR="003F0191" w:rsidRPr="003F0191" w14:paraId="3FE5007D" w14:textId="77777777" w:rsidTr="00FF7E20">
        <w:trPr>
          <w:trHeight w:val="405"/>
        </w:trPr>
        <w:tc>
          <w:tcPr>
            <w:tcW w:w="4965" w:type="dxa"/>
            <w:tcMar>
              <w:top w:w="0" w:type="dxa"/>
              <w:left w:w="108" w:type="dxa"/>
              <w:bottom w:w="0" w:type="dxa"/>
              <w:right w:w="108" w:type="dxa"/>
            </w:tcMar>
            <w:vAlign w:val="center"/>
            <w:hideMark/>
          </w:tcPr>
          <w:p w14:paraId="3CA1ADEF"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Product-line share prediction for all commercial complexes</w:t>
            </w:r>
          </w:p>
        </w:tc>
        <w:tc>
          <w:tcPr>
            <w:tcW w:w="3255" w:type="dxa"/>
            <w:tcMar>
              <w:top w:w="0" w:type="dxa"/>
              <w:left w:w="108" w:type="dxa"/>
              <w:bottom w:w="0" w:type="dxa"/>
              <w:right w:w="108" w:type="dxa"/>
            </w:tcMar>
            <w:vAlign w:val="center"/>
            <w:hideMark/>
          </w:tcPr>
          <w:p w14:paraId="219A84CA"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Call the series workflow</w:t>
            </w:r>
          </w:p>
        </w:tc>
      </w:tr>
      <w:tr w:rsidR="003F0191" w:rsidRPr="003F0191" w14:paraId="581FD105" w14:textId="77777777" w:rsidTr="00FF7E20">
        <w:trPr>
          <w:trHeight w:val="405"/>
        </w:trPr>
        <w:tc>
          <w:tcPr>
            <w:tcW w:w="4965" w:type="dxa"/>
            <w:tcMar>
              <w:top w:w="0" w:type="dxa"/>
              <w:left w:w="108" w:type="dxa"/>
              <w:bottom w:w="0" w:type="dxa"/>
              <w:right w:w="108" w:type="dxa"/>
            </w:tcMar>
            <w:vAlign w:val="center"/>
            <w:hideMark/>
          </w:tcPr>
          <w:p w14:paraId="4F50A3B6"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Product-line share prediction for a single mall</w:t>
            </w:r>
          </w:p>
        </w:tc>
        <w:tc>
          <w:tcPr>
            <w:tcW w:w="3255" w:type="dxa"/>
            <w:tcMar>
              <w:top w:w="0" w:type="dxa"/>
              <w:left w:w="108" w:type="dxa"/>
              <w:bottom w:w="0" w:type="dxa"/>
              <w:right w:w="108" w:type="dxa"/>
            </w:tcMar>
            <w:vAlign w:val="center"/>
            <w:hideMark/>
          </w:tcPr>
          <w:p w14:paraId="63A550F6" w14:textId="77777777" w:rsidR="003F0191" w:rsidRPr="003F0191" w:rsidRDefault="003F0191" w:rsidP="00923C4E">
            <w:pPr>
              <w:widowControl/>
              <w:autoSpaceDE/>
              <w:autoSpaceDN/>
              <w:spacing w:after="160"/>
              <w:jc w:val="center"/>
              <w:rPr>
                <w:rFonts w:eastAsia="宋体"/>
                <w:sz w:val="24"/>
                <w:szCs w:val="24"/>
                <w:lang w:eastAsia="zh-CN"/>
              </w:rPr>
            </w:pPr>
            <w:r w:rsidRPr="003F0191">
              <w:rPr>
                <w:rFonts w:eastAsia="宋体"/>
                <w:color w:val="000000"/>
                <w:sz w:val="24"/>
                <w:szCs w:val="24"/>
                <w:lang w:eastAsia="zh-CN"/>
              </w:rPr>
              <w:t>Call the series workflow and filter the target mall</w:t>
            </w:r>
          </w:p>
        </w:tc>
      </w:tr>
    </w:tbl>
    <w:p w14:paraId="56896E1D" w14:textId="77777777" w:rsidR="000B74B6" w:rsidRPr="000B74B6" w:rsidRDefault="000B74B6" w:rsidP="00923C4E">
      <w:pPr>
        <w:pStyle w:val="a0"/>
        <w:spacing w:before="309" w:line="312" w:lineRule="auto"/>
        <w:ind w:left="311"/>
        <w:rPr>
          <w:rFonts w:eastAsia="宋体"/>
          <w:lang w:eastAsia="zh-CN"/>
        </w:rPr>
      </w:pPr>
      <w:r w:rsidRPr="000B74B6">
        <w:rPr>
          <w:rFonts w:eastAsia="宋体"/>
          <w:b/>
          <w:bCs/>
          <w:lang w:eastAsia="zh-CN"/>
        </w:rPr>
        <w:t>Step 4: Backend Model Calculation</w:t>
      </w:r>
    </w:p>
    <w:p w14:paraId="71522B98"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The Python backend deployed on Railway reads the uploaded files and performs the following steps:</w:t>
      </w:r>
    </w:p>
    <w:p w14:paraId="785F56FC"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Read the seven Excel files</w:t>
      </w:r>
    </w:p>
    <w:p w14:paraId="7C98E99E"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w:t>
      </w:r>
    </w:p>
    <w:p w14:paraId="11475E25"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Clean column names and data formats</w:t>
      </w:r>
    </w:p>
    <w:p w14:paraId="79F35BC6"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w:t>
      </w:r>
    </w:p>
    <w:p w14:paraId="0814ACD3"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Merge consumer profile data</w:t>
      </w:r>
    </w:p>
    <w:p w14:paraId="1C36D1BA"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w:t>
      </w:r>
    </w:p>
    <w:p w14:paraId="7E189373"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Process the unpivoted pop-up store sales table</w:t>
      </w:r>
    </w:p>
    <w:p w14:paraId="0FDD9C8A"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lastRenderedPageBreak/>
        <w:t>↓</w:t>
      </w:r>
    </w:p>
    <w:p w14:paraId="43CB140D"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Use the name mapping table to connect historical sales data with mall profiles</w:t>
      </w:r>
    </w:p>
    <w:p w14:paraId="60CD2038"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w:t>
      </w:r>
    </w:p>
    <w:p w14:paraId="3859FAF5"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Calculate product-line shares and commercial complex potential</w:t>
      </w:r>
    </w:p>
    <w:p w14:paraId="6EFD5115"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w:t>
      </w:r>
    </w:p>
    <w:p w14:paraId="071C88CB"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Generate TOP20 results or product-line share prediction results</w:t>
      </w:r>
    </w:p>
    <w:p w14:paraId="6CB89874" w14:textId="77777777" w:rsidR="000B74B6" w:rsidRPr="000B74B6" w:rsidRDefault="000B74B6" w:rsidP="00923C4E">
      <w:pPr>
        <w:pStyle w:val="a0"/>
        <w:spacing w:before="309" w:line="312" w:lineRule="auto"/>
        <w:ind w:left="311"/>
        <w:rPr>
          <w:rFonts w:eastAsia="宋体"/>
          <w:lang w:eastAsia="zh-CN"/>
        </w:rPr>
      </w:pPr>
      <w:r w:rsidRPr="000B74B6">
        <w:rPr>
          <w:rFonts w:eastAsia="宋体"/>
          <w:b/>
          <w:bCs/>
          <w:lang w:eastAsia="zh-CN"/>
        </w:rPr>
        <w:t>Step 5: AI Generates Business-Level Explanations</w:t>
      </w:r>
    </w:p>
    <w:p w14:paraId="00BD89A3"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After the backend returns structured results, Coze Bot organizes the output into tables and written explanations.</w:t>
      </w:r>
    </w:p>
    <w:p w14:paraId="09E4CD6E" w14:textId="77777777" w:rsidR="000B74B6" w:rsidRPr="000B74B6" w:rsidRDefault="000B74B6" w:rsidP="00923C4E">
      <w:pPr>
        <w:pStyle w:val="3"/>
        <w:ind w:right="0"/>
        <w:rPr>
          <w:rFonts w:eastAsia="宋体"/>
          <w:lang w:eastAsia="zh-CN"/>
        </w:rPr>
      </w:pPr>
      <w:r w:rsidRPr="000B74B6">
        <w:rPr>
          <w:rFonts w:eastAsia="宋体"/>
          <w:lang w:eastAsia="zh-CN"/>
        </w:rPr>
        <w:t>Testing Process</w:t>
      </w:r>
    </w:p>
    <w:p w14:paraId="29A9A045"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After system debugging was completed, we tested the prototype using the complete set of seven files.</w:t>
      </w:r>
    </w:p>
    <w:p w14:paraId="6B765074" w14:textId="77777777" w:rsidR="000B74B6" w:rsidRPr="000B74B6" w:rsidRDefault="000B74B6" w:rsidP="00923C4E">
      <w:pPr>
        <w:pStyle w:val="4"/>
        <w:ind w:right="0"/>
      </w:pPr>
      <w:r w:rsidRPr="00175D7E">
        <w:t>TOP20 High-Potential Commercial Comp</w:t>
      </w:r>
      <w:r w:rsidRPr="000B74B6">
        <w:t>lex Test</w:t>
      </w:r>
    </w:p>
    <w:p w14:paraId="34F966BB" w14:textId="77777777" w:rsidR="000B74B6" w:rsidRPr="000B74B6" w:rsidRDefault="000B74B6" w:rsidP="00923C4E">
      <w:pPr>
        <w:pStyle w:val="a0"/>
        <w:spacing w:before="309" w:line="312" w:lineRule="auto"/>
        <w:ind w:left="311"/>
        <w:rPr>
          <w:rFonts w:eastAsia="宋体"/>
          <w:lang w:eastAsia="zh-CN"/>
        </w:rPr>
      </w:pPr>
      <w:r w:rsidRPr="000B74B6">
        <w:rPr>
          <w:rFonts w:eastAsia="宋体"/>
          <w:lang w:eastAsia="zh-CN"/>
        </w:rPr>
        <w:t>The system successfully called the TOP20 workflow and returned the high-potential commercial complex analysis results.</w:t>
      </w:r>
    </w:p>
    <w:p w14:paraId="5EE6DFAF" w14:textId="68862BAA" w:rsidR="000B74B6" w:rsidRDefault="000B74B6" w:rsidP="00923C4E">
      <w:pPr>
        <w:pStyle w:val="a0"/>
        <w:spacing w:before="309" w:line="312" w:lineRule="auto"/>
        <w:ind w:left="311"/>
        <w:rPr>
          <w:rFonts w:eastAsia="宋体"/>
          <w:lang w:eastAsia="zh-CN"/>
        </w:rPr>
      </w:pPr>
      <w:r w:rsidRPr="000B74B6">
        <w:rPr>
          <w:rFonts w:eastAsia="宋体"/>
          <w:lang w:eastAsia="zh-CN"/>
        </w:rPr>
        <w:t>Example of TOP commercial complexes for the Gold Label series in first-tier</w:t>
      </w:r>
      <w:r>
        <w:rPr>
          <w:rFonts w:eastAsia="宋体" w:hint="eastAsia"/>
          <w:lang w:eastAsia="zh-CN"/>
        </w:rPr>
        <w:t>/</w:t>
      </w:r>
      <w:r w:rsidRPr="000B74B6">
        <w:rPr>
          <w:rFonts w:ascii="微软雅黑" w:eastAsia="微软雅黑" w:hAnsi="微软雅黑"/>
          <w:color w:val="000000"/>
          <w:lang w:eastAsia="zh-CN"/>
        </w:rPr>
        <w:t xml:space="preserve"> </w:t>
      </w:r>
      <w:r w:rsidRPr="000B74B6">
        <w:rPr>
          <w:rFonts w:eastAsia="宋体"/>
          <w:lang w:eastAsia="zh-CN"/>
        </w:rPr>
        <w:t>new first-tier cities:</w:t>
      </w:r>
    </w:p>
    <w:p w14:paraId="5D479FF1" w14:textId="456331B8" w:rsidR="000B74B6" w:rsidRPr="000B74B6" w:rsidRDefault="000F02EA" w:rsidP="00923C4E">
      <w:pPr>
        <w:pStyle w:val="a0"/>
        <w:spacing w:before="309" w:line="312" w:lineRule="auto"/>
        <w:ind w:left="311"/>
        <w:rPr>
          <w:rFonts w:eastAsia="宋体"/>
          <w:lang w:eastAsia="zh-CN"/>
        </w:rPr>
      </w:pPr>
      <w:r w:rsidRPr="000F02EA">
        <w:rPr>
          <w:rFonts w:eastAsia="宋体"/>
          <w:noProof/>
          <w:lang w:eastAsia="zh-CN"/>
        </w:rPr>
        <w:drawing>
          <wp:inline distT="0" distB="0" distL="0" distR="0" wp14:anchorId="09773770" wp14:editId="47B4BF26">
            <wp:extent cx="5467985" cy="1900139"/>
            <wp:effectExtent l="0" t="0" r="0" b="5080"/>
            <wp:docPr id="61370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7451" name=""/>
                    <pic:cNvPicPr/>
                  </pic:nvPicPr>
                  <pic:blipFill>
                    <a:blip r:embed="rId27"/>
                    <a:stretch>
                      <a:fillRect/>
                    </a:stretch>
                  </pic:blipFill>
                  <pic:spPr>
                    <a:xfrm>
                      <a:off x="0" y="0"/>
                      <a:ext cx="5472800" cy="1901812"/>
                    </a:xfrm>
                    <a:prstGeom prst="rect">
                      <a:avLst/>
                    </a:prstGeom>
                  </pic:spPr>
                </pic:pic>
              </a:graphicData>
            </a:graphic>
          </wp:inline>
        </w:drawing>
      </w:r>
    </w:p>
    <w:p w14:paraId="5CDF79F2"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The test output showed that Xi’an SEG Shopping Center had the highest national potential, with a predicted Gold Label share of 60.68%.</w:t>
      </w:r>
    </w:p>
    <w:p w14:paraId="04560FD6"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lastRenderedPageBreak/>
        <w:t>Among first-tier cities, Beijing Xicheng Hanguang Department Store ranked first in Gold Label share, at 52.15%.</w:t>
      </w:r>
    </w:p>
    <w:p w14:paraId="74AA2CD3"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Among new first-tier cities, Chongqing, Changsha, and Xi’an showed strong performance and accounted for a large share of the TOP20 list.</w:t>
      </w:r>
    </w:p>
    <w:p w14:paraId="3F86A1AC"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The National Team series generally had a low predicted share, with the highest being Guangzhou Grandview Mall at 17.82%.</w:t>
      </w:r>
    </w:p>
    <w:p w14:paraId="49E50F5E" w14:textId="77777777" w:rsidR="00175D7E" w:rsidRPr="00175D7E" w:rsidRDefault="00175D7E" w:rsidP="00923C4E">
      <w:pPr>
        <w:pStyle w:val="4"/>
        <w:ind w:right="0"/>
      </w:pPr>
      <w:r w:rsidRPr="00175D7E">
        <w:t>Single-Store Product-Line Share Prediction Test</w:t>
      </w:r>
    </w:p>
    <w:p w14:paraId="738B702C"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In the output analysis, the Glory series share exceeded 60%, making it the core sales category for this mall. This is consistent with the characteristics of a young trend-driven store.</w:t>
      </w:r>
    </w:p>
    <w:p w14:paraId="475B3ED2"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The Gold Label series share was close to 30%, higher than the Shanghai regional average of 27.8%, indicating relatively strong acceptance of premium products.</w:t>
      </w:r>
    </w:p>
    <w:p w14:paraId="1285DB6E"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The National Team series share reached 9.42%, significantly higher than the average level of 1.68% for benchmark first-tier city stores. This suggests that consumers in this mall have stronger demand for professional sports products.</w:t>
      </w:r>
    </w:p>
    <w:p w14:paraId="343FB5F9" w14:textId="77777777" w:rsidR="00175D7E" w:rsidRPr="00175D7E" w:rsidRDefault="00175D7E" w:rsidP="00923C4E">
      <w:pPr>
        <w:pStyle w:val="a0"/>
        <w:spacing w:before="309" w:line="312" w:lineRule="auto"/>
        <w:ind w:left="311"/>
        <w:rPr>
          <w:rFonts w:eastAsia="宋体"/>
          <w:lang w:eastAsia="zh-CN"/>
        </w:rPr>
      </w:pPr>
      <w:r w:rsidRPr="00175D7E">
        <w:rPr>
          <w:rFonts w:eastAsia="宋体"/>
          <w:lang w:eastAsia="zh-CN"/>
        </w:rPr>
        <w:t>Comparison with similar malls in the Shanghai region:</w:t>
      </w:r>
    </w:p>
    <w:tbl>
      <w:tblPr>
        <w:tblW w:w="0" w:type="auto"/>
        <w:tblBorders>
          <w:top w:val="single" w:sz="12" w:space="0" w:color="auto"/>
          <w:left w:val="single" w:sz="12" w:space="0" w:color="auto"/>
          <w:bottom w:val="single" w:sz="12" w:space="0" w:color="auto"/>
          <w:right w:val="single" w:sz="12" w:space="0" w:color="auto"/>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4219"/>
        <w:gridCol w:w="1559"/>
        <w:gridCol w:w="1418"/>
        <w:gridCol w:w="1701"/>
      </w:tblGrid>
      <w:tr w:rsidR="00175D7E" w:rsidRPr="00175D7E" w14:paraId="3D0E97A3" w14:textId="77777777" w:rsidTr="00175D7E">
        <w:trPr>
          <w:trHeight w:val="703"/>
        </w:trPr>
        <w:tc>
          <w:tcPr>
            <w:tcW w:w="4219" w:type="dxa"/>
            <w:shd w:val="clear" w:color="auto" w:fill="C00000"/>
            <w:tcMar>
              <w:top w:w="0" w:type="dxa"/>
              <w:left w:w="108" w:type="dxa"/>
              <w:bottom w:w="0" w:type="dxa"/>
              <w:right w:w="108" w:type="dxa"/>
            </w:tcMar>
            <w:vAlign w:val="center"/>
            <w:hideMark/>
          </w:tcPr>
          <w:p w14:paraId="4E563621" w14:textId="77777777" w:rsidR="00175D7E" w:rsidRPr="00175D7E" w:rsidRDefault="00175D7E" w:rsidP="00923C4E">
            <w:pPr>
              <w:widowControl/>
              <w:autoSpaceDE/>
              <w:autoSpaceDN/>
              <w:spacing w:after="160"/>
              <w:jc w:val="center"/>
              <w:rPr>
                <w:rFonts w:eastAsia="宋体"/>
                <w:b/>
                <w:bCs/>
                <w:sz w:val="24"/>
                <w:szCs w:val="24"/>
                <w:lang w:eastAsia="zh-CN"/>
              </w:rPr>
            </w:pPr>
            <w:r w:rsidRPr="00175D7E">
              <w:rPr>
                <w:rFonts w:eastAsia="宋体"/>
                <w:b/>
                <w:bCs/>
                <w:color w:val="000000"/>
                <w:sz w:val="24"/>
                <w:szCs w:val="24"/>
                <w:lang w:eastAsia="zh-CN"/>
              </w:rPr>
              <w:t>Mall Name</w:t>
            </w:r>
          </w:p>
        </w:tc>
        <w:tc>
          <w:tcPr>
            <w:tcW w:w="1559" w:type="dxa"/>
            <w:shd w:val="clear" w:color="auto" w:fill="C00000"/>
            <w:tcMar>
              <w:top w:w="0" w:type="dxa"/>
              <w:left w:w="108" w:type="dxa"/>
              <w:bottom w:w="0" w:type="dxa"/>
              <w:right w:w="108" w:type="dxa"/>
            </w:tcMar>
            <w:vAlign w:val="center"/>
            <w:hideMark/>
          </w:tcPr>
          <w:p w14:paraId="5C675C1D" w14:textId="3FB465EF" w:rsidR="00175D7E" w:rsidRPr="00175D7E" w:rsidRDefault="00175D7E" w:rsidP="00923C4E">
            <w:pPr>
              <w:widowControl/>
              <w:autoSpaceDE/>
              <w:autoSpaceDN/>
              <w:spacing w:after="160"/>
              <w:jc w:val="center"/>
              <w:rPr>
                <w:rFonts w:eastAsia="宋体"/>
                <w:b/>
                <w:bCs/>
                <w:sz w:val="24"/>
                <w:szCs w:val="24"/>
                <w:lang w:eastAsia="zh-CN"/>
              </w:rPr>
            </w:pPr>
            <w:r w:rsidRPr="00175D7E">
              <w:rPr>
                <w:rFonts w:eastAsia="宋体"/>
                <w:b/>
                <w:bCs/>
                <w:color w:val="000000"/>
                <w:sz w:val="24"/>
                <w:szCs w:val="24"/>
                <w:lang w:eastAsia="zh-CN"/>
              </w:rPr>
              <w:t>Gold Share</w:t>
            </w:r>
          </w:p>
        </w:tc>
        <w:tc>
          <w:tcPr>
            <w:tcW w:w="1418" w:type="dxa"/>
            <w:shd w:val="clear" w:color="auto" w:fill="C00000"/>
            <w:tcMar>
              <w:top w:w="0" w:type="dxa"/>
              <w:left w:w="108" w:type="dxa"/>
              <w:bottom w:w="0" w:type="dxa"/>
              <w:right w:w="108" w:type="dxa"/>
            </w:tcMar>
            <w:vAlign w:val="center"/>
            <w:hideMark/>
          </w:tcPr>
          <w:p w14:paraId="0445B35C" w14:textId="77777777" w:rsidR="00175D7E" w:rsidRPr="00175D7E" w:rsidRDefault="00175D7E" w:rsidP="00923C4E">
            <w:pPr>
              <w:widowControl/>
              <w:autoSpaceDE/>
              <w:autoSpaceDN/>
              <w:spacing w:after="160"/>
              <w:jc w:val="center"/>
              <w:rPr>
                <w:rFonts w:eastAsia="宋体"/>
                <w:b/>
                <w:bCs/>
                <w:sz w:val="24"/>
                <w:szCs w:val="24"/>
                <w:lang w:eastAsia="zh-CN"/>
              </w:rPr>
            </w:pPr>
            <w:r w:rsidRPr="00175D7E">
              <w:rPr>
                <w:rFonts w:eastAsia="宋体"/>
                <w:b/>
                <w:bCs/>
                <w:color w:val="000000"/>
                <w:sz w:val="24"/>
                <w:szCs w:val="24"/>
                <w:lang w:eastAsia="zh-CN"/>
              </w:rPr>
              <w:t>Glory Share</w:t>
            </w:r>
          </w:p>
        </w:tc>
        <w:tc>
          <w:tcPr>
            <w:tcW w:w="1701" w:type="dxa"/>
            <w:shd w:val="clear" w:color="auto" w:fill="C00000"/>
            <w:tcMar>
              <w:top w:w="0" w:type="dxa"/>
              <w:left w:w="108" w:type="dxa"/>
              <w:bottom w:w="0" w:type="dxa"/>
              <w:right w:w="108" w:type="dxa"/>
            </w:tcMar>
            <w:vAlign w:val="center"/>
            <w:hideMark/>
          </w:tcPr>
          <w:p w14:paraId="00FE7657" w14:textId="77777777" w:rsidR="00175D7E" w:rsidRPr="00175D7E" w:rsidRDefault="00175D7E" w:rsidP="00923C4E">
            <w:pPr>
              <w:widowControl/>
              <w:autoSpaceDE/>
              <w:autoSpaceDN/>
              <w:spacing w:after="160"/>
              <w:jc w:val="center"/>
              <w:rPr>
                <w:rFonts w:eastAsia="宋体"/>
                <w:b/>
                <w:bCs/>
                <w:sz w:val="24"/>
                <w:szCs w:val="24"/>
                <w:lang w:eastAsia="zh-CN"/>
              </w:rPr>
            </w:pPr>
            <w:r w:rsidRPr="00175D7E">
              <w:rPr>
                <w:rFonts w:eastAsia="宋体"/>
                <w:b/>
                <w:bCs/>
                <w:color w:val="000000"/>
                <w:sz w:val="24"/>
                <w:szCs w:val="24"/>
                <w:lang w:eastAsia="zh-CN"/>
              </w:rPr>
              <w:t>National Team Share</w:t>
            </w:r>
          </w:p>
        </w:tc>
      </w:tr>
      <w:tr w:rsidR="00175D7E" w:rsidRPr="00175D7E" w14:paraId="5146DCC6" w14:textId="77777777" w:rsidTr="00175D7E">
        <w:trPr>
          <w:trHeight w:val="374"/>
        </w:trPr>
        <w:tc>
          <w:tcPr>
            <w:tcW w:w="4219" w:type="dxa"/>
            <w:tcMar>
              <w:top w:w="0" w:type="dxa"/>
              <w:left w:w="108" w:type="dxa"/>
              <w:bottom w:w="0" w:type="dxa"/>
              <w:right w:w="108" w:type="dxa"/>
            </w:tcMar>
            <w:vAlign w:val="center"/>
            <w:hideMark/>
          </w:tcPr>
          <w:p w14:paraId="73DC0C40"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Shanghai Nanxiang InCity MEGA</w:t>
            </w:r>
          </w:p>
        </w:tc>
        <w:tc>
          <w:tcPr>
            <w:tcW w:w="1559" w:type="dxa"/>
            <w:tcMar>
              <w:top w:w="0" w:type="dxa"/>
              <w:left w:w="108" w:type="dxa"/>
              <w:bottom w:w="0" w:type="dxa"/>
              <w:right w:w="108" w:type="dxa"/>
            </w:tcMar>
            <w:vAlign w:val="center"/>
            <w:hideMark/>
          </w:tcPr>
          <w:p w14:paraId="5BCED5DB"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29.11%</w:t>
            </w:r>
          </w:p>
        </w:tc>
        <w:tc>
          <w:tcPr>
            <w:tcW w:w="1418" w:type="dxa"/>
            <w:tcMar>
              <w:top w:w="0" w:type="dxa"/>
              <w:left w:w="108" w:type="dxa"/>
              <w:bottom w:w="0" w:type="dxa"/>
              <w:right w:w="108" w:type="dxa"/>
            </w:tcMar>
            <w:vAlign w:val="center"/>
            <w:hideMark/>
          </w:tcPr>
          <w:p w14:paraId="28EF0DE6"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61.47%</w:t>
            </w:r>
          </w:p>
        </w:tc>
        <w:tc>
          <w:tcPr>
            <w:tcW w:w="1701" w:type="dxa"/>
            <w:tcMar>
              <w:top w:w="0" w:type="dxa"/>
              <w:left w:w="108" w:type="dxa"/>
              <w:bottom w:w="0" w:type="dxa"/>
              <w:right w:w="108" w:type="dxa"/>
            </w:tcMar>
            <w:vAlign w:val="center"/>
            <w:hideMark/>
          </w:tcPr>
          <w:p w14:paraId="75F4F423"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9.42%</w:t>
            </w:r>
          </w:p>
        </w:tc>
      </w:tr>
      <w:tr w:rsidR="00175D7E" w:rsidRPr="00175D7E" w14:paraId="673A059A" w14:textId="77777777" w:rsidTr="00175D7E">
        <w:trPr>
          <w:trHeight w:val="688"/>
        </w:trPr>
        <w:tc>
          <w:tcPr>
            <w:tcW w:w="4219" w:type="dxa"/>
            <w:tcMar>
              <w:top w:w="0" w:type="dxa"/>
              <w:left w:w="108" w:type="dxa"/>
              <w:bottom w:w="0" w:type="dxa"/>
              <w:right w:w="108" w:type="dxa"/>
            </w:tcMar>
            <w:vAlign w:val="center"/>
            <w:hideMark/>
          </w:tcPr>
          <w:p w14:paraId="26906DB9"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Shanghai Changning Cloud Nine Shopping Mall</w:t>
            </w:r>
          </w:p>
        </w:tc>
        <w:tc>
          <w:tcPr>
            <w:tcW w:w="1559" w:type="dxa"/>
            <w:tcMar>
              <w:top w:w="0" w:type="dxa"/>
              <w:left w:w="108" w:type="dxa"/>
              <w:bottom w:w="0" w:type="dxa"/>
              <w:right w:w="108" w:type="dxa"/>
            </w:tcMar>
            <w:vAlign w:val="center"/>
            <w:hideMark/>
          </w:tcPr>
          <w:p w14:paraId="0DCE2B3A"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28.66%</w:t>
            </w:r>
          </w:p>
        </w:tc>
        <w:tc>
          <w:tcPr>
            <w:tcW w:w="1418" w:type="dxa"/>
            <w:tcMar>
              <w:top w:w="0" w:type="dxa"/>
              <w:left w:w="108" w:type="dxa"/>
              <w:bottom w:w="0" w:type="dxa"/>
              <w:right w:w="108" w:type="dxa"/>
            </w:tcMar>
            <w:vAlign w:val="center"/>
            <w:hideMark/>
          </w:tcPr>
          <w:p w14:paraId="395CFB74"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63.40%</w:t>
            </w:r>
          </w:p>
        </w:tc>
        <w:tc>
          <w:tcPr>
            <w:tcW w:w="1701" w:type="dxa"/>
            <w:tcMar>
              <w:top w:w="0" w:type="dxa"/>
              <w:left w:w="108" w:type="dxa"/>
              <w:bottom w:w="0" w:type="dxa"/>
              <w:right w:w="108" w:type="dxa"/>
            </w:tcMar>
            <w:vAlign w:val="center"/>
            <w:hideMark/>
          </w:tcPr>
          <w:p w14:paraId="3F277180"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7.93%</w:t>
            </w:r>
          </w:p>
        </w:tc>
      </w:tr>
      <w:tr w:rsidR="00175D7E" w:rsidRPr="00175D7E" w14:paraId="4A1277F0" w14:textId="77777777" w:rsidTr="00175D7E">
        <w:trPr>
          <w:trHeight w:val="688"/>
        </w:trPr>
        <w:tc>
          <w:tcPr>
            <w:tcW w:w="4219" w:type="dxa"/>
            <w:tcMar>
              <w:top w:w="0" w:type="dxa"/>
              <w:left w:w="108" w:type="dxa"/>
              <w:bottom w:w="0" w:type="dxa"/>
              <w:right w:w="108" w:type="dxa"/>
            </w:tcMar>
            <w:vAlign w:val="center"/>
            <w:hideMark/>
          </w:tcPr>
          <w:p w14:paraId="37F5D770"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Shanghai Minhang Qibao Vanke Plaza</w:t>
            </w:r>
          </w:p>
        </w:tc>
        <w:tc>
          <w:tcPr>
            <w:tcW w:w="1559" w:type="dxa"/>
            <w:tcMar>
              <w:top w:w="0" w:type="dxa"/>
              <w:left w:w="108" w:type="dxa"/>
              <w:bottom w:w="0" w:type="dxa"/>
              <w:right w:w="108" w:type="dxa"/>
            </w:tcMar>
            <w:vAlign w:val="center"/>
            <w:hideMark/>
          </w:tcPr>
          <w:p w14:paraId="6D56AC24"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29.57%</w:t>
            </w:r>
          </w:p>
        </w:tc>
        <w:tc>
          <w:tcPr>
            <w:tcW w:w="1418" w:type="dxa"/>
            <w:tcMar>
              <w:top w:w="0" w:type="dxa"/>
              <w:left w:w="108" w:type="dxa"/>
              <w:bottom w:w="0" w:type="dxa"/>
              <w:right w:w="108" w:type="dxa"/>
            </w:tcMar>
            <w:vAlign w:val="center"/>
            <w:hideMark/>
          </w:tcPr>
          <w:p w14:paraId="3116D3B8"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61.22%</w:t>
            </w:r>
          </w:p>
        </w:tc>
        <w:tc>
          <w:tcPr>
            <w:tcW w:w="1701" w:type="dxa"/>
            <w:tcMar>
              <w:top w:w="0" w:type="dxa"/>
              <w:left w:w="108" w:type="dxa"/>
              <w:bottom w:w="0" w:type="dxa"/>
              <w:right w:w="108" w:type="dxa"/>
            </w:tcMar>
            <w:vAlign w:val="center"/>
            <w:hideMark/>
          </w:tcPr>
          <w:p w14:paraId="53C51063"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9.20%</w:t>
            </w:r>
          </w:p>
        </w:tc>
      </w:tr>
      <w:tr w:rsidR="00175D7E" w:rsidRPr="00175D7E" w14:paraId="006A1D8B" w14:textId="77777777" w:rsidTr="00175D7E">
        <w:trPr>
          <w:trHeight w:val="389"/>
        </w:trPr>
        <w:tc>
          <w:tcPr>
            <w:tcW w:w="4219" w:type="dxa"/>
            <w:tcMar>
              <w:top w:w="0" w:type="dxa"/>
              <w:left w:w="108" w:type="dxa"/>
              <w:bottom w:w="0" w:type="dxa"/>
              <w:right w:w="108" w:type="dxa"/>
            </w:tcMar>
            <w:vAlign w:val="center"/>
            <w:hideMark/>
          </w:tcPr>
          <w:p w14:paraId="41900116"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Shanghai Global Harbor</w:t>
            </w:r>
          </w:p>
        </w:tc>
        <w:tc>
          <w:tcPr>
            <w:tcW w:w="1559" w:type="dxa"/>
            <w:tcMar>
              <w:top w:w="0" w:type="dxa"/>
              <w:left w:w="108" w:type="dxa"/>
              <w:bottom w:w="0" w:type="dxa"/>
              <w:right w:w="108" w:type="dxa"/>
            </w:tcMar>
            <w:vAlign w:val="center"/>
            <w:hideMark/>
          </w:tcPr>
          <w:p w14:paraId="4C868D19"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33.64%</w:t>
            </w:r>
          </w:p>
        </w:tc>
        <w:tc>
          <w:tcPr>
            <w:tcW w:w="1418" w:type="dxa"/>
            <w:tcMar>
              <w:top w:w="0" w:type="dxa"/>
              <w:left w:w="108" w:type="dxa"/>
              <w:bottom w:w="0" w:type="dxa"/>
              <w:right w:w="108" w:type="dxa"/>
            </w:tcMar>
            <w:vAlign w:val="center"/>
            <w:hideMark/>
          </w:tcPr>
          <w:p w14:paraId="60DFC555"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55.71%</w:t>
            </w:r>
          </w:p>
        </w:tc>
        <w:tc>
          <w:tcPr>
            <w:tcW w:w="1701" w:type="dxa"/>
            <w:tcMar>
              <w:top w:w="0" w:type="dxa"/>
              <w:left w:w="108" w:type="dxa"/>
              <w:bottom w:w="0" w:type="dxa"/>
              <w:right w:w="108" w:type="dxa"/>
            </w:tcMar>
            <w:vAlign w:val="center"/>
            <w:hideMark/>
          </w:tcPr>
          <w:p w14:paraId="03A23223" w14:textId="77777777" w:rsidR="00175D7E" w:rsidRPr="00175D7E" w:rsidRDefault="00175D7E" w:rsidP="00923C4E">
            <w:pPr>
              <w:widowControl/>
              <w:autoSpaceDE/>
              <w:autoSpaceDN/>
              <w:spacing w:after="160"/>
              <w:jc w:val="center"/>
              <w:rPr>
                <w:rFonts w:eastAsia="宋体"/>
                <w:sz w:val="24"/>
                <w:szCs w:val="24"/>
                <w:lang w:eastAsia="zh-CN"/>
              </w:rPr>
            </w:pPr>
            <w:r w:rsidRPr="00175D7E">
              <w:rPr>
                <w:rFonts w:eastAsia="宋体"/>
                <w:color w:val="000000"/>
                <w:sz w:val="24"/>
                <w:szCs w:val="24"/>
                <w:lang w:eastAsia="zh-CN"/>
              </w:rPr>
              <w:t>10.64%</w:t>
            </w:r>
          </w:p>
        </w:tc>
      </w:tr>
    </w:tbl>
    <w:p w14:paraId="6F1E2031"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For assortment recommendations, the store should prioritize sufficient inventory for the Glory series, especially popular styles and key sizes, to maintain its core sales advantage.</w:t>
      </w:r>
    </w:p>
    <w:p w14:paraId="71C5E472"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The store should also increase the display of the Gold Label series. Given its relatively high acceptance, the store can expand shelf space and promotion efforts for premium products.</w:t>
      </w:r>
    </w:p>
    <w:p w14:paraId="4FD9D1F0"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 xml:space="preserve">For the National Team series, the store should optimize its product structure, focus on professional sports categories, and introduce more targeted marketing activities to further improve </w:t>
      </w:r>
      <w:r w:rsidRPr="00644E79">
        <w:rPr>
          <w:rFonts w:eastAsia="宋体"/>
          <w:lang w:eastAsia="zh-CN"/>
        </w:rPr>
        <w:lastRenderedPageBreak/>
        <w:t>its share.</w:t>
      </w:r>
    </w:p>
    <w:p w14:paraId="4804BACF" w14:textId="2A027435" w:rsidR="00644E79" w:rsidRPr="00644E79" w:rsidRDefault="00644E79" w:rsidP="00923C4E">
      <w:pPr>
        <w:pStyle w:val="3"/>
        <w:ind w:right="0"/>
        <w:rPr>
          <w:rFonts w:eastAsia="宋体"/>
          <w:lang w:eastAsia="zh-CN"/>
        </w:rPr>
      </w:pPr>
      <w:r w:rsidRPr="00644E79">
        <w:rPr>
          <w:rFonts w:eastAsia="宋体"/>
          <w:lang w:eastAsia="zh-CN"/>
        </w:rPr>
        <w:t>Summary</w:t>
      </w:r>
    </w:p>
    <w:p w14:paraId="787F7814"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This section completed the prototype development for integrating the Li-Ning assortment recommendation model with an AI tool.</w:t>
      </w:r>
    </w:p>
    <w:p w14:paraId="4D2E9226"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The system uses Coze Bot to provide a natural-language interaction interface, Coze Workflow to identify user tasks, and a Python backend deployed on Railway to complete model calculation. AI then organizes the results into business-readable output.</w:t>
      </w:r>
    </w:p>
    <w:p w14:paraId="0EA99173"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The test results show that, after uploading the seven standardized Excel files, users can enter “Generate the TOP20 high-potential commercial complexes,” and the system can successfully return high-potential Gold Label commercial complexes in first-tier and new first-tier cities.</w:t>
      </w:r>
    </w:p>
    <w:p w14:paraId="1A3DB3DC"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This confirms that the system has completed the full process from data upload, prompt recognition, workflow calling, and model calculation to AI output.</w:t>
      </w:r>
    </w:p>
    <w:p w14:paraId="4C29B28C"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Compared with the original Notebook version, this AI-assisted system has the following advantages:</w:t>
      </w:r>
    </w:p>
    <w:p w14:paraId="76B38477"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(1)It lowers the usage barrier. Business users do not need to understand Python code, model parameters, or data processing logic. They only need to upload files and enter questions.</w:t>
      </w:r>
    </w:p>
    <w:p w14:paraId="5FEDC0BD"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(2)It improves interactivity. Users can ask questions in natural language, and the system can call different workflows based on different prompts.</w:t>
      </w:r>
    </w:p>
    <w:p w14:paraId="3F080813"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(3)It improves model interpretability. Model outputs are no longer just data tables; they can be translated by AI into business language.</w:t>
      </w:r>
    </w:p>
    <w:p w14:paraId="255FF524" w14:textId="3723A438" w:rsidR="00644E79" w:rsidRPr="00644E79" w:rsidRDefault="00644E79" w:rsidP="00923C4E">
      <w:pPr>
        <w:pStyle w:val="3"/>
        <w:ind w:right="0"/>
        <w:rPr>
          <w:rFonts w:eastAsia="宋体"/>
          <w:lang w:eastAsia="zh-CN"/>
        </w:rPr>
      </w:pPr>
      <w:r w:rsidRPr="00644E79">
        <w:rPr>
          <w:rFonts w:eastAsia="宋体"/>
          <w:lang w:eastAsia="zh-CN"/>
        </w:rPr>
        <w:t>Future Optimization Directions</w:t>
      </w:r>
    </w:p>
    <w:p w14:paraId="6D4C24B7"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(1)The seven files can be integrated into one standardized input workbook to reduce the upload burden for users.</w:t>
      </w:r>
    </w:p>
    <w:p w14:paraId="1D297AFE"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(2)The system can support more complete result downloads, such as exporting the full TOP20 Excel file, the product-line share prediction table for all commercial complexes, and single-mall analysis reports.</w:t>
      </w:r>
    </w:p>
    <w:p w14:paraId="5B601526" w14:textId="77777777" w:rsidR="00644E79" w:rsidRPr="00644E79" w:rsidRDefault="00644E79" w:rsidP="00923C4E">
      <w:pPr>
        <w:pStyle w:val="a0"/>
        <w:spacing w:before="309" w:line="312" w:lineRule="auto"/>
        <w:ind w:left="311"/>
        <w:rPr>
          <w:rFonts w:eastAsia="宋体"/>
          <w:lang w:eastAsia="zh-CN"/>
        </w:rPr>
      </w:pPr>
      <w:r w:rsidRPr="00644E79">
        <w:rPr>
          <w:rFonts w:eastAsia="宋体"/>
          <w:lang w:eastAsia="zh-CN"/>
        </w:rPr>
        <w:t xml:space="preserve">(3)Exact search based on Winshang Project ID can be added to avoid matching issues caused by </w:t>
      </w:r>
      <w:r w:rsidRPr="00644E79">
        <w:rPr>
          <w:rFonts w:eastAsia="宋体"/>
          <w:lang w:eastAsia="zh-CN"/>
        </w:rPr>
        <w:lastRenderedPageBreak/>
        <w:t>mall aliases and chain-mall names.</w:t>
      </w:r>
    </w:p>
    <w:p w14:paraId="487EA6BE" w14:textId="77777777" w:rsidR="00A83861" w:rsidRDefault="00644E79" w:rsidP="00923C4E">
      <w:pPr>
        <w:pStyle w:val="a0"/>
        <w:spacing w:before="309" w:line="312" w:lineRule="auto"/>
        <w:ind w:left="311"/>
        <w:rPr>
          <w:rFonts w:eastAsia="宋体"/>
          <w:lang w:eastAsia="zh-CN"/>
        </w:rPr>
      </w:pPr>
      <w:r w:rsidRPr="00644E79">
        <w:rPr>
          <w:rFonts w:eastAsia="宋体"/>
          <w:lang w:eastAsia="zh-CN"/>
        </w:rPr>
        <w:t>(4)Risk warnings can be further strengthened, such as flagging missing data, out-of-sample commercial complexes, uncertain name matching, and low prediction confidence.</w:t>
      </w:r>
    </w:p>
    <w:p w14:paraId="588C8060" w14:textId="14923818" w:rsidR="001A7AA4" w:rsidRDefault="001A7AA4" w:rsidP="00923C4E">
      <w:pPr>
        <w:pStyle w:val="a0"/>
        <w:spacing w:before="309" w:line="312" w:lineRule="auto"/>
        <w:ind w:left="311"/>
        <w:rPr>
          <w:rFonts w:eastAsia="宋体"/>
          <w:lang w:eastAsia="zh-CN"/>
        </w:rPr>
      </w:pPr>
      <w:r>
        <w:rPr>
          <w:rFonts w:eastAsia="宋体"/>
          <w:lang w:eastAsia="zh-CN"/>
        </w:rPr>
        <w:br w:type="page"/>
      </w:r>
    </w:p>
    <w:p w14:paraId="0B4EC73D" w14:textId="73BFDAF7" w:rsidR="00380E18" w:rsidRDefault="00380E18" w:rsidP="00923C4E">
      <w:pPr>
        <w:pStyle w:val="1"/>
        <w:rPr>
          <w:rFonts w:eastAsia="宋体"/>
          <w:lang w:eastAsia="zh-CN"/>
        </w:rPr>
      </w:pPr>
      <w:bookmarkStart w:id="28" w:name="_Toc229242126"/>
      <w:r w:rsidRPr="00380E18">
        <w:rPr>
          <w:rFonts w:eastAsia="宋体"/>
          <w:lang w:eastAsia="zh-CN"/>
        </w:rPr>
        <w:lastRenderedPageBreak/>
        <w:t>Modeling</w:t>
      </w:r>
      <w:bookmarkEnd w:id="28"/>
    </w:p>
    <w:p w14:paraId="20C59AC9" w14:textId="732DF6C3" w:rsidR="00380E18" w:rsidRPr="00E13FDC" w:rsidRDefault="00380E18" w:rsidP="00923C4E">
      <w:pPr>
        <w:pStyle w:val="2"/>
        <w:ind w:right="0"/>
      </w:pPr>
      <w:bookmarkStart w:id="29" w:name="_Toc229242127"/>
      <w:r w:rsidRPr="00E13FDC">
        <w:t>Method Overview</w:t>
      </w:r>
      <w:bookmarkEnd w:id="29"/>
    </w:p>
    <w:p w14:paraId="7E09BBF4" w14:textId="076A963D" w:rsidR="00931CEC" w:rsidRDefault="00380E18" w:rsidP="00923C4E">
      <w:pPr>
        <w:pStyle w:val="a0"/>
        <w:spacing w:before="309" w:line="312" w:lineRule="auto"/>
        <w:ind w:left="311"/>
        <w:rPr>
          <w:rFonts w:eastAsia="宋体"/>
          <w:lang w:eastAsia="zh-CN"/>
        </w:rPr>
      </w:pPr>
      <w:r w:rsidRPr="00380E18">
        <w:rPr>
          <w:rFonts w:eastAsia="宋体"/>
          <w:lang w:eastAsia="zh-CN"/>
        </w:rPr>
        <w:t xml:space="preserve">The core output has been changed to: Based on the mall profile, identify whether this new store is more likely to be "shoe-driven", "apparel-driven", or "accessories-driven", "prestige-driven", "gold label-driven", "national team-driven", or "other types", and provide a suggested range of high/medium/low proportions, rather than a specific percentage. </w:t>
      </w:r>
    </w:p>
    <w:tbl>
      <w:tblPr>
        <w:tblW w:w="0" w:type="auto"/>
        <w:tblInd w:w="785" w:type="dxa"/>
        <w:tblLayout w:type="fixed"/>
        <w:tblCellMar>
          <w:top w:w="15" w:type="dxa"/>
          <w:left w:w="15" w:type="dxa"/>
          <w:bottom w:w="15" w:type="dxa"/>
          <w:right w:w="15" w:type="dxa"/>
        </w:tblCellMar>
        <w:tblLook w:val="04A0" w:firstRow="1" w:lastRow="0" w:firstColumn="1" w:lastColumn="0" w:noHBand="0" w:noVBand="1"/>
      </w:tblPr>
      <w:tblGrid>
        <w:gridCol w:w="2062"/>
        <w:gridCol w:w="6127"/>
      </w:tblGrid>
      <w:tr w:rsidR="00EF5C7E" w:rsidRPr="002C24CD" w14:paraId="2C6131CD" w14:textId="77777777" w:rsidTr="00A83861">
        <w:trPr>
          <w:trHeight w:val="450"/>
        </w:trPr>
        <w:tc>
          <w:tcPr>
            <w:tcW w:w="2062" w:type="dxa"/>
            <w:tcBorders>
              <w:top w:val="single" w:sz="12" w:space="0" w:color="auto"/>
              <w:left w:val="single" w:sz="12" w:space="0" w:color="auto"/>
              <w:bottom w:val="single" w:sz="4" w:space="0" w:color="1A3C5E"/>
              <w:right w:val="single" w:sz="4" w:space="0" w:color="1A3C5E"/>
            </w:tcBorders>
            <w:shd w:val="clear" w:color="auto" w:fill="C00000"/>
            <w:tcMar>
              <w:top w:w="80" w:type="dxa"/>
              <w:left w:w="120" w:type="dxa"/>
              <w:bottom w:w="80" w:type="dxa"/>
              <w:right w:w="120" w:type="dxa"/>
            </w:tcMar>
            <w:vAlign w:val="center"/>
            <w:hideMark/>
          </w:tcPr>
          <w:p w14:paraId="224FF27E" w14:textId="40874670" w:rsidR="00EF5C7E" w:rsidRPr="002C24CD" w:rsidRDefault="0015111B" w:rsidP="00923C4E">
            <w:pPr>
              <w:jc w:val="center"/>
              <w:rPr>
                <w:rFonts w:eastAsia="宋体"/>
                <w:b/>
                <w:bCs/>
                <w:lang w:eastAsia="zh-CN"/>
              </w:rPr>
            </w:pPr>
            <w:r w:rsidRPr="002C24CD">
              <w:rPr>
                <w:rFonts w:eastAsia="宋体"/>
                <w:b/>
                <w:bCs/>
                <w:lang w:eastAsia="zh-CN"/>
              </w:rPr>
              <w:t>L</w:t>
            </w:r>
            <w:r w:rsidR="00EF5C7E" w:rsidRPr="002C24CD">
              <w:rPr>
                <w:rFonts w:eastAsia="宋体"/>
                <w:b/>
                <w:bCs/>
                <w:lang w:eastAsia="zh-CN"/>
              </w:rPr>
              <w:t>evel</w:t>
            </w:r>
          </w:p>
        </w:tc>
        <w:tc>
          <w:tcPr>
            <w:tcW w:w="6127" w:type="dxa"/>
            <w:tcBorders>
              <w:top w:val="single" w:sz="12" w:space="0" w:color="auto"/>
              <w:left w:val="single" w:sz="4" w:space="0" w:color="1A3C5E"/>
              <w:bottom w:val="single" w:sz="4" w:space="0" w:color="1A3C5E"/>
              <w:right w:val="single" w:sz="12" w:space="0" w:color="auto"/>
            </w:tcBorders>
            <w:shd w:val="clear" w:color="auto" w:fill="C00000"/>
            <w:tcMar>
              <w:top w:w="80" w:type="dxa"/>
              <w:left w:w="120" w:type="dxa"/>
              <w:bottom w:w="80" w:type="dxa"/>
              <w:right w:w="120" w:type="dxa"/>
            </w:tcMar>
            <w:vAlign w:val="center"/>
            <w:hideMark/>
          </w:tcPr>
          <w:p w14:paraId="70168E62" w14:textId="77777777" w:rsidR="00EF5C7E" w:rsidRPr="002C24CD" w:rsidRDefault="00EF5C7E" w:rsidP="00923C4E">
            <w:pPr>
              <w:jc w:val="center"/>
              <w:rPr>
                <w:rFonts w:eastAsia="宋体"/>
                <w:b/>
                <w:bCs/>
                <w:lang w:eastAsia="zh-CN"/>
              </w:rPr>
            </w:pPr>
            <w:r w:rsidRPr="002C24CD">
              <w:rPr>
                <w:rFonts w:eastAsia="宋体"/>
                <w:b/>
                <w:bCs/>
                <w:lang w:eastAsia="zh-CN"/>
              </w:rPr>
              <w:t>Dependent variable (Y)</w:t>
            </w:r>
          </w:p>
        </w:tc>
      </w:tr>
      <w:tr w:rsidR="00EF5C7E" w:rsidRPr="00EF5C7E" w14:paraId="72CEE27B" w14:textId="77777777" w:rsidTr="00A83861">
        <w:trPr>
          <w:trHeight w:val="450"/>
        </w:trPr>
        <w:tc>
          <w:tcPr>
            <w:tcW w:w="2062" w:type="dxa"/>
            <w:tcBorders>
              <w:top w:val="single" w:sz="4" w:space="0" w:color="1A3C5E"/>
              <w:left w:val="single" w:sz="12" w:space="0" w:color="auto"/>
              <w:bottom w:val="single" w:sz="4" w:space="0" w:color="CCCCCC"/>
              <w:right w:val="single" w:sz="4" w:space="0" w:color="CCCCCC"/>
            </w:tcBorders>
            <w:shd w:val="clear" w:color="auto" w:fill="F5F5F5"/>
            <w:tcMar>
              <w:top w:w="80" w:type="dxa"/>
              <w:left w:w="120" w:type="dxa"/>
              <w:bottom w:w="80" w:type="dxa"/>
              <w:right w:w="120" w:type="dxa"/>
            </w:tcMar>
            <w:vAlign w:val="center"/>
            <w:hideMark/>
          </w:tcPr>
          <w:p w14:paraId="27C0440A" w14:textId="77777777" w:rsidR="00EF5C7E" w:rsidRPr="00EF5C7E" w:rsidRDefault="00EF5C7E" w:rsidP="00923C4E">
            <w:pPr>
              <w:jc w:val="center"/>
              <w:rPr>
                <w:rFonts w:eastAsia="宋体"/>
                <w:lang w:eastAsia="zh-CN"/>
              </w:rPr>
            </w:pPr>
            <w:r w:rsidRPr="00EF5C7E">
              <w:rPr>
                <w:rFonts w:eastAsia="宋体"/>
                <w:color w:val="000000"/>
                <w:lang w:eastAsia="zh-CN"/>
              </w:rPr>
              <w:t>First layer: Major product category structure</w:t>
            </w:r>
          </w:p>
        </w:tc>
        <w:tc>
          <w:tcPr>
            <w:tcW w:w="6127" w:type="dxa"/>
            <w:tcBorders>
              <w:top w:val="single" w:sz="4" w:space="0" w:color="1A3C5E"/>
              <w:left w:val="single" w:sz="4" w:space="0" w:color="CCCCCC"/>
              <w:bottom w:val="single" w:sz="4" w:space="0" w:color="CCCCCC"/>
              <w:right w:val="single" w:sz="12" w:space="0" w:color="auto"/>
            </w:tcBorders>
            <w:shd w:val="clear" w:color="auto" w:fill="F5F5F5"/>
            <w:tcMar>
              <w:top w:w="80" w:type="dxa"/>
              <w:left w:w="120" w:type="dxa"/>
              <w:bottom w:w="80" w:type="dxa"/>
              <w:right w:w="120" w:type="dxa"/>
            </w:tcMar>
            <w:vAlign w:val="center"/>
            <w:hideMark/>
          </w:tcPr>
          <w:p w14:paraId="15FF00D0" w14:textId="77777777" w:rsidR="00EF5C7E" w:rsidRPr="00EF5C7E" w:rsidRDefault="00EF5C7E" w:rsidP="00923C4E">
            <w:pPr>
              <w:jc w:val="center"/>
              <w:rPr>
                <w:rFonts w:eastAsia="宋体"/>
                <w:lang w:eastAsia="zh-CN"/>
              </w:rPr>
            </w:pPr>
            <w:r w:rsidRPr="00EF5C7E">
              <w:rPr>
                <w:rFonts w:eastAsia="宋体"/>
                <w:color w:val="000000"/>
                <w:lang w:eastAsia="zh-CN"/>
              </w:rPr>
              <w:t>Y</w:t>
            </w:r>
            <w:r w:rsidRPr="00EF5C7E">
              <w:rPr>
                <w:rFonts w:eastAsia="宋体" w:cs="Cambria Math"/>
                <w:color w:val="000000"/>
                <w:lang w:eastAsia="zh-CN"/>
              </w:rPr>
              <w:t>₁</w:t>
            </w:r>
            <w:r w:rsidRPr="00EF5C7E">
              <w:rPr>
                <w:rFonts w:eastAsia="宋体"/>
                <w:color w:val="000000"/>
                <w:lang w:eastAsia="zh-CN"/>
              </w:rPr>
              <w:t xml:space="preserve"> Footwear percentage / Y</w:t>
            </w:r>
            <w:r w:rsidRPr="00EF5C7E">
              <w:rPr>
                <w:rFonts w:eastAsia="宋体" w:cs="Cambria Math"/>
                <w:color w:val="000000"/>
                <w:lang w:eastAsia="zh-CN"/>
              </w:rPr>
              <w:t>₂</w:t>
            </w:r>
            <w:r w:rsidRPr="00EF5C7E">
              <w:rPr>
                <w:rFonts w:eastAsia="宋体"/>
                <w:color w:val="000000"/>
                <w:lang w:eastAsia="zh-CN"/>
              </w:rPr>
              <w:t xml:space="preserve"> Apparel percentage / Y</w:t>
            </w:r>
            <w:r w:rsidRPr="00EF5C7E">
              <w:rPr>
                <w:rFonts w:eastAsia="宋体" w:cs="Cambria Math"/>
                <w:color w:val="000000"/>
                <w:lang w:eastAsia="zh-CN"/>
              </w:rPr>
              <w:t>₃</w:t>
            </w:r>
            <w:r w:rsidRPr="00EF5C7E">
              <w:rPr>
                <w:rFonts w:eastAsia="宋体"/>
                <w:color w:val="000000"/>
                <w:lang w:eastAsia="zh-CN"/>
              </w:rPr>
              <w:t xml:space="preserve"> Accessories percentage</w:t>
            </w:r>
          </w:p>
        </w:tc>
      </w:tr>
      <w:tr w:rsidR="00EF5C7E" w:rsidRPr="00EF5C7E" w14:paraId="176BD020" w14:textId="77777777" w:rsidTr="00A83861">
        <w:trPr>
          <w:trHeight w:val="450"/>
        </w:trPr>
        <w:tc>
          <w:tcPr>
            <w:tcW w:w="2062" w:type="dxa"/>
            <w:tcBorders>
              <w:top w:val="single" w:sz="4" w:space="0" w:color="CCCCCC"/>
              <w:left w:val="single" w:sz="12" w:space="0" w:color="auto"/>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5D38E5C" w14:textId="77777777" w:rsidR="00EF5C7E" w:rsidRPr="00EF5C7E" w:rsidRDefault="00EF5C7E" w:rsidP="00923C4E">
            <w:pPr>
              <w:jc w:val="center"/>
              <w:rPr>
                <w:rFonts w:eastAsia="宋体"/>
                <w:lang w:eastAsia="zh-CN"/>
              </w:rPr>
            </w:pPr>
            <w:r w:rsidRPr="00EF5C7E">
              <w:rPr>
                <w:rFonts w:eastAsia="宋体"/>
                <w:color w:val="000000"/>
                <w:lang w:eastAsia="zh-CN"/>
              </w:rPr>
              <w:t>Second layer: Product line allocation</w:t>
            </w:r>
          </w:p>
        </w:tc>
        <w:tc>
          <w:tcPr>
            <w:tcW w:w="6127" w:type="dxa"/>
            <w:tcBorders>
              <w:top w:val="single" w:sz="4" w:space="0" w:color="CCCCCC"/>
              <w:left w:val="single" w:sz="4" w:space="0" w:color="CCCCCC"/>
              <w:bottom w:val="single" w:sz="4" w:space="0" w:color="CCCCCC"/>
              <w:right w:val="single" w:sz="12" w:space="0" w:color="auto"/>
            </w:tcBorders>
            <w:shd w:val="clear" w:color="auto" w:fill="FFFFFF"/>
            <w:tcMar>
              <w:top w:w="80" w:type="dxa"/>
              <w:left w:w="120" w:type="dxa"/>
              <w:bottom w:w="80" w:type="dxa"/>
              <w:right w:w="120" w:type="dxa"/>
            </w:tcMar>
            <w:vAlign w:val="center"/>
            <w:hideMark/>
          </w:tcPr>
          <w:p w14:paraId="200914B3" w14:textId="77777777" w:rsidR="00EF5C7E" w:rsidRPr="00EF5C7E" w:rsidRDefault="00EF5C7E" w:rsidP="00923C4E">
            <w:pPr>
              <w:jc w:val="center"/>
              <w:rPr>
                <w:rFonts w:eastAsia="宋体"/>
                <w:lang w:eastAsia="zh-CN"/>
              </w:rPr>
            </w:pPr>
            <w:r w:rsidRPr="00EF5C7E">
              <w:rPr>
                <w:rFonts w:eastAsia="宋体"/>
                <w:color w:val="000000"/>
                <w:lang w:eastAsia="zh-CN"/>
              </w:rPr>
              <w:t>Y</w:t>
            </w:r>
            <w:r w:rsidRPr="00EF5C7E">
              <w:rPr>
                <w:rFonts w:eastAsia="宋体" w:cs="Cambria Math"/>
                <w:color w:val="000000"/>
                <w:lang w:eastAsia="zh-CN"/>
              </w:rPr>
              <w:t>₄</w:t>
            </w:r>
            <w:r w:rsidRPr="00EF5C7E">
              <w:rPr>
                <w:rFonts w:eastAsia="宋体"/>
                <w:color w:val="000000"/>
                <w:lang w:eastAsia="zh-CN"/>
              </w:rPr>
              <w:t xml:space="preserve"> Li-Ning Glory percentage / Y</w:t>
            </w:r>
            <w:r w:rsidRPr="00EF5C7E">
              <w:rPr>
                <w:rFonts w:eastAsia="宋体" w:cs="Cambria Math"/>
                <w:color w:val="000000"/>
                <w:lang w:eastAsia="zh-CN"/>
              </w:rPr>
              <w:t>₅</w:t>
            </w:r>
            <w:r w:rsidRPr="00EF5C7E">
              <w:rPr>
                <w:rFonts w:eastAsia="宋体"/>
                <w:color w:val="000000"/>
                <w:lang w:eastAsia="zh-CN"/>
              </w:rPr>
              <w:t xml:space="preserve"> Other series percentage / Y</w:t>
            </w:r>
            <w:r w:rsidRPr="00EF5C7E">
              <w:rPr>
                <w:rFonts w:eastAsia="宋体" w:cs="Cambria Math"/>
                <w:color w:val="000000"/>
                <w:lang w:eastAsia="zh-CN"/>
              </w:rPr>
              <w:t>₆</w:t>
            </w:r>
            <w:r w:rsidRPr="00EF5C7E">
              <w:rPr>
                <w:rFonts w:eastAsia="宋体"/>
                <w:color w:val="000000"/>
                <w:lang w:eastAsia="zh-CN"/>
              </w:rPr>
              <w:t xml:space="preserve"> Li-Ning Glory Gold Label percentage</w:t>
            </w:r>
          </w:p>
        </w:tc>
      </w:tr>
      <w:tr w:rsidR="00EF5C7E" w:rsidRPr="00EF5C7E" w14:paraId="6D2B7753" w14:textId="77777777" w:rsidTr="00A83861">
        <w:trPr>
          <w:trHeight w:val="450"/>
        </w:trPr>
        <w:tc>
          <w:tcPr>
            <w:tcW w:w="2062" w:type="dxa"/>
            <w:tcBorders>
              <w:top w:val="single" w:sz="4" w:space="0" w:color="CCCCCC"/>
              <w:left w:val="single" w:sz="12" w:space="0" w:color="auto"/>
              <w:bottom w:val="single" w:sz="12" w:space="0" w:color="auto"/>
              <w:right w:val="single" w:sz="4" w:space="0" w:color="CCCCCC"/>
            </w:tcBorders>
            <w:shd w:val="clear" w:color="auto" w:fill="F5F5F5"/>
            <w:tcMar>
              <w:top w:w="80" w:type="dxa"/>
              <w:left w:w="120" w:type="dxa"/>
              <w:bottom w:w="80" w:type="dxa"/>
              <w:right w:w="120" w:type="dxa"/>
            </w:tcMar>
            <w:vAlign w:val="center"/>
            <w:hideMark/>
          </w:tcPr>
          <w:p w14:paraId="1E1C1ED7" w14:textId="77777777" w:rsidR="00EF5C7E" w:rsidRPr="00EF5C7E" w:rsidRDefault="00EF5C7E" w:rsidP="00923C4E">
            <w:pPr>
              <w:jc w:val="center"/>
              <w:rPr>
                <w:rFonts w:eastAsia="宋体"/>
                <w:lang w:eastAsia="zh-CN"/>
              </w:rPr>
            </w:pPr>
            <w:r w:rsidRPr="00EF5C7E">
              <w:rPr>
                <w:rFonts w:eastAsia="宋体"/>
                <w:color w:val="000000"/>
                <w:lang w:eastAsia="zh-CN"/>
              </w:rPr>
              <w:t>Supplementary quality indicators</w:t>
            </w:r>
          </w:p>
        </w:tc>
        <w:tc>
          <w:tcPr>
            <w:tcW w:w="6127" w:type="dxa"/>
            <w:tcBorders>
              <w:top w:val="single" w:sz="4" w:space="0" w:color="CCCCCC"/>
              <w:left w:val="single" w:sz="4" w:space="0" w:color="CCCCCC"/>
              <w:bottom w:val="single" w:sz="12" w:space="0" w:color="auto"/>
              <w:right w:val="single" w:sz="12" w:space="0" w:color="auto"/>
            </w:tcBorders>
            <w:shd w:val="clear" w:color="auto" w:fill="F5F5F5"/>
            <w:tcMar>
              <w:top w:w="80" w:type="dxa"/>
              <w:left w:w="120" w:type="dxa"/>
              <w:bottom w:w="80" w:type="dxa"/>
              <w:right w:w="120" w:type="dxa"/>
            </w:tcMar>
            <w:vAlign w:val="center"/>
            <w:hideMark/>
          </w:tcPr>
          <w:p w14:paraId="37D7CEF6" w14:textId="77777777" w:rsidR="00EF5C7E" w:rsidRPr="00EF5C7E" w:rsidRDefault="00EF5C7E" w:rsidP="00923C4E">
            <w:pPr>
              <w:jc w:val="center"/>
              <w:rPr>
                <w:rFonts w:eastAsia="宋体"/>
                <w:lang w:eastAsia="zh-CN"/>
              </w:rPr>
            </w:pPr>
            <w:r w:rsidRPr="00EF5C7E">
              <w:rPr>
                <w:rFonts w:eastAsia="宋体"/>
                <w:color w:val="000000"/>
                <w:lang w:eastAsia="zh-CN"/>
              </w:rPr>
              <w:t>Y</w:t>
            </w:r>
            <w:r w:rsidRPr="00EF5C7E">
              <w:rPr>
                <w:rFonts w:eastAsia="宋体" w:cs="Cambria Math"/>
                <w:color w:val="000000"/>
                <w:lang w:eastAsia="zh-CN"/>
              </w:rPr>
              <w:t>₇</w:t>
            </w:r>
            <w:r w:rsidRPr="00EF5C7E">
              <w:rPr>
                <w:rFonts w:eastAsia="宋体"/>
                <w:color w:val="000000"/>
                <w:lang w:eastAsia="zh-CN"/>
              </w:rPr>
              <w:t xml:space="preserve"> Tag fulfillment rate (auxiliary validation, Beta regression or OLS)</w:t>
            </w:r>
          </w:p>
        </w:tc>
      </w:tr>
    </w:tbl>
    <w:p w14:paraId="7DDB287F" w14:textId="425C1E7C" w:rsidR="00E13FDC" w:rsidRPr="00E13FDC" w:rsidRDefault="00E13FDC" w:rsidP="00923C4E">
      <w:pPr>
        <w:pStyle w:val="2"/>
        <w:ind w:right="0"/>
        <w:rPr>
          <w:lang w:eastAsia="zh-CN"/>
        </w:rPr>
      </w:pPr>
      <w:bookmarkStart w:id="30" w:name="_Toc229242128"/>
      <w:r w:rsidRPr="00E13FDC">
        <w:rPr>
          <w:lang w:eastAsia="zh-CN"/>
        </w:rPr>
        <w:t>Product selection risk assessment tool: Store type identification and category classification range</w:t>
      </w:r>
      <w:bookmarkEnd w:id="30"/>
    </w:p>
    <w:p w14:paraId="62A7F144" w14:textId="69AC8A1B" w:rsidR="00E13FDC" w:rsidRPr="00E13FDC" w:rsidRDefault="00E13FDC" w:rsidP="00923C4E">
      <w:pPr>
        <w:pStyle w:val="3"/>
        <w:ind w:right="0"/>
        <w:rPr>
          <w:rFonts w:eastAsia="宋体"/>
          <w:lang w:eastAsia="zh-CN"/>
        </w:rPr>
      </w:pPr>
      <w:r w:rsidRPr="00E13FDC">
        <w:rPr>
          <w:rFonts w:eastAsia="宋体"/>
          <w:lang w:eastAsia="zh-CN"/>
        </w:rPr>
        <w:t>Objective</w:t>
      </w:r>
    </w:p>
    <w:p w14:paraId="5FDF99F0" w14:textId="77777777" w:rsidR="00E13FDC" w:rsidRPr="00E13FDC" w:rsidRDefault="00E13FDC" w:rsidP="00923C4E">
      <w:pPr>
        <w:pStyle w:val="a0"/>
        <w:spacing w:before="309" w:line="312" w:lineRule="auto"/>
        <w:ind w:left="311"/>
        <w:rPr>
          <w:rFonts w:eastAsia="宋体"/>
          <w:lang w:eastAsia="zh-CN"/>
        </w:rPr>
      </w:pPr>
      <w:r w:rsidRPr="00E13FDC">
        <w:rPr>
          <w:rFonts w:eastAsia="宋体"/>
          <w:lang w:eastAsia="zh-CN"/>
        </w:rPr>
        <w:t>The objective of this project is to classify new stores into different store types based on historical data from pop-up stores and to provide recommended category mix ranges for each type. The objectives of Module B are as follows:</w:t>
      </w:r>
    </w:p>
    <w:p w14:paraId="20217D08" w14:textId="77777777" w:rsidR="00E13FDC" w:rsidRPr="00E13FDC" w:rsidRDefault="00E13FDC" w:rsidP="00923C4E">
      <w:pPr>
        <w:pStyle w:val="a0"/>
        <w:spacing w:before="309" w:line="312" w:lineRule="auto"/>
        <w:ind w:left="311"/>
        <w:rPr>
          <w:rFonts w:eastAsia="宋体"/>
          <w:lang w:eastAsia="zh-CN"/>
        </w:rPr>
      </w:pPr>
      <w:r w:rsidRPr="00E13FDC">
        <w:rPr>
          <w:rFonts w:eastAsia="宋体"/>
          <w:lang w:eastAsia="zh-CN"/>
        </w:rPr>
        <w:t>(1) Identify naturally formed category structure types for stores;</w:t>
      </w:r>
    </w:p>
    <w:p w14:paraId="3FC66483" w14:textId="77777777" w:rsidR="00E13FDC" w:rsidRPr="00E13FDC" w:rsidRDefault="00E13FDC" w:rsidP="00923C4E">
      <w:pPr>
        <w:pStyle w:val="a0"/>
        <w:spacing w:before="309" w:line="312" w:lineRule="auto"/>
        <w:ind w:left="311"/>
        <w:rPr>
          <w:rFonts w:eastAsia="宋体"/>
          <w:lang w:eastAsia="zh-CN"/>
        </w:rPr>
      </w:pPr>
      <w:r w:rsidRPr="00E13FDC">
        <w:rPr>
          <w:rFonts w:eastAsia="宋体"/>
          <w:lang w:eastAsia="zh-CN"/>
        </w:rPr>
        <w:t>(2) Estimate the category mix ranges for each type;</w:t>
      </w:r>
    </w:p>
    <w:p w14:paraId="2AE7B1B2" w14:textId="77777777" w:rsidR="00E13FDC" w:rsidRDefault="00E13FDC" w:rsidP="00923C4E">
      <w:pPr>
        <w:pStyle w:val="a0"/>
        <w:spacing w:before="309" w:line="312" w:lineRule="auto"/>
        <w:ind w:left="311"/>
        <w:rPr>
          <w:rFonts w:eastAsia="宋体"/>
          <w:lang w:eastAsia="zh-CN"/>
        </w:rPr>
      </w:pPr>
      <w:r w:rsidRPr="00E13FDC">
        <w:rPr>
          <w:rFonts w:eastAsia="宋体"/>
          <w:lang w:eastAsia="zh-CN"/>
        </w:rPr>
        <w:t>(3)Use OLS and Ridge regression to perform auxiliary validation on key feature directions, providing support for subsequent scorecard development.</w:t>
      </w:r>
    </w:p>
    <w:p w14:paraId="783D4009" w14:textId="10F30EAA" w:rsidR="00742706" w:rsidRPr="00742706" w:rsidRDefault="00742706" w:rsidP="00923C4E">
      <w:pPr>
        <w:pStyle w:val="3"/>
        <w:ind w:right="0"/>
        <w:rPr>
          <w:rFonts w:eastAsia="宋体"/>
          <w:lang w:eastAsia="zh-CN"/>
        </w:rPr>
      </w:pPr>
      <w:r w:rsidRPr="00742706">
        <w:rPr>
          <w:rFonts w:eastAsia="宋体"/>
          <w:lang w:eastAsia="zh-CN"/>
        </w:rPr>
        <w:t>Data Processing and Analysis Methods</w:t>
      </w:r>
    </w:p>
    <w:p w14:paraId="60CEA443"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 xml:space="preserve">This study uses 15 Li-Ning stores as its sample. Based on sales data, three core metrics were first established: the proportion of footwear, the proportion of apparel, and the proportion of </w:t>
      </w:r>
      <w:r w:rsidRPr="00742706">
        <w:rPr>
          <w:rFonts w:eastAsia="宋体"/>
          <w:lang w:eastAsia="zh-CN"/>
        </w:rPr>
        <w:lastRenderedPageBreak/>
        <w:t>accessories.</w:t>
      </w:r>
    </w:p>
    <w:p w14:paraId="54B167C3" w14:textId="77777777" w:rsidR="00742706" w:rsidRDefault="00742706" w:rsidP="00923C4E">
      <w:pPr>
        <w:pStyle w:val="a0"/>
        <w:spacing w:before="309" w:line="312" w:lineRule="auto"/>
        <w:ind w:left="311"/>
        <w:rPr>
          <w:rFonts w:eastAsia="宋体"/>
          <w:lang w:eastAsia="zh-CN"/>
        </w:rPr>
      </w:pPr>
      <w:r w:rsidRPr="00742706">
        <w:rPr>
          <w:rFonts w:eastAsia="宋体"/>
          <w:lang w:eastAsia="zh-CN"/>
        </w:rPr>
        <w:t xml:space="preserve">Since total sales volumes vary significantly across stores, this section uses sales proportions for analysis to better reflect each store’s product selection and ensure comparability between stores. </w:t>
      </w:r>
    </w:p>
    <w:p w14:paraId="24B975AF" w14:textId="500B0FC1"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4E40BDAD" wp14:editId="5E266725">
            <wp:extent cx="4564380" cy="2766060"/>
            <wp:effectExtent l="0" t="0" r="7620" b="0"/>
            <wp:docPr id="1321472288"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64380" cy="2766060"/>
                    </a:xfrm>
                    <a:prstGeom prst="rect">
                      <a:avLst/>
                    </a:prstGeom>
                    <a:noFill/>
                    <a:ln>
                      <a:noFill/>
                    </a:ln>
                  </pic:spPr>
                </pic:pic>
              </a:graphicData>
            </a:graphic>
          </wp:inline>
        </w:drawing>
      </w:r>
    </w:p>
    <w:p w14:paraId="68AC740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Next, we used K-Means clustering to identify store types and compared the results for k=2, k=3, and k=4. Then, we calculated the mean and standard deviation of the proportions of footwear, apparel, and accessories for each type, and constructed a recommended range using “mean ± 1SD.” Finally, we will combine these store type classifications with mall feature variables to create a “Type × Feature” profiling table, and use OLS and Ridge regression to validate the trends in the proportions of footwear and accessories.</w:t>
      </w:r>
    </w:p>
    <w:p w14:paraId="09CC49BF" w14:textId="3AEB54C2" w:rsidR="00742706" w:rsidRDefault="00742706" w:rsidP="00923C4E">
      <w:pPr>
        <w:pStyle w:val="a0"/>
        <w:spacing w:before="309" w:line="312" w:lineRule="auto"/>
        <w:ind w:left="311"/>
        <w:rPr>
          <w:rFonts w:eastAsia="宋体"/>
          <w:lang w:eastAsia="zh-CN"/>
        </w:rPr>
      </w:pPr>
      <w:r w:rsidRPr="00742706">
        <w:rPr>
          <w:rFonts w:eastAsia="宋体"/>
          <w:lang w:eastAsia="zh-CN"/>
        </w:rPr>
        <w:t>Furthermore, to avoid conflating “category structure” with “operational quality,” this study did not include the tag realization rate (Y₇) as a clustering variable; instead, it was treated as a supplementary indicator in subsequent analyses to identify differences in operational performance within stores of the same type. This approach preserves the purity of the store type labels, allowing them to focus on reflecting category structure characteristics, while introducing a quality dimension in subsequent scorecards to complement the analysis.</w:t>
      </w:r>
    </w:p>
    <w:p w14:paraId="6B5B11D7" w14:textId="749A48D0" w:rsidR="00742706" w:rsidRPr="00742706" w:rsidRDefault="00742706" w:rsidP="00923C4E">
      <w:pPr>
        <w:pStyle w:val="3"/>
        <w:ind w:right="0"/>
        <w:rPr>
          <w:rFonts w:eastAsia="宋体"/>
          <w:lang w:eastAsia="zh-CN"/>
        </w:rPr>
      </w:pPr>
      <w:r w:rsidRPr="00742706">
        <w:rPr>
          <w:rFonts w:eastAsia="宋体"/>
          <w:lang w:eastAsia="zh-CN"/>
        </w:rPr>
        <w:t>Store Type Identification Results</w:t>
      </w:r>
    </w:p>
    <w:p w14:paraId="5B3666DA" w14:textId="1FC86563" w:rsidR="00742706" w:rsidRDefault="00742706" w:rsidP="00923C4E">
      <w:pPr>
        <w:pStyle w:val="a0"/>
        <w:spacing w:before="309" w:line="312" w:lineRule="auto"/>
        <w:ind w:left="311"/>
        <w:rPr>
          <w:rFonts w:eastAsia="宋体"/>
          <w:lang w:eastAsia="zh-CN"/>
        </w:rPr>
      </w:pPr>
      <w:r w:rsidRPr="00742706">
        <w:rPr>
          <w:rFonts w:eastAsia="宋体"/>
          <w:lang w:eastAsia="zh-CN"/>
        </w:rPr>
        <w:t>Elbow Method</w:t>
      </w:r>
      <w:r w:rsidRPr="00742706">
        <w:rPr>
          <w:rFonts w:eastAsia="宋体" w:hint="eastAsia"/>
          <w:lang w:eastAsia="zh-CN"/>
        </w:rPr>
        <w:t>：</w:t>
      </w:r>
    </w:p>
    <w:p w14:paraId="52C81B43" w14:textId="78C689A6"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lastRenderedPageBreak/>
        <w:drawing>
          <wp:inline distT="0" distB="0" distL="0" distR="0" wp14:anchorId="233C1396" wp14:editId="586963CC">
            <wp:extent cx="4572000" cy="2598420"/>
            <wp:effectExtent l="0" t="0" r="0" b="0"/>
            <wp:docPr id="198242299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2598420"/>
                    </a:xfrm>
                    <a:prstGeom prst="rect">
                      <a:avLst/>
                    </a:prstGeom>
                    <a:noFill/>
                    <a:ln>
                      <a:noFill/>
                    </a:ln>
                  </pic:spPr>
                </pic:pic>
              </a:graphicData>
            </a:graphic>
          </wp:inline>
        </w:drawing>
      </w:r>
    </w:p>
    <w:p w14:paraId="6F5A2B66"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Silhouette Score</w:t>
      </w:r>
      <w:r w:rsidRPr="00742706">
        <w:rPr>
          <w:rFonts w:eastAsia="宋体"/>
          <w:lang w:eastAsia="zh-CN"/>
        </w:rPr>
        <w:t>：</w:t>
      </w:r>
    </w:p>
    <w:p w14:paraId="138A844E" w14:textId="59B251E3"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0F964966" wp14:editId="7605D280">
            <wp:extent cx="4572000" cy="2514600"/>
            <wp:effectExtent l="0" t="0" r="0" b="0"/>
            <wp:docPr id="127756997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514600"/>
                    </a:xfrm>
                    <a:prstGeom prst="rect">
                      <a:avLst/>
                    </a:prstGeom>
                    <a:noFill/>
                    <a:ln>
                      <a:noFill/>
                    </a:ln>
                  </pic:spPr>
                </pic:pic>
              </a:graphicData>
            </a:graphic>
          </wp:inline>
        </w:drawing>
      </w:r>
    </w:p>
    <w:p w14:paraId="077B1F4A"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Contour coefficient comparison:</w:t>
      </w:r>
    </w:p>
    <w:p w14:paraId="70442C06" w14:textId="46DBF98F"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0B5C5561" wp14:editId="4B02D616">
            <wp:extent cx="2080260" cy="1493520"/>
            <wp:effectExtent l="0" t="0" r="0" b="0"/>
            <wp:docPr id="158267701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80260" cy="1493520"/>
                    </a:xfrm>
                    <a:prstGeom prst="rect">
                      <a:avLst/>
                    </a:prstGeom>
                    <a:noFill/>
                    <a:ln>
                      <a:noFill/>
                    </a:ln>
                  </pic:spPr>
                </pic:pic>
              </a:graphicData>
            </a:graphic>
          </wp:inline>
        </w:drawing>
      </w:r>
    </w:p>
    <w:p w14:paraId="3A58CAF9"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Based on the comparison of the Elbow Method and the Silhouette Score, k=3 was ultimately selected as the optimal number of clusters.</w:t>
      </w:r>
    </w:p>
    <w:p w14:paraId="7B6F7DE8"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lastRenderedPageBreak/>
        <w:t>Although the Elbow plot indicates that both k=2 and k=3 are reasonable candidates, in a formal comparison of k=2, 3, and 4, k=3 yielded the highest average silhouette coefficient; therefore, a three-cluster classification scheme was ultimately adopted.</w:t>
      </w:r>
    </w:p>
    <w:p w14:paraId="7F3E2A1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Clustering visualization:</w:t>
      </w:r>
    </w:p>
    <w:p w14:paraId="77AF7CD7" w14:textId="639DA4FD"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2C7AA242" wp14:editId="4FFACD2A">
            <wp:extent cx="3718560" cy="2278380"/>
            <wp:effectExtent l="0" t="0" r="0" b="7620"/>
            <wp:docPr id="74177781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18560" cy="2278380"/>
                    </a:xfrm>
                    <a:prstGeom prst="rect">
                      <a:avLst/>
                    </a:prstGeom>
                    <a:noFill/>
                    <a:ln>
                      <a:noFill/>
                    </a:ln>
                  </pic:spPr>
                </pic:pic>
              </a:graphicData>
            </a:graphic>
          </wp:inline>
        </w:drawing>
      </w:r>
    </w:p>
    <w:p w14:paraId="4EB3D13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According to the clustering results, the 15 stores can be divided into three categories.</w:t>
      </w:r>
    </w:p>
    <w:p w14:paraId="636D50B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(1) Shoe-driven Type</w:t>
      </w:r>
    </w:p>
    <w:p w14:paraId="73BD74D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This category of stores has the highest average proportion of footwear, at approximately 66.0%, while apparel accounts for about 33.3% and accessories only about 0.7%. This indicates that the sales structure of these stores is clearly dominated by footwear.</w:t>
      </w:r>
    </w:p>
    <w:p w14:paraId="4638FE9A"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(2) Balanced Type</w:t>
      </w:r>
    </w:p>
    <w:p w14:paraId="138C3C5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In this category, footwear accounts for an average of approximately 52.8%, while apparel accounts for approximately 44.2%. As the proportions of the two are relatively close, the overall structure is more balanced.</w:t>
      </w:r>
    </w:p>
    <w:p w14:paraId="05F328F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(3) Accessories/Apparel Specialized Type</w:t>
      </w:r>
    </w:p>
    <w:p w14:paraId="1D666026" w14:textId="5C76C239" w:rsidR="00EF5C7E" w:rsidRDefault="00742706" w:rsidP="00923C4E">
      <w:pPr>
        <w:pStyle w:val="a0"/>
        <w:spacing w:before="309" w:line="312" w:lineRule="auto"/>
        <w:ind w:left="311"/>
        <w:rPr>
          <w:rFonts w:eastAsia="宋体"/>
          <w:lang w:eastAsia="zh-CN"/>
        </w:rPr>
      </w:pPr>
      <w:r w:rsidRPr="00742706">
        <w:rPr>
          <w:rFonts w:eastAsia="宋体"/>
          <w:lang w:eastAsia="zh-CN"/>
        </w:rPr>
        <w:t>In this category, footwear accounts for an average of approximately 40.9%, apparel accounts for approximately 58.2%, and accessories account for approximately 0.9%.</w:t>
      </w:r>
    </w:p>
    <w:p w14:paraId="5A12FD41" w14:textId="75D77105"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lastRenderedPageBreak/>
        <w:drawing>
          <wp:inline distT="0" distB="0" distL="0" distR="0" wp14:anchorId="5AE3391D" wp14:editId="6E1D51C9">
            <wp:extent cx="4572000" cy="2194560"/>
            <wp:effectExtent l="0" t="0" r="0" b="0"/>
            <wp:docPr id="1074235057"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2194560"/>
                    </a:xfrm>
                    <a:prstGeom prst="rect">
                      <a:avLst/>
                    </a:prstGeom>
                    <a:noFill/>
                    <a:ln>
                      <a:noFill/>
                    </a:ln>
                  </pic:spPr>
                </pic:pic>
              </a:graphicData>
            </a:graphic>
          </wp:inline>
        </w:drawing>
      </w:r>
    </w:p>
    <w:p w14:paraId="27E05CDD" w14:textId="2B795829" w:rsidR="00742706" w:rsidRDefault="00742706" w:rsidP="00923C4E">
      <w:pPr>
        <w:pStyle w:val="a0"/>
        <w:spacing w:before="309" w:line="312" w:lineRule="auto"/>
        <w:ind w:left="311"/>
        <w:rPr>
          <w:rFonts w:eastAsia="宋体"/>
          <w:lang w:eastAsia="zh-CN"/>
        </w:rPr>
      </w:pPr>
      <w:r w:rsidRPr="00742706">
        <w:rPr>
          <w:rFonts w:eastAsia="宋体"/>
          <w:lang w:eastAsia="zh-CN"/>
        </w:rPr>
        <w:t>In terms of sample size, there were 11 shoe-focused stores, 2 balanced stores, and 2 stores specializing in accessories and apparel.</w:t>
      </w:r>
    </w:p>
    <w:p w14:paraId="3617487A" w14:textId="3D6701E5"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2FB7B7EA" wp14:editId="24286993">
            <wp:extent cx="4404360" cy="2651760"/>
            <wp:effectExtent l="0" t="0" r="0" b="0"/>
            <wp:docPr id="1148930814"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04360" cy="2651760"/>
                    </a:xfrm>
                    <a:prstGeom prst="rect">
                      <a:avLst/>
                    </a:prstGeom>
                    <a:noFill/>
                    <a:ln>
                      <a:noFill/>
                    </a:ln>
                  </pic:spPr>
                </pic:pic>
              </a:graphicData>
            </a:graphic>
          </wp:inline>
        </w:drawing>
      </w:r>
    </w:p>
    <w:p w14:paraId="7748697D"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By plotting the proportion of footwear on the x-axis, the proportion of accessories on the y-axis, and using the proportion of apparel to determine the size of the data points, we visualized the product category structure of 15 stores. The results show that footwear-driven stores are primarily concentrated in the region with a high proportion of footwear and a low proportion of accessories, indicating that their sales structure is clearly dominated by footwear; balanced stores have a relatively lower proportion of footwear but larger data points, suggesting a higher proportion of apparel and a more balanced overall structure; The third category, apparel-specialized stores, is characterized by a low proportion of footwear and significantly higher proportions of accessories and apparel. This chart visually confirms the differences in category structure among the three store types, supporting subsequent estimation of type-specific proportion ranges. This indicates that the footwear-driven model is the most common store structure in the sample, while the other two categories, although represented by a smaller sample size, still exhibit distinct characteristics.</w:t>
      </w:r>
    </w:p>
    <w:p w14:paraId="1F3CFF40" w14:textId="78FB9DFD" w:rsidR="00742706" w:rsidRPr="00742706" w:rsidRDefault="00742706" w:rsidP="00923C4E">
      <w:pPr>
        <w:pStyle w:val="3"/>
        <w:ind w:right="0"/>
        <w:rPr>
          <w:rFonts w:eastAsia="宋体"/>
          <w:lang w:eastAsia="zh-CN"/>
        </w:rPr>
      </w:pPr>
      <w:r w:rsidRPr="00742706">
        <w:rPr>
          <w:rFonts w:eastAsia="宋体"/>
          <w:lang w:eastAsia="zh-CN"/>
        </w:rPr>
        <w:lastRenderedPageBreak/>
        <w:t>Category Proportioning Range Results</w:t>
      </w:r>
    </w:p>
    <w:p w14:paraId="1F6990DB" w14:textId="0219027C" w:rsidR="00742706" w:rsidRDefault="00742706" w:rsidP="00923C4E">
      <w:pPr>
        <w:pStyle w:val="a0"/>
        <w:spacing w:before="309" w:line="312" w:lineRule="auto"/>
        <w:ind w:left="311"/>
        <w:rPr>
          <w:rFonts w:eastAsia="宋体"/>
          <w:lang w:eastAsia="zh-CN"/>
        </w:rPr>
      </w:pPr>
      <w:r w:rsidRPr="00742706">
        <w:rPr>
          <w:rFonts w:eastAsia="宋体"/>
          <w:lang w:eastAsia="zh-CN"/>
        </w:rPr>
        <w:t>After classifying the stores by type, calculate the mean and standard deviation of the proportions of footwear, apparel, and accessories within each category, and use the range “mean ± 1SD” to describe the fluctuation range of stores in that category within the historical sample.</w:t>
      </w:r>
    </w:p>
    <w:p w14:paraId="6548D3E2" w14:textId="44C680B0"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42F25237" wp14:editId="52132D87">
            <wp:extent cx="4572000" cy="335280"/>
            <wp:effectExtent l="0" t="0" r="0" b="7620"/>
            <wp:docPr id="966174262"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335280"/>
                    </a:xfrm>
                    <a:prstGeom prst="rect">
                      <a:avLst/>
                    </a:prstGeom>
                    <a:noFill/>
                    <a:ln>
                      <a:noFill/>
                    </a:ln>
                  </pic:spPr>
                </pic:pic>
              </a:graphicData>
            </a:graphic>
          </wp:inline>
        </w:drawing>
      </w:r>
    </w:p>
    <w:p w14:paraId="6633587E"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(1) Shoe-driven Type</w:t>
      </w:r>
    </w:p>
    <w:p w14:paraId="5AD6BD9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footwear is 58.4%–73.7%, for apparel 25.6%–41.0%, and for accessories 0.3%–1.0%.</w:t>
      </w:r>
    </w:p>
    <w:p w14:paraId="7B33AE8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(2) Balanced Type</w:t>
      </w:r>
    </w:p>
    <w:p w14:paraId="08BA7F9B"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footwear is 30.5%–51.3%, for apparel 47.8%–68.6%, and 0.8%–0.9% for accessories.</w:t>
      </w:r>
    </w:p>
    <w:p w14:paraId="75BE10C8"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(3) Accessories/Apparel Specialized Type</w:t>
      </w:r>
    </w:p>
    <w:p w14:paraId="1796C0B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footwear is 41.8%–63.7%, for apparel is 34.0%–54.4%, and for accessories is 2.3%–3.8%.</w:t>
      </w:r>
    </w:p>
    <w:p w14:paraId="1611F595" w14:textId="5F64B82B"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5ED7C0F2" wp14:editId="55C41BA0">
            <wp:extent cx="4572000" cy="2849880"/>
            <wp:effectExtent l="0" t="0" r="0" b="7620"/>
            <wp:docPr id="148686581"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2849880"/>
                    </a:xfrm>
                    <a:prstGeom prst="rect">
                      <a:avLst/>
                    </a:prstGeom>
                    <a:noFill/>
                    <a:ln>
                      <a:noFill/>
                    </a:ln>
                  </pic:spPr>
                </pic:pic>
              </a:graphicData>
            </a:graphic>
          </wp:inline>
        </w:drawing>
      </w:r>
    </w:p>
    <w:p w14:paraId="2588524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 xml:space="preserve">The results indicate clear differences in product assortment structures across different store types. Even at the lower end of the range, footwear accounts for nearly 60% of the product mix in </w:t>
      </w:r>
      <w:r w:rsidRPr="00742706">
        <w:rPr>
          <w:rFonts w:eastAsia="宋体"/>
          <w:lang w:eastAsia="zh-CN"/>
        </w:rPr>
        <w:lastRenderedPageBreak/>
        <w:t>footwear-driven stores, demonstrating the stability of their core characteristics. The proportion of apparel is significantly higher in balanced stores, suggesting that this store type cannot simply adopt the product mix of footwear-driven stores. In apparel-specialized stores, accessories account for a higher proportion than in the other two categories, indicating that accessories can play a more prominent supporting role in these stores.</w:t>
      </w:r>
    </w:p>
    <w:p w14:paraId="54C66CE2" w14:textId="38615F87" w:rsidR="00742706" w:rsidRPr="00742706" w:rsidRDefault="00742706" w:rsidP="00923C4E">
      <w:pPr>
        <w:pStyle w:val="3"/>
        <w:ind w:right="0"/>
        <w:rPr>
          <w:rFonts w:eastAsia="宋体"/>
          <w:lang w:eastAsia="zh-CN"/>
        </w:rPr>
      </w:pPr>
      <w:r w:rsidRPr="00742706">
        <w:rPr>
          <w:rFonts w:eastAsia="宋体"/>
          <w:lang w:eastAsia="zh-CN"/>
        </w:rPr>
        <w:t>Type × Feature Profiling Results</w:t>
      </w:r>
    </w:p>
    <w:p w14:paraId="6D8A1F73" w14:textId="5B4BF271" w:rsidR="00742706" w:rsidRDefault="00742706" w:rsidP="00923C4E">
      <w:pPr>
        <w:pStyle w:val="a0"/>
        <w:spacing w:before="309" w:line="312" w:lineRule="auto"/>
        <w:ind w:left="311"/>
        <w:rPr>
          <w:rFonts w:eastAsia="宋体"/>
          <w:lang w:eastAsia="zh-CN"/>
        </w:rPr>
      </w:pPr>
      <w:r w:rsidRPr="00742706">
        <w:rPr>
          <w:rFonts w:eastAsia="宋体"/>
          <w:lang w:eastAsia="zh-CN"/>
        </w:rPr>
        <w:t>To support the subsequent development of a scoring card, this study further analyzed differences in mall characteristics across different store types, resulting in a “Type × Characteristic” profile table. Key characteristics included the proportion of Apple stores, purchasing power index, foot traffic proxy, overall discount rate, proportion of male customers, youth customer index, city tier, and average weekly sales. The results indicate that significant differences exist across multiple dimensions among different store types:</w:t>
      </w:r>
    </w:p>
    <w:p w14:paraId="52B7AD11" w14:textId="09E2D7C2"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62A0ED2C" wp14:editId="1439D667">
            <wp:extent cx="4572000" cy="2910840"/>
            <wp:effectExtent l="0" t="0" r="0" b="3810"/>
            <wp:docPr id="1828667868"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2910840"/>
                    </a:xfrm>
                    <a:prstGeom prst="rect">
                      <a:avLst/>
                    </a:prstGeom>
                    <a:noFill/>
                    <a:ln>
                      <a:noFill/>
                    </a:ln>
                  </pic:spPr>
                </pic:pic>
              </a:graphicData>
            </a:graphic>
          </wp:inline>
        </w:drawing>
      </w:r>
    </w:p>
    <w:p w14:paraId="70EF4976" w14:textId="4EB6E11F"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0B7DB757" wp14:editId="72AF6B5E">
            <wp:extent cx="4572000" cy="1699260"/>
            <wp:effectExtent l="0" t="0" r="0" b="0"/>
            <wp:docPr id="3125644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1699260"/>
                    </a:xfrm>
                    <a:prstGeom prst="rect">
                      <a:avLst/>
                    </a:prstGeom>
                    <a:noFill/>
                    <a:ln>
                      <a:noFill/>
                    </a:ln>
                  </pic:spPr>
                </pic:pic>
              </a:graphicData>
            </a:graphic>
          </wp:inline>
        </w:drawing>
      </w:r>
    </w:p>
    <w:p w14:paraId="321AA6CE"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(1) Shoe-Driven Type</w:t>
      </w:r>
    </w:p>
    <w:p w14:paraId="437DF0C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lastRenderedPageBreak/>
        <w:t>These stores are located in upper-middle-tier cities, have a high purchasing power index, a strong customer base, and high average weekly sales. Overall, they are more akin to stores characterized by “broad mass appeal and a focus on footwear.”</w:t>
      </w:r>
    </w:p>
    <w:p w14:paraId="518B9248"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(2) Balanced Type</w:t>
      </w:r>
    </w:p>
    <w:p w14:paraId="7277BBA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This category of stores has the highest youth customer index and the highest overall discount rate, indicating a younger customer base with a stronger demand for apparel and relatively higher price tolerance.</w:t>
      </w:r>
    </w:p>
    <w:p w14:paraId="766609C5"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(3) Accessories/Apparel Specialized Type</w:t>
      </w:r>
    </w:p>
    <w:p w14:paraId="4391B53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This category of stores has a high proportion of Apple products, high city tier, strong foot traffic, and high average weekly sales, indicating that they are more likely to be found in high-tier commercial districts with high foot traffic and stronger commercial potential.</w:t>
      </w:r>
    </w:p>
    <w:p w14:paraId="47E0DE8F"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From the perspective of the scorecard, variables such as city tier, proportion of Apple products, foot traffic, and the young customer index can serve as important inputs for the subsequent D module to determine which store type a new store most closely resembles.</w:t>
      </w:r>
    </w:p>
    <w:p w14:paraId="233B48F2" w14:textId="14ED0534" w:rsidR="00742706" w:rsidRPr="00742706" w:rsidRDefault="00742706" w:rsidP="00923C4E">
      <w:pPr>
        <w:pStyle w:val="3"/>
        <w:ind w:right="0"/>
        <w:rPr>
          <w:rFonts w:eastAsia="宋体"/>
          <w:lang w:eastAsia="zh-CN"/>
        </w:rPr>
      </w:pPr>
      <w:r w:rsidRPr="00742706">
        <w:rPr>
          <w:rFonts w:eastAsia="宋体"/>
          <w:lang w:eastAsia="zh-CN"/>
        </w:rPr>
        <w:t>OLS / Ridge Orientation Verification Results</w:t>
      </w:r>
    </w:p>
    <w:p w14:paraId="346A2277"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This module examines whether the direction of the effects of different features in OLS and Ridge regression aligns with the cluster profiles. Using the proportion of footwear (Y1) and the proportion of accessories (Y3) as dependent variables, we compare the directions of the coefficients between OLS and Ridge regression.</w:t>
      </w:r>
    </w:p>
    <w:p w14:paraId="66B8EBB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results show that the direction of the effects exhibits characteristics of “partial consistency and partial inconsistency.”</w:t>
      </w:r>
    </w:p>
    <w:p w14:paraId="6CBA30B2" w14:textId="0C307727"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lastRenderedPageBreak/>
        <w:drawing>
          <wp:inline distT="0" distB="0" distL="0" distR="0" wp14:anchorId="3C7EEF96" wp14:editId="7B8DDBA6">
            <wp:extent cx="3543300" cy="2484120"/>
            <wp:effectExtent l="0" t="0" r="0" b="0"/>
            <wp:docPr id="146058735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43300" cy="2484120"/>
                    </a:xfrm>
                    <a:prstGeom prst="rect">
                      <a:avLst/>
                    </a:prstGeom>
                    <a:noFill/>
                    <a:ln>
                      <a:noFill/>
                    </a:ln>
                  </pic:spPr>
                </pic:pic>
              </a:graphicData>
            </a:graphic>
          </wp:inline>
        </w:drawing>
      </w:r>
    </w:p>
    <w:p w14:paraId="4539199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For the footwear share (Y1), the Apple user share, city tier, and youth customer index show consistent trends across both OLS and Ridge models. Specifically, both the Apple user share and city tier are positively correlated, indicating that higher-tier malls and stores with a higher proportion of Apple users are more likely to develop a footwear-driven structure; the youth customer index is negatively correlated, suggesting that a younger customer base does not necessarily correspond to a higher footwear share.</w:t>
      </w:r>
    </w:p>
    <w:p w14:paraId="3A96B19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For the accessory share (Y3), the direction of city tier and weekly average sales is consistent between OLS and Ridge, indicating that stores in higher-tier cities with higher sales volumes are more likely to have a higher accessory share.</w:t>
      </w:r>
    </w:p>
    <w:p w14:paraId="422870A8"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At the same time, some variables show conflicting directions, such as the overall discount rate. This suggests that, given the current small sample size of 15 stores, the independent effects of certain variables are unstable and may be influenced by factors such as insufficient sample size, multicollinearity, and an uneven distribution of store types.</w:t>
      </w:r>
    </w:p>
    <w:p w14:paraId="7B8B8113" w14:textId="778548C7" w:rsidR="00742706" w:rsidRPr="00742706" w:rsidRDefault="00742706" w:rsidP="00923C4E">
      <w:pPr>
        <w:pStyle w:val="3"/>
        <w:ind w:right="0"/>
        <w:rPr>
          <w:rFonts w:eastAsia="宋体"/>
          <w:lang w:eastAsia="zh-CN"/>
        </w:rPr>
      </w:pPr>
      <w:r w:rsidRPr="00742706">
        <w:rPr>
          <w:rFonts w:eastAsia="宋体"/>
          <w:lang w:eastAsia="zh-CN"/>
        </w:rPr>
        <w:t>Module Conclusion</w:t>
      </w:r>
    </w:p>
    <w:p w14:paraId="31E3AB5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 xml:space="preserve">Overall, Module B conducted store classification, interval estimation, and directional validation. First, K-Means clustering was performed based on the sales proportions of footwear, apparel, and accessories across 15 stores, with (k=3) ultimately selected as the optimal number of clusters. The clustering results indicate that the sample stores can be divided into three categories: footwear-driven, balanced, and accessories/apparel-specialized. Among these, the footwear-driven stores were the most numerous, totaling 11, and represented the most common store structure in the sample; there were 2 balanced-type and 2 accessories/apparel-specialized stores each, with a smaller sample size and distinct differences in category structure. Second, this study constructed a recommended range for category allocation of “mean ± 1SD” based on the mean and standard </w:t>
      </w:r>
      <w:r w:rsidRPr="00742706">
        <w:rPr>
          <w:rFonts w:eastAsia="宋体"/>
          <w:lang w:eastAsia="zh-CN"/>
        </w:rPr>
        <w:lastRenderedPageBreak/>
        <w:t>deviation within each type. There is a clear distinction in the product selection structure: Shoe-driven stores have the highest proportion of footwear, with a stable core sales structure dominated by footwear; balanced stores show a significantly higher proportion of apparel, indicating that their assortment strategy cannot simply replicate that of shoe-driven stores; accessory/apparel-specialized stores exhibit an even higher proportion of apparel. Module B provides directly applicable category boundaries and proportion ranges for subsequent scoring tools.</w:t>
      </w:r>
    </w:p>
    <w:p w14:paraId="06300E2F"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In the “Type × Feature” profiling analysis, different store types exhibit significant differences across dimensions such as city tier, Apple product share, foot traffic proxy,</w:t>
      </w:r>
    </w:p>
    <w:p w14:paraId="7C9CC6AF"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youth customer index, and average weekly sales. Directional validation results from OLS and Ridge regression</w:t>
      </w:r>
    </w:p>
    <w:p w14:paraId="257F2ED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indicate that the direction of some features is relatively stable, such as the relationship between Apple product share, city tier, and youth customer index, as well as city tier and weekly average sales in the accessories share; however, some variables exhibit conflicting directions, indicating that under the current small sample size of 15 stores, the independent effects of certain features are unstable.</w:t>
      </w:r>
    </w:p>
    <w:p w14:paraId="1B3402E3"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Given the current sample conditions, Li-Ning stores are better suited to adopt a “tiered assessment + interval recommendation” approach for product selection risk</w:t>
      </w:r>
    </w:p>
    <w:p w14:paraId="355F74B7"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classification, rather than making point predictions directly on individual store category shares.</w:t>
      </w:r>
    </w:p>
    <w:p w14:paraId="2A0D5770"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A limitation of this study is that the component data were not subjected to a rigorous CoDA transformation. In future studies with a larger sample size, the use of log-ratio transformations combined with clustering methods could be considered to further enhance the theoretical rigor and stability of the model.</w:t>
      </w:r>
    </w:p>
    <w:p w14:paraId="5DF76C1A" w14:textId="206E870B" w:rsidR="00742706" w:rsidRPr="00742706" w:rsidRDefault="00742706" w:rsidP="00923C4E">
      <w:pPr>
        <w:pStyle w:val="2"/>
        <w:ind w:right="0"/>
        <w:rPr>
          <w:lang w:eastAsia="zh-CN"/>
        </w:rPr>
      </w:pPr>
      <w:bookmarkStart w:id="31" w:name="_Toc229242129"/>
      <w:r w:rsidRPr="00742706">
        <w:rPr>
          <w:lang w:eastAsia="zh-CN"/>
        </w:rPr>
        <w:t>Product selection risk grading tool: Product line grading mapping and feature association</w:t>
      </w:r>
      <w:bookmarkEnd w:id="31"/>
    </w:p>
    <w:p w14:paraId="77FB18A7"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File: lining_C_risk_tool.Rmd</w:t>
      </w:r>
    </w:p>
    <w:p w14:paraId="76EDBE7E" w14:textId="10ED1FDF" w:rsidR="00742706" w:rsidRPr="00742706" w:rsidRDefault="00742706" w:rsidP="00923C4E">
      <w:pPr>
        <w:pStyle w:val="3"/>
        <w:ind w:right="0"/>
        <w:rPr>
          <w:rFonts w:eastAsia="宋体"/>
          <w:lang w:eastAsia="zh-CN"/>
        </w:rPr>
      </w:pPr>
      <w:r w:rsidRPr="00742706">
        <w:rPr>
          <w:rFonts w:eastAsia="宋体"/>
          <w:lang w:eastAsia="zh-CN"/>
        </w:rPr>
        <w:t>Objective</w:t>
      </w:r>
    </w:p>
    <w:p w14:paraId="19B1E37C"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This module aims to identify the product line preferences of stores, establish product line allocation ranges for different price tiers, and explore the relationship between mall characteristics and product line allocation. Specific objectives are as follows:</w:t>
      </w:r>
    </w:p>
    <w:p w14:paraId="5870BB53"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lastRenderedPageBreak/>
        <w:t xml:space="preserve">(1) Based on the store classification in Module B, establish a mapping relationship of "store type </w:t>
      </w:r>
      <w:r w:rsidRPr="00742706">
        <w:rPr>
          <w:rFonts w:eastAsia="宋体" w:hint="eastAsia"/>
          <w:lang w:eastAsia="zh-CN"/>
        </w:rPr>
        <w:t>→</w:t>
      </w:r>
      <w:r w:rsidRPr="00742706">
        <w:rPr>
          <w:rFonts w:eastAsia="宋体"/>
          <w:lang w:eastAsia="zh-CN"/>
        </w:rPr>
        <w:t xml:space="preserve"> product line ratio range";</w:t>
      </w:r>
    </w:p>
    <w:p w14:paraId="77CF5097"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(2) Perform independent clustering of product lines and examine their overlap with category classification;</w:t>
      </w:r>
    </w:p>
    <w:p w14:paraId="63EA7700" w14:textId="6753B135" w:rsidR="00742706" w:rsidRDefault="00742706" w:rsidP="00923C4E">
      <w:pPr>
        <w:pStyle w:val="a0"/>
        <w:spacing w:before="309" w:line="312" w:lineRule="auto"/>
        <w:ind w:left="311"/>
        <w:rPr>
          <w:rFonts w:eastAsia="宋体"/>
          <w:lang w:eastAsia="zh-CN"/>
        </w:rPr>
      </w:pPr>
      <w:r w:rsidRPr="00742706">
        <w:rPr>
          <w:rFonts w:eastAsia="宋体"/>
          <w:lang w:eastAsia="zh-CN"/>
        </w:rPr>
        <w:t>(3) Discover significant features through nonparametric correlation analysis (Spearman) and output qualitative interpretation and linkage rules in combination with business scenarios.</w:t>
      </w:r>
    </w:p>
    <w:tbl>
      <w:tblPr>
        <w:tblW w:w="10043" w:type="dxa"/>
        <w:tblLayout w:type="fixed"/>
        <w:tblCellMar>
          <w:top w:w="15" w:type="dxa"/>
          <w:left w:w="15" w:type="dxa"/>
          <w:bottom w:w="15" w:type="dxa"/>
          <w:right w:w="15" w:type="dxa"/>
        </w:tblCellMar>
        <w:tblLook w:val="04A0" w:firstRow="1" w:lastRow="0" w:firstColumn="1" w:lastColumn="0" w:noHBand="0" w:noVBand="1"/>
      </w:tblPr>
      <w:tblGrid>
        <w:gridCol w:w="1396"/>
        <w:gridCol w:w="1559"/>
        <w:gridCol w:w="1418"/>
        <w:gridCol w:w="1417"/>
        <w:gridCol w:w="4253"/>
      </w:tblGrid>
      <w:tr w:rsidR="00742706" w:rsidRPr="00742706" w14:paraId="3EDB7A2B" w14:textId="77777777" w:rsidTr="00A83861">
        <w:trPr>
          <w:trHeight w:val="480"/>
        </w:trPr>
        <w:tc>
          <w:tcPr>
            <w:tcW w:w="1396" w:type="dxa"/>
            <w:tcBorders>
              <w:top w:val="single" w:sz="12" w:space="0" w:color="auto"/>
              <w:left w:val="single" w:sz="12" w:space="0" w:color="auto"/>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1F71A306"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B-type / C-type</w:t>
            </w:r>
          </w:p>
        </w:tc>
        <w:tc>
          <w:tcPr>
            <w:tcW w:w="1559" w:type="dxa"/>
            <w:tcBorders>
              <w:top w:val="single" w:sz="12" w:space="0" w:color="auto"/>
              <w:left w:val="single" w:sz="4" w:space="0" w:color="2E75B6"/>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6587EBED"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Honor-dominant type</w:t>
            </w:r>
          </w:p>
        </w:tc>
        <w:tc>
          <w:tcPr>
            <w:tcW w:w="1418" w:type="dxa"/>
            <w:tcBorders>
              <w:top w:val="single" w:sz="12" w:space="0" w:color="auto"/>
              <w:left w:val="single" w:sz="4" w:space="0" w:color="2E75B6"/>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2A72DFA1"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Gold Standard Dominant</w:t>
            </w:r>
          </w:p>
        </w:tc>
        <w:tc>
          <w:tcPr>
            <w:tcW w:w="1417" w:type="dxa"/>
            <w:tcBorders>
              <w:top w:val="single" w:sz="12" w:space="0" w:color="auto"/>
              <w:left w:val="single" w:sz="4" w:space="0" w:color="2E75B6"/>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13F9F8FC"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balancedtype</w:t>
            </w:r>
          </w:p>
        </w:tc>
        <w:tc>
          <w:tcPr>
            <w:tcW w:w="4253" w:type="dxa"/>
            <w:tcBorders>
              <w:top w:val="single" w:sz="12" w:space="0" w:color="auto"/>
              <w:left w:val="single" w:sz="4" w:space="0" w:color="2E75B6"/>
              <w:bottom w:val="single" w:sz="4" w:space="0" w:color="2E75B6"/>
              <w:right w:val="single" w:sz="12" w:space="0" w:color="auto"/>
            </w:tcBorders>
            <w:shd w:val="clear" w:color="auto" w:fill="C00000"/>
            <w:tcMar>
              <w:top w:w="80" w:type="dxa"/>
              <w:left w:w="120" w:type="dxa"/>
              <w:bottom w:w="80" w:type="dxa"/>
              <w:right w:w="120" w:type="dxa"/>
            </w:tcMar>
            <w:vAlign w:val="center"/>
            <w:hideMark/>
          </w:tcPr>
          <w:p w14:paraId="77D198AF"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Remark</w:t>
            </w:r>
          </w:p>
        </w:tc>
      </w:tr>
      <w:tr w:rsidR="00742706" w:rsidRPr="00742706" w14:paraId="7B2945C1" w14:textId="77777777" w:rsidTr="00A83861">
        <w:trPr>
          <w:trHeight w:val="1230"/>
        </w:trPr>
        <w:tc>
          <w:tcPr>
            <w:tcW w:w="1396" w:type="dxa"/>
            <w:tcBorders>
              <w:top w:val="single" w:sz="4" w:space="0" w:color="2E75B6"/>
              <w:left w:val="single" w:sz="12" w:space="0" w:color="auto"/>
              <w:bottom w:val="single" w:sz="4" w:space="0" w:color="BFBFBF"/>
              <w:right w:val="single" w:sz="4" w:space="0" w:color="BFBFBF"/>
            </w:tcBorders>
            <w:tcMar>
              <w:top w:w="80" w:type="dxa"/>
              <w:left w:w="120" w:type="dxa"/>
              <w:bottom w:w="80" w:type="dxa"/>
              <w:right w:w="120" w:type="dxa"/>
            </w:tcMar>
            <w:vAlign w:val="center"/>
            <w:hideMark/>
          </w:tcPr>
          <w:p w14:paraId="04EAA28F"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000000"/>
                <w:sz w:val="24"/>
                <w:szCs w:val="24"/>
                <w:lang w:eastAsia="zh-CN"/>
              </w:rPr>
              <w:t>Shoe-driven (11 companies)</w:t>
            </w:r>
          </w:p>
        </w:tc>
        <w:tc>
          <w:tcPr>
            <w:tcW w:w="1559" w:type="dxa"/>
            <w:tcBorders>
              <w:top w:val="single" w:sz="4" w:space="0" w:color="2E75B6"/>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7C086D16" w14:textId="474FD8ED"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6Home</w:t>
            </w:r>
          </w:p>
        </w:tc>
        <w:tc>
          <w:tcPr>
            <w:tcW w:w="1418" w:type="dxa"/>
            <w:tcBorders>
              <w:top w:val="single" w:sz="4" w:space="0" w:color="2E75B6"/>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45B28B20" w14:textId="5D41D722"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2Home</w:t>
            </w:r>
          </w:p>
        </w:tc>
        <w:tc>
          <w:tcPr>
            <w:tcW w:w="1417" w:type="dxa"/>
            <w:tcBorders>
              <w:top w:val="single" w:sz="4" w:space="0" w:color="2E75B6"/>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4E7D5346" w14:textId="41E727CA"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3Home</w:t>
            </w:r>
          </w:p>
        </w:tc>
        <w:tc>
          <w:tcPr>
            <w:tcW w:w="4253" w:type="dxa"/>
            <w:tcBorders>
              <w:top w:val="single" w:sz="4" w:space="0" w:color="2E75B6"/>
              <w:left w:val="single" w:sz="4" w:space="0" w:color="BFBFBF"/>
              <w:bottom w:val="single" w:sz="4" w:space="0" w:color="BFBFBF"/>
              <w:right w:val="single" w:sz="12" w:space="0" w:color="auto"/>
            </w:tcBorders>
            <w:shd w:val="clear" w:color="auto" w:fill="FFFFFF"/>
            <w:tcMar>
              <w:top w:w="80" w:type="dxa"/>
              <w:left w:w="120" w:type="dxa"/>
              <w:bottom w:w="80" w:type="dxa"/>
              <w:right w:w="120" w:type="dxa"/>
            </w:tcMar>
            <w:vAlign w:val="center"/>
            <w:hideMark/>
          </w:tcPr>
          <w:p w14:paraId="38F070EF"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As the absolute mainstay of the shoe-driven market (11 companies), there is a clear differentiation in their product lines: 6 companies are dominated by Honor, 2 companies are dominated by Gold Label, and 3 companies are balanced.</w:t>
            </w:r>
          </w:p>
        </w:tc>
      </w:tr>
      <w:tr w:rsidR="00742706" w:rsidRPr="00742706" w14:paraId="4740B815" w14:textId="77777777" w:rsidTr="00A83861">
        <w:trPr>
          <w:trHeight w:val="960"/>
        </w:trPr>
        <w:tc>
          <w:tcPr>
            <w:tcW w:w="1396" w:type="dxa"/>
            <w:tcBorders>
              <w:top w:val="single" w:sz="4" w:space="0" w:color="BFBFBF"/>
              <w:left w:val="single" w:sz="12" w:space="0" w:color="auto"/>
              <w:bottom w:val="single" w:sz="4" w:space="0" w:color="BFBFBF"/>
              <w:right w:val="single" w:sz="4" w:space="0" w:color="BFBFBF"/>
            </w:tcBorders>
            <w:tcMar>
              <w:top w:w="80" w:type="dxa"/>
              <w:left w:w="120" w:type="dxa"/>
              <w:bottom w:w="80" w:type="dxa"/>
              <w:right w:w="120" w:type="dxa"/>
            </w:tcMar>
            <w:vAlign w:val="center"/>
            <w:hideMark/>
          </w:tcPr>
          <w:p w14:paraId="79660182"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000000"/>
                <w:sz w:val="24"/>
                <w:szCs w:val="24"/>
                <w:lang w:eastAsia="zh-CN"/>
              </w:rPr>
              <w:t>Clothing-focused (2 families)</w:t>
            </w:r>
          </w:p>
        </w:tc>
        <w:tc>
          <w:tcPr>
            <w:tcW w:w="15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26C6484C" w14:textId="4AA87E42"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0</w:t>
            </w:r>
          </w:p>
        </w:tc>
        <w:tc>
          <w:tcPr>
            <w:tcW w:w="14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1FD04B4D"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2</w:t>
            </w:r>
          </w:p>
        </w:tc>
        <w:tc>
          <w:tcPr>
            <w:tcW w:w="14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14E58B96"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0</w:t>
            </w:r>
          </w:p>
        </w:tc>
        <w:tc>
          <w:tcPr>
            <w:tcW w:w="4253" w:type="dxa"/>
            <w:tcBorders>
              <w:top w:val="single" w:sz="4" w:space="0" w:color="BFBFBF"/>
              <w:left w:val="single" w:sz="4" w:space="0" w:color="BFBFBF"/>
              <w:bottom w:val="single" w:sz="4" w:space="0" w:color="BFBFBF"/>
              <w:right w:val="single" w:sz="12" w:space="0" w:color="auto"/>
            </w:tcBorders>
            <w:shd w:val="clear" w:color="auto" w:fill="FFFFFF"/>
            <w:tcMar>
              <w:top w:w="80" w:type="dxa"/>
              <w:left w:w="120" w:type="dxa"/>
              <w:bottom w:w="80" w:type="dxa"/>
              <w:right w:w="120" w:type="dxa"/>
            </w:tcMar>
            <w:vAlign w:val="center"/>
            <w:hideMark/>
          </w:tcPr>
          <w:p w14:paraId="4528BF53"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The two stores specializing in apparel are 100% aligned with the Gold Label-dominated model. This indicates that as long as a store's core business is apparel sales, its underlying core support is highly likely to be the Li-Ning Glory Gold Label series, and the two are closely intertwined in terms of business logic.</w:t>
            </w:r>
          </w:p>
        </w:tc>
      </w:tr>
      <w:tr w:rsidR="00742706" w:rsidRPr="00742706" w14:paraId="4BB0BA3F" w14:textId="77777777" w:rsidTr="00A83861">
        <w:trPr>
          <w:trHeight w:val="960"/>
        </w:trPr>
        <w:tc>
          <w:tcPr>
            <w:tcW w:w="1396" w:type="dxa"/>
            <w:tcBorders>
              <w:top w:val="single" w:sz="4" w:space="0" w:color="BFBFBF"/>
              <w:left w:val="single" w:sz="12" w:space="0" w:color="auto"/>
              <w:bottom w:val="single" w:sz="4" w:space="0" w:color="BFBFBF"/>
              <w:right w:val="single" w:sz="4" w:space="0" w:color="BFBFBF"/>
            </w:tcBorders>
            <w:tcMar>
              <w:top w:w="80" w:type="dxa"/>
              <w:left w:w="120" w:type="dxa"/>
              <w:bottom w:w="80" w:type="dxa"/>
              <w:right w:w="120" w:type="dxa"/>
            </w:tcMar>
            <w:vAlign w:val="center"/>
            <w:hideMark/>
          </w:tcPr>
          <w:p w14:paraId="18E2CACF"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000000"/>
                <w:sz w:val="24"/>
                <w:szCs w:val="24"/>
                <w:lang w:eastAsia="zh-CN"/>
              </w:rPr>
              <w:t>Balanced type (2 companies)</w:t>
            </w:r>
          </w:p>
        </w:tc>
        <w:tc>
          <w:tcPr>
            <w:tcW w:w="155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270F6A93" w14:textId="3D0077AD"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0</w:t>
            </w:r>
          </w:p>
        </w:tc>
        <w:tc>
          <w:tcPr>
            <w:tcW w:w="14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4109524E" w14:textId="55FC0F8C"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0</w:t>
            </w:r>
          </w:p>
        </w:tc>
        <w:tc>
          <w:tcPr>
            <w:tcW w:w="141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1DA763EA"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2</w:t>
            </w:r>
          </w:p>
        </w:tc>
        <w:tc>
          <w:tcPr>
            <w:tcW w:w="4253" w:type="dxa"/>
            <w:tcBorders>
              <w:top w:val="single" w:sz="4" w:space="0" w:color="BFBFBF"/>
              <w:left w:val="single" w:sz="4" w:space="0" w:color="BFBFBF"/>
              <w:bottom w:val="single" w:sz="4" w:space="0" w:color="BFBFBF"/>
              <w:right w:val="single" w:sz="12" w:space="0" w:color="auto"/>
            </w:tcBorders>
            <w:shd w:val="clear" w:color="auto" w:fill="FFFFFF"/>
            <w:tcMar>
              <w:top w:w="80" w:type="dxa"/>
              <w:left w:w="120" w:type="dxa"/>
              <w:bottom w:w="80" w:type="dxa"/>
              <w:right w:w="120" w:type="dxa"/>
            </w:tcMar>
            <w:vAlign w:val="center"/>
            <w:hideMark/>
          </w:tcPr>
          <w:p w14:paraId="39B0B8DD" w14:textId="77777777" w:rsidR="00742706" w:rsidRPr="00A83861" w:rsidRDefault="00742706" w:rsidP="00923C4E">
            <w:pPr>
              <w:widowControl/>
              <w:autoSpaceDE/>
              <w:autoSpaceDN/>
              <w:spacing w:before="40" w:after="40"/>
              <w:ind w:left="-20"/>
              <w:jc w:val="center"/>
              <w:rPr>
                <w:rFonts w:eastAsia="宋体"/>
                <w:sz w:val="24"/>
                <w:szCs w:val="24"/>
                <w:lang w:eastAsia="zh-CN"/>
              </w:rPr>
            </w:pPr>
            <w:r w:rsidRPr="00A83861">
              <w:rPr>
                <w:rFonts w:eastAsia="宋体"/>
                <w:color w:val="000000"/>
                <w:sz w:val="24"/>
                <w:szCs w:val="24"/>
                <w:lang w:eastAsia="zh-CN"/>
              </w:rPr>
              <w:t>The two balanced stores also perfectly reflect the balanced product line.</w:t>
            </w:r>
          </w:p>
        </w:tc>
      </w:tr>
      <w:tr w:rsidR="00742706" w:rsidRPr="00742706" w14:paraId="76262E44" w14:textId="77777777" w:rsidTr="00A83861">
        <w:trPr>
          <w:trHeight w:val="510"/>
        </w:trPr>
        <w:tc>
          <w:tcPr>
            <w:tcW w:w="1396" w:type="dxa"/>
            <w:tcBorders>
              <w:top w:val="single" w:sz="4" w:space="0" w:color="BFBFBF"/>
              <w:left w:val="single" w:sz="12" w:space="0" w:color="auto"/>
              <w:bottom w:val="single" w:sz="12" w:space="0" w:color="auto"/>
              <w:right w:val="single" w:sz="4" w:space="0" w:color="2E75B6"/>
            </w:tcBorders>
            <w:shd w:val="clear" w:color="auto" w:fill="C00000"/>
            <w:tcMar>
              <w:top w:w="80" w:type="dxa"/>
              <w:left w:w="120" w:type="dxa"/>
              <w:bottom w:w="80" w:type="dxa"/>
              <w:right w:w="120" w:type="dxa"/>
            </w:tcMar>
            <w:vAlign w:val="center"/>
            <w:hideMark/>
          </w:tcPr>
          <w:p w14:paraId="55E5D30F"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total</w:t>
            </w:r>
          </w:p>
        </w:tc>
        <w:tc>
          <w:tcPr>
            <w:tcW w:w="1559" w:type="dxa"/>
            <w:tcBorders>
              <w:top w:val="single" w:sz="4" w:space="0" w:color="BFBFBF"/>
              <w:left w:val="single" w:sz="4" w:space="0" w:color="2E75B6"/>
              <w:bottom w:val="single" w:sz="12" w:space="0" w:color="auto"/>
              <w:right w:val="single" w:sz="4" w:space="0" w:color="2E75B6"/>
            </w:tcBorders>
            <w:shd w:val="clear" w:color="auto" w:fill="C00000"/>
            <w:tcMar>
              <w:top w:w="80" w:type="dxa"/>
              <w:left w:w="120" w:type="dxa"/>
              <w:bottom w:w="80" w:type="dxa"/>
              <w:right w:w="120" w:type="dxa"/>
            </w:tcMar>
            <w:vAlign w:val="center"/>
            <w:hideMark/>
          </w:tcPr>
          <w:p w14:paraId="6CDECDEC"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6</w:t>
            </w:r>
          </w:p>
        </w:tc>
        <w:tc>
          <w:tcPr>
            <w:tcW w:w="1418" w:type="dxa"/>
            <w:tcBorders>
              <w:top w:val="single" w:sz="4" w:space="0" w:color="BFBFBF"/>
              <w:left w:val="single" w:sz="4" w:space="0" w:color="2E75B6"/>
              <w:bottom w:val="single" w:sz="12" w:space="0" w:color="auto"/>
              <w:right w:val="single" w:sz="4" w:space="0" w:color="2E75B6"/>
            </w:tcBorders>
            <w:shd w:val="clear" w:color="auto" w:fill="C00000"/>
            <w:tcMar>
              <w:top w:w="80" w:type="dxa"/>
              <w:left w:w="120" w:type="dxa"/>
              <w:bottom w:w="80" w:type="dxa"/>
              <w:right w:w="120" w:type="dxa"/>
            </w:tcMar>
            <w:vAlign w:val="center"/>
            <w:hideMark/>
          </w:tcPr>
          <w:p w14:paraId="3A8ED105"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4</w:t>
            </w:r>
          </w:p>
        </w:tc>
        <w:tc>
          <w:tcPr>
            <w:tcW w:w="1417" w:type="dxa"/>
            <w:tcBorders>
              <w:top w:val="single" w:sz="4" w:space="0" w:color="BFBFBF"/>
              <w:left w:val="single" w:sz="4" w:space="0" w:color="2E75B6"/>
              <w:bottom w:val="single" w:sz="12" w:space="0" w:color="auto"/>
              <w:right w:val="single" w:sz="4" w:space="0" w:color="2E75B6"/>
            </w:tcBorders>
            <w:shd w:val="clear" w:color="auto" w:fill="C00000"/>
            <w:tcMar>
              <w:top w:w="80" w:type="dxa"/>
              <w:left w:w="120" w:type="dxa"/>
              <w:bottom w:w="80" w:type="dxa"/>
              <w:right w:w="120" w:type="dxa"/>
            </w:tcMar>
            <w:vAlign w:val="center"/>
            <w:hideMark/>
          </w:tcPr>
          <w:p w14:paraId="13F57114" w14:textId="77777777" w:rsidR="00742706" w:rsidRPr="00742706" w:rsidRDefault="00742706" w:rsidP="00923C4E">
            <w:pPr>
              <w:widowControl/>
              <w:autoSpaceDE/>
              <w:autoSpaceDN/>
              <w:spacing w:before="40" w:after="40"/>
              <w:ind w:left="-20"/>
              <w:jc w:val="center"/>
              <w:rPr>
                <w:rFonts w:eastAsia="宋体"/>
                <w:sz w:val="24"/>
                <w:szCs w:val="24"/>
                <w:lang w:eastAsia="zh-CN"/>
              </w:rPr>
            </w:pPr>
            <w:r w:rsidRPr="00742706">
              <w:rPr>
                <w:rFonts w:eastAsia="宋体"/>
                <w:b/>
                <w:bCs/>
                <w:color w:val="FFFFFF"/>
                <w:sz w:val="24"/>
                <w:szCs w:val="24"/>
                <w:lang w:eastAsia="zh-CN"/>
              </w:rPr>
              <w:t>5</w:t>
            </w:r>
          </w:p>
        </w:tc>
        <w:tc>
          <w:tcPr>
            <w:tcW w:w="4253" w:type="dxa"/>
            <w:tcBorders>
              <w:top w:val="single" w:sz="4" w:space="0" w:color="BFBFBF"/>
              <w:left w:val="single" w:sz="4" w:space="0" w:color="2E75B6"/>
              <w:bottom w:val="single" w:sz="12" w:space="0" w:color="auto"/>
              <w:right w:val="single" w:sz="12" w:space="0" w:color="auto"/>
            </w:tcBorders>
            <w:shd w:val="clear" w:color="auto" w:fill="C00000"/>
            <w:tcMar>
              <w:top w:w="80" w:type="dxa"/>
              <w:left w:w="120" w:type="dxa"/>
              <w:bottom w:w="80" w:type="dxa"/>
              <w:right w:w="120" w:type="dxa"/>
            </w:tcMar>
            <w:vAlign w:val="center"/>
            <w:hideMark/>
          </w:tcPr>
          <w:p w14:paraId="49FFD1F3" w14:textId="5840D7ED" w:rsidR="00742706" w:rsidRPr="00742706" w:rsidRDefault="00742706" w:rsidP="00923C4E">
            <w:pPr>
              <w:widowControl/>
              <w:autoSpaceDE/>
              <w:autoSpaceDN/>
              <w:jc w:val="center"/>
              <w:rPr>
                <w:rFonts w:eastAsia="宋体"/>
                <w:sz w:val="24"/>
                <w:szCs w:val="24"/>
                <w:lang w:eastAsia="zh-CN"/>
              </w:rPr>
            </w:pPr>
          </w:p>
        </w:tc>
      </w:tr>
    </w:tbl>
    <w:p w14:paraId="50EC9086" w14:textId="77777777" w:rsidR="00742706" w:rsidRPr="00742706" w:rsidRDefault="00742706" w:rsidP="00923C4E">
      <w:pPr>
        <w:pStyle w:val="a0"/>
        <w:spacing w:before="309" w:line="312" w:lineRule="auto"/>
        <w:ind w:left="311"/>
        <w:rPr>
          <w:rFonts w:eastAsia="宋体"/>
          <w:lang w:eastAsia="zh-CN"/>
        </w:rPr>
      </w:pPr>
      <w:r w:rsidRPr="00742706">
        <w:rPr>
          <w:rFonts w:eastAsia="宋体"/>
          <w:b/>
          <w:bCs/>
          <w:lang w:eastAsia="zh-CN"/>
        </w:rPr>
        <w:t>Overlap between B and C fractals</w:t>
      </w:r>
    </w:p>
    <w:p w14:paraId="1E71521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overlap between Category B (major category) and Category C (product line) is approximately 53% (8 out of 15 stores are consistent), indicating that the two dimensions do indeed capture store characteristics at different levels. Module C provides incremental information beyond that of Module B.</w:t>
      </w:r>
      <w:r w:rsidRPr="00742706">
        <w:rPr>
          <w:rFonts w:eastAsia="宋体"/>
          <w:b/>
          <w:bCs/>
          <w:lang w:eastAsia="zh-CN"/>
        </w:rPr>
        <w:t>。</w:t>
      </w:r>
    </w:p>
    <w:p w14:paraId="58112F54" w14:textId="227A5362" w:rsidR="00742706" w:rsidRPr="00742706" w:rsidRDefault="00742706" w:rsidP="00923C4E">
      <w:pPr>
        <w:pStyle w:val="3"/>
        <w:ind w:right="0"/>
        <w:rPr>
          <w:rFonts w:eastAsia="宋体"/>
          <w:lang w:eastAsia="zh-CN"/>
        </w:rPr>
      </w:pPr>
      <w:r w:rsidRPr="00742706">
        <w:rPr>
          <w:rFonts w:eastAsia="宋体"/>
          <w:lang w:eastAsia="zh-CN"/>
        </w:rPr>
        <w:t>Data Processing and Variable Definition</w:t>
      </w:r>
    </w:p>
    <w:p w14:paraId="26518C7F"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 xml:space="preserve">This module takes over the previous sales details data. To ensure cross-store comparability, it </w:t>
      </w:r>
      <w:r w:rsidRPr="00742706">
        <w:rPr>
          <w:rFonts w:eastAsia="宋体"/>
          <w:lang w:eastAsia="zh-CN"/>
        </w:rPr>
        <w:lastRenderedPageBreak/>
        <w:t>uses the total sales amount of the store as the benchmark to calculate four core product line indicators: the proportion of national team (Y₄), the proportion of Li-Ning Glory Gold Label (Y₅), the proportion of Li-Ning Glory (Y₆), and the proportion of other series (Y₇, i.e., 1 - Y₄ - Y₅ - Y₆).</w:t>
      </w:r>
    </w:p>
    <w:p w14:paraId="2187BBF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Preliminary data analysis reveals significant differences in penetration rates across different stores for core product lines. For instance, the Li-Ning Glory brand has a high penetration rate (approximately 28.9%), Li-Ning Glory Gold Label brand (approximately 11.6%), and National Team brand (approximately 2.4%) at the Wangfujing Street store in Beijing. The Li-Ning Glory Gold Label brand at the outdoor plaza of Kunming Shuncheng Shopping Center reaches approximately 29.6%, while the Li-Ning Glory brand penetration rate at the L1 atrium of Harbin Haxi Wanda Plaza is as high as approximately 60.2%. In contrast, some stores (such as Nanjing Xinjiekou and Dalian Parkson) currently have a National Team penetration rate of 0. This naturally occurring structural difference provides a reliable data foundation for subsequently constructing a product line tiered mapping system.</w:t>
      </w:r>
    </w:p>
    <w:p w14:paraId="1733C485" w14:textId="0A79996C" w:rsidR="00742706" w:rsidRPr="00742706" w:rsidRDefault="00742706" w:rsidP="00923C4E">
      <w:pPr>
        <w:pStyle w:val="a0"/>
        <w:spacing w:before="309" w:line="312" w:lineRule="auto"/>
        <w:ind w:left="311"/>
        <w:rPr>
          <w:rFonts w:eastAsia="宋体"/>
          <w:lang w:eastAsia="zh-CN"/>
        </w:rPr>
      </w:pPr>
      <w:r w:rsidRPr="00742706">
        <w:rPr>
          <w:rFonts w:eastAsia="宋体"/>
          <w:noProof/>
          <w:lang w:eastAsia="zh-CN"/>
        </w:rPr>
        <w:drawing>
          <wp:inline distT="0" distB="0" distL="0" distR="0" wp14:anchorId="3A061A82" wp14:editId="5080BDFF">
            <wp:extent cx="4564380" cy="922020"/>
            <wp:effectExtent l="0" t="0" r="7620" b="0"/>
            <wp:docPr id="66653745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64380" cy="922020"/>
                    </a:xfrm>
                    <a:prstGeom prst="rect">
                      <a:avLst/>
                    </a:prstGeom>
                    <a:noFill/>
                    <a:ln>
                      <a:noFill/>
                    </a:ln>
                  </pic:spPr>
                </pic:pic>
              </a:graphicData>
            </a:graphic>
          </wp:inline>
        </w:drawing>
      </w:r>
    </w:p>
    <w:p w14:paraId="0AF31296" w14:textId="7E08B16D" w:rsidR="00742706" w:rsidRPr="00742706" w:rsidRDefault="00742706" w:rsidP="00923C4E">
      <w:pPr>
        <w:pStyle w:val="3"/>
        <w:ind w:right="0"/>
        <w:rPr>
          <w:rFonts w:eastAsia="宋体"/>
          <w:lang w:eastAsia="zh-CN"/>
        </w:rPr>
      </w:pPr>
      <w:r w:rsidRPr="00742706">
        <w:rPr>
          <w:rFonts w:eastAsia="宋体"/>
          <w:lang w:eastAsia="zh-CN"/>
        </w:rPr>
        <w:t>Mapping of Store Type and Product Line Ratio Range</w:t>
      </w:r>
    </w:p>
    <w:p w14:paraId="2A1CA949"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After determining the product category structure of the stores (Module B), this module further calculated the mean and standard deviation of each store type on the core product lines (National Team, Li-Ning Glory Gold Label, Li-Ning Glory, and other series), and constructed a suggested range for product line allocation using "mean ± 1SD". This mapping table, as a core deliverable, can be directly written into the underlying rules of the grading tool.</w:t>
      </w:r>
    </w:p>
    <w:p w14:paraId="46520406"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Based on the output results, the three types of stores exhibit clear differences in product line distribution:</w:t>
      </w:r>
    </w:p>
    <w:p w14:paraId="53712BB3" w14:textId="77777777" w:rsidR="00742706" w:rsidRPr="00241164" w:rsidRDefault="00742706" w:rsidP="00923C4E">
      <w:pPr>
        <w:pStyle w:val="a0"/>
        <w:spacing w:before="309" w:line="312" w:lineRule="auto"/>
        <w:ind w:left="311"/>
        <w:rPr>
          <w:rFonts w:eastAsia="宋体"/>
          <w:b/>
          <w:bCs/>
          <w:lang w:eastAsia="zh-CN"/>
        </w:rPr>
      </w:pPr>
      <w:r w:rsidRPr="00241164">
        <w:rPr>
          <w:rFonts w:eastAsia="宋体"/>
          <w:b/>
          <w:bCs/>
          <w:lang w:eastAsia="zh-CN"/>
        </w:rPr>
        <w:t>(1) Shoe-driven (11 companies)</w:t>
      </w:r>
    </w:p>
    <w:p w14:paraId="37A663D8"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the national team is 0%–1%, for Li-Ning Glory Gold Label it is 1%–17%, for Li-Ning Glory it is 12%–34%, and for other series it is 57%–79%.</w:t>
      </w:r>
    </w:p>
    <w:p w14:paraId="05512BF1"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 xml:space="preserve">As the most mainstream store type in the sample, the National Team series accounted for a very low proportion, the Gold Label series accounted for a relatively limited proportion (up to 17%), while the Li-Ning Glory series occupied a significant share (down to 12% and up to 34%). This </w:t>
      </w:r>
      <w:r w:rsidRPr="00742706">
        <w:rPr>
          <w:rFonts w:eastAsia="宋体"/>
          <w:lang w:eastAsia="zh-CN"/>
        </w:rPr>
        <w:lastRenderedPageBreak/>
        <w:t>indicates that in footwear-dominated stores, the Glory series is an indispensable performance driver, and its proportion can be flexibly adjusted between 12% and 34% depending on the characteristics of the business district, while the Gold Label series serves as a distinctive supplement.</w:t>
      </w:r>
    </w:p>
    <w:p w14:paraId="160F6132" w14:textId="77777777" w:rsidR="00742706" w:rsidRPr="00241164" w:rsidRDefault="00742706" w:rsidP="00923C4E">
      <w:pPr>
        <w:pStyle w:val="a0"/>
        <w:spacing w:before="309" w:line="312" w:lineRule="auto"/>
        <w:ind w:left="311"/>
        <w:rPr>
          <w:rFonts w:eastAsia="宋体"/>
          <w:b/>
          <w:bCs/>
          <w:lang w:eastAsia="zh-CN"/>
        </w:rPr>
      </w:pPr>
      <w:r w:rsidRPr="00241164">
        <w:rPr>
          <w:rFonts w:eastAsia="宋体"/>
          <w:b/>
          <w:bCs/>
          <w:lang w:eastAsia="zh-CN"/>
        </w:rPr>
        <w:t>(2) Balanced type (2 companies)</w:t>
      </w:r>
    </w:p>
    <w:p w14:paraId="671067D2"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the national team is 0%–0%, for Li-Ning Glory Gold Label it is 7%–21%, for Li-Ning Glory it is 30%–65%, and for other series it is 28%–49%.</w:t>
      </w:r>
    </w:p>
    <w:p w14:paraId="7B6BC704"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Historically, these stores have almost no sales of the national team series, but the Li-Ning Glory series has achieved absolute dominance (30%–65%), while the Gold Label series has also maintained a relatively high level of 7%–21%. This indicates that in stores with a relatively balanced apparel and footwear structure, the Glory series, with its broader audience base, is the core driving force and has a very high necessity for distribution, while the Gold Label series can further enrich the product range.</w:t>
      </w:r>
    </w:p>
    <w:p w14:paraId="70BEDB96" w14:textId="77777777" w:rsidR="00742706" w:rsidRPr="00241164" w:rsidRDefault="00742706" w:rsidP="00923C4E">
      <w:pPr>
        <w:pStyle w:val="a0"/>
        <w:spacing w:before="309" w:line="312" w:lineRule="auto"/>
        <w:ind w:left="311"/>
        <w:rPr>
          <w:rFonts w:eastAsia="宋体"/>
          <w:b/>
          <w:bCs/>
          <w:lang w:eastAsia="zh-CN"/>
        </w:rPr>
      </w:pPr>
      <w:r w:rsidRPr="00241164">
        <w:rPr>
          <w:rFonts w:eastAsia="宋体"/>
          <w:b/>
          <w:bCs/>
          <w:lang w:eastAsia="zh-CN"/>
        </w:rPr>
        <w:t>(3) Accessories/Clothing Specialty Products (2 companies)</w:t>
      </w:r>
    </w:p>
    <w:p w14:paraId="64FB0280" w14:textId="77777777" w:rsidR="00742706" w:rsidRPr="00742706" w:rsidRDefault="00742706" w:rsidP="00923C4E">
      <w:pPr>
        <w:pStyle w:val="a0"/>
        <w:spacing w:before="309" w:line="312" w:lineRule="auto"/>
        <w:ind w:left="311"/>
        <w:rPr>
          <w:rFonts w:eastAsia="宋体"/>
          <w:lang w:eastAsia="zh-CN"/>
        </w:rPr>
      </w:pPr>
      <w:r w:rsidRPr="00742706">
        <w:rPr>
          <w:rFonts w:eastAsia="宋体"/>
          <w:lang w:eastAsia="zh-CN"/>
        </w:rPr>
        <w:t>The recommended range for the national team is 1%–3%, for Li-Ning Glory Gold Label it is 8%–12%, for Li-Ning Glory it is 18%–31%, and for other series it is 54%–73%.</w:t>
      </w:r>
    </w:p>
    <w:p w14:paraId="4EB54676" w14:textId="0C9BCFD4" w:rsidR="00742706" w:rsidRDefault="00742706" w:rsidP="00923C4E">
      <w:pPr>
        <w:pStyle w:val="a0"/>
        <w:spacing w:before="309" w:line="312" w:lineRule="auto"/>
        <w:ind w:left="311"/>
        <w:rPr>
          <w:rFonts w:eastAsia="宋体"/>
          <w:lang w:eastAsia="zh-CN"/>
        </w:rPr>
      </w:pPr>
      <w:r w:rsidRPr="00742706">
        <w:rPr>
          <w:rFonts w:eastAsia="宋体"/>
          <w:lang w:eastAsia="zh-CN"/>
        </w:rPr>
        <w:t>This type of store is the only one among the three categories with a significant and stable proportion of the "National Team" series (1%–3%), while the "Honorary" series (18%–31%) and "Gold Label" series (8%–12%) also remain at stable levels. Combined with their "high-tier, high-traffic" profile, this indicates that in commercially viable areas, the "National Team" series can effectively supplement and enhance the store's image and cross-selling potential.</w:t>
      </w:r>
    </w:p>
    <w:p w14:paraId="6F6930BB" w14:textId="53371A9B" w:rsidR="00241164" w:rsidRPr="00241164" w:rsidRDefault="00241164" w:rsidP="00923C4E">
      <w:pPr>
        <w:pStyle w:val="a0"/>
        <w:spacing w:before="309" w:line="312" w:lineRule="auto"/>
        <w:ind w:left="311"/>
        <w:rPr>
          <w:rFonts w:eastAsia="宋体"/>
          <w:lang w:eastAsia="zh-CN"/>
        </w:rPr>
      </w:pPr>
      <w:r w:rsidRPr="00241164">
        <w:rPr>
          <w:rFonts w:eastAsia="宋体"/>
          <w:noProof/>
          <w:lang w:eastAsia="zh-CN"/>
        </w:rPr>
        <w:drawing>
          <wp:inline distT="0" distB="0" distL="0" distR="0" wp14:anchorId="10357F81" wp14:editId="1DA54A1B">
            <wp:extent cx="4564380" cy="335280"/>
            <wp:effectExtent l="0" t="0" r="7620" b="7620"/>
            <wp:docPr id="1739790202"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64380" cy="335280"/>
                    </a:xfrm>
                    <a:prstGeom prst="rect">
                      <a:avLst/>
                    </a:prstGeom>
                    <a:noFill/>
                    <a:ln>
                      <a:noFill/>
                    </a:ln>
                  </pic:spPr>
                </pic:pic>
              </a:graphicData>
            </a:graphic>
          </wp:inline>
        </w:drawing>
      </w:r>
    </w:p>
    <w:p w14:paraId="0CD3AB4E" w14:textId="25C201FD" w:rsidR="00241164" w:rsidRPr="00241164" w:rsidRDefault="00241164" w:rsidP="00923C4E">
      <w:pPr>
        <w:pStyle w:val="3"/>
        <w:ind w:right="0"/>
        <w:rPr>
          <w:rFonts w:eastAsia="宋体"/>
          <w:lang w:eastAsia="zh-CN"/>
        </w:rPr>
      </w:pPr>
      <w:r w:rsidRPr="00241164">
        <w:rPr>
          <w:rFonts w:eastAsia="宋体"/>
          <w:lang w:eastAsia="zh-CN"/>
        </w:rPr>
        <w:t>Product Line Independent Clustering Validation</w:t>
      </w:r>
    </w:p>
    <w:p w14:paraId="2F5F75ED"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To examine whether the product line classification highly overlaps with the category classification in Module B, this module conducted an independent K-Means cluster analysis using the three-dimensional indicators of the proportion of national team (Y₄), the proportion of Li-Ning Glory Gold Label (Y₅), and the proportion of other series (Y₆) as inputs.</w:t>
      </w:r>
    </w:p>
    <w:p w14:paraId="1D46ACFF"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Optimal number of clusters selection</w:t>
      </w:r>
    </w:p>
    <w:p w14:paraId="3F671368" w14:textId="3B6766DD" w:rsidR="00241164" w:rsidRDefault="00241164" w:rsidP="00923C4E">
      <w:pPr>
        <w:pStyle w:val="a0"/>
        <w:spacing w:before="309" w:line="312" w:lineRule="auto"/>
        <w:ind w:left="311"/>
        <w:rPr>
          <w:rFonts w:eastAsia="宋体"/>
          <w:lang w:eastAsia="zh-CN"/>
        </w:rPr>
      </w:pPr>
      <w:r w:rsidRPr="00241164">
        <w:rPr>
          <w:rFonts w:eastAsia="宋体"/>
          <w:lang w:eastAsia="zh-CN"/>
        </w:rPr>
        <w:lastRenderedPageBreak/>
        <w:t>According to the WSS (within-group sum of squared errors) curve of the Elbow Method, the downward slope of the curve slows down when k=3. Considering the richness of business interpretation and the correspondence with the three-category classification of Module B, k=3 was ultimately chosen as the optimal number of clusters.</w:t>
      </w:r>
    </w:p>
    <w:p w14:paraId="7B847FF4" w14:textId="7470C75A" w:rsidR="00241164" w:rsidRPr="00241164" w:rsidRDefault="00241164" w:rsidP="00923C4E">
      <w:pPr>
        <w:pStyle w:val="a0"/>
        <w:spacing w:before="309" w:line="312" w:lineRule="auto"/>
        <w:ind w:left="311"/>
        <w:rPr>
          <w:rFonts w:eastAsia="宋体"/>
          <w:lang w:eastAsia="zh-CN"/>
        </w:rPr>
      </w:pPr>
      <w:r w:rsidRPr="00241164">
        <w:rPr>
          <w:rFonts w:eastAsia="宋体"/>
          <w:noProof/>
          <w:lang w:eastAsia="zh-CN"/>
        </w:rPr>
        <w:drawing>
          <wp:inline distT="0" distB="0" distL="0" distR="0" wp14:anchorId="7EC8E19F" wp14:editId="702271B3">
            <wp:extent cx="4572000" cy="2743200"/>
            <wp:effectExtent l="0" t="0" r="0" b="0"/>
            <wp:docPr id="57910631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7EAC4E2C"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Clustering Results and Visualization</w:t>
      </w:r>
    </w:p>
    <w:p w14:paraId="333FE02D"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With k=3, the clustering results divided the 15 stores into three product line preference types. The clustering visualization (PCA dimensionality reduction) shows that the three types of stores form relatively clear clusters in two-dimensional space.</w:t>
      </w:r>
    </w:p>
    <w:p w14:paraId="5E40A701"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Cluster 1 (red area): Includes 6 stores such as Nanjing Xinjiekou Pedestrian Street and Beijing IKEA L1 Atrium.</w:t>
      </w:r>
    </w:p>
    <w:p w14:paraId="7153CC9E"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Cluster 2 (Green Area): Includes 4 stores such as the outer plaza of Kunming Shuncheng Shopping Center and the atrium of Gate 10 of Changrui Eurasia Mall.</w:t>
      </w:r>
    </w:p>
    <w:p w14:paraId="232C47FA" w14:textId="36DDC1E2" w:rsidR="00241164" w:rsidRDefault="00241164" w:rsidP="00923C4E">
      <w:pPr>
        <w:pStyle w:val="a0"/>
        <w:spacing w:before="309" w:line="312" w:lineRule="auto"/>
        <w:ind w:left="311"/>
        <w:rPr>
          <w:rFonts w:eastAsia="宋体"/>
          <w:lang w:eastAsia="zh-CN"/>
        </w:rPr>
      </w:pPr>
      <w:r w:rsidRPr="00241164">
        <w:rPr>
          <w:rFonts w:eastAsia="宋体"/>
          <w:lang w:eastAsia="zh-CN"/>
        </w:rPr>
        <w:t>Cluster 3 (blue area): Includes 5 stores such as the one on Wangfujing Street in Beijing and the one in Jiefangbei in Chongqing. These stores also form a separate cluster in the map.</w:t>
      </w:r>
    </w:p>
    <w:p w14:paraId="324709C7" w14:textId="562C4A28" w:rsidR="00241164" w:rsidRPr="00241164" w:rsidRDefault="00241164" w:rsidP="00923C4E">
      <w:pPr>
        <w:pStyle w:val="a0"/>
        <w:spacing w:before="309" w:line="312" w:lineRule="auto"/>
        <w:ind w:left="311"/>
        <w:rPr>
          <w:rFonts w:eastAsia="宋体"/>
          <w:lang w:eastAsia="zh-CN"/>
        </w:rPr>
      </w:pPr>
      <w:r w:rsidRPr="00241164">
        <w:rPr>
          <w:rFonts w:eastAsia="宋体"/>
          <w:noProof/>
          <w:lang w:eastAsia="zh-CN"/>
        </w:rPr>
        <w:lastRenderedPageBreak/>
        <w:drawing>
          <wp:inline distT="0" distB="0" distL="0" distR="0" wp14:anchorId="0B435CAD" wp14:editId="69A76721">
            <wp:extent cx="4572000" cy="2743200"/>
            <wp:effectExtent l="0" t="0" r="0" b="0"/>
            <wp:docPr id="147679580"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25C00B7D"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Overlap analysis with Module B</w:t>
      </w:r>
    </w:p>
    <w:p w14:paraId="0ECB8FF7" w14:textId="53858E8E" w:rsidR="00241164" w:rsidRDefault="00241164" w:rsidP="00923C4E">
      <w:pPr>
        <w:pStyle w:val="a0"/>
        <w:spacing w:before="309" w:line="312" w:lineRule="auto"/>
        <w:ind w:left="311"/>
        <w:rPr>
          <w:rFonts w:eastAsia="宋体"/>
          <w:lang w:eastAsia="zh-CN"/>
        </w:rPr>
      </w:pPr>
      <w:r w:rsidRPr="00241164">
        <w:rPr>
          <w:rFonts w:eastAsia="宋体"/>
          <w:lang w:eastAsia="zh-CN"/>
        </w:rPr>
        <w:t>By constructing a cross-tabulation of the category classification in module B and the product line classification in module C, this study further examined the overlap between the two classification systems. The results show that there is some overlap between the two classification levels, but they are not highly identical.</w:t>
      </w:r>
    </w:p>
    <w:tbl>
      <w:tblPr>
        <w:tblW w:w="0" w:type="auto"/>
        <w:tblInd w:w="685" w:type="dxa"/>
        <w:tblLayout w:type="fixed"/>
        <w:tblCellMar>
          <w:top w:w="15" w:type="dxa"/>
          <w:left w:w="15" w:type="dxa"/>
          <w:bottom w:w="15" w:type="dxa"/>
          <w:right w:w="15" w:type="dxa"/>
        </w:tblCellMar>
        <w:tblLook w:val="04A0" w:firstRow="1" w:lastRow="0" w:firstColumn="1" w:lastColumn="0" w:noHBand="0" w:noVBand="1"/>
      </w:tblPr>
      <w:tblGrid>
        <w:gridCol w:w="2129"/>
        <w:gridCol w:w="2551"/>
        <w:gridCol w:w="2126"/>
        <w:gridCol w:w="1985"/>
      </w:tblGrid>
      <w:tr w:rsidR="00241164" w:rsidRPr="00241164" w14:paraId="4D5AAD8C" w14:textId="77777777" w:rsidTr="00A83861">
        <w:trPr>
          <w:trHeight w:val="480"/>
        </w:trPr>
        <w:tc>
          <w:tcPr>
            <w:tcW w:w="2129" w:type="dxa"/>
            <w:tcBorders>
              <w:top w:val="single" w:sz="12" w:space="0" w:color="auto"/>
              <w:left w:val="single" w:sz="12" w:space="0" w:color="auto"/>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7EE872C5"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FFFFFF"/>
                <w:sz w:val="24"/>
                <w:szCs w:val="24"/>
                <w:lang w:eastAsia="zh-CN"/>
              </w:rPr>
              <w:t>B-type / C-type</w:t>
            </w:r>
          </w:p>
        </w:tc>
        <w:tc>
          <w:tcPr>
            <w:tcW w:w="2551" w:type="dxa"/>
            <w:tcBorders>
              <w:top w:val="single" w:sz="12" w:space="0" w:color="auto"/>
              <w:left w:val="single" w:sz="4" w:space="0" w:color="2E75B6"/>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3687F863"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FFFFFF"/>
                <w:sz w:val="24"/>
                <w:szCs w:val="24"/>
                <w:lang w:eastAsia="zh-CN"/>
              </w:rPr>
              <w:t>Honor-dominant type</w:t>
            </w:r>
          </w:p>
        </w:tc>
        <w:tc>
          <w:tcPr>
            <w:tcW w:w="2126" w:type="dxa"/>
            <w:tcBorders>
              <w:top w:val="single" w:sz="12" w:space="0" w:color="auto"/>
              <w:left w:val="single" w:sz="4" w:space="0" w:color="2E75B6"/>
              <w:bottom w:val="single" w:sz="4" w:space="0" w:color="2E75B6"/>
              <w:right w:val="single" w:sz="4" w:space="0" w:color="2E75B6"/>
            </w:tcBorders>
            <w:shd w:val="clear" w:color="auto" w:fill="C00000"/>
            <w:tcMar>
              <w:top w:w="80" w:type="dxa"/>
              <w:left w:w="120" w:type="dxa"/>
              <w:bottom w:w="80" w:type="dxa"/>
              <w:right w:w="120" w:type="dxa"/>
            </w:tcMar>
            <w:vAlign w:val="center"/>
            <w:hideMark/>
          </w:tcPr>
          <w:p w14:paraId="1950BB85"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FFFFFF"/>
                <w:sz w:val="24"/>
                <w:szCs w:val="24"/>
                <w:lang w:eastAsia="zh-CN"/>
              </w:rPr>
              <w:t>Gold Standard Dominant</w:t>
            </w:r>
          </w:p>
        </w:tc>
        <w:tc>
          <w:tcPr>
            <w:tcW w:w="1985" w:type="dxa"/>
            <w:tcBorders>
              <w:top w:val="single" w:sz="12" w:space="0" w:color="auto"/>
              <w:left w:val="single" w:sz="4" w:space="0" w:color="2E75B6"/>
              <w:bottom w:val="single" w:sz="4" w:space="0" w:color="2E75B6"/>
              <w:right w:val="single" w:sz="12" w:space="0" w:color="auto"/>
            </w:tcBorders>
            <w:shd w:val="clear" w:color="auto" w:fill="C00000"/>
            <w:tcMar>
              <w:top w:w="80" w:type="dxa"/>
              <w:left w:w="120" w:type="dxa"/>
              <w:bottom w:w="80" w:type="dxa"/>
              <w:right w:w="120" w:type="dxa"/>
            </w:tcMar>
            <w:vAlign w:val="center"/>
            <w:hideMark/>
          </w:tcPr>
          <w:p w14:paraId="493690B8"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FFFFFF"/>
                <w:sz w:val="24"/>
                <w:szCs w:val="24"/>
                <w:lang w:eastAsia="zh-CN"/>
              </w:rPr>
              <w:t>Balanced</w:t>
            </w:r>
          </w:p>
        </w:tc>
      </w:tr>
      <w:tr w:rsidR="00241164" w:rsidRPr="00241164" w14:paraId="33D8C353" w14:textId="77777777" w:rsidTr="00A83861">
        <w:trPr>
          <w:trHeight w:val="910"/>
        </w:trPr>
        <w:tc>
          <w:tcPr>
            <w:tcW w:w="2129" w:type="dxa"/>
            <w:tcBorders>
              <w:top w:val="single" w:sz="4" w:space="0" w:color="2E75B6"/>
              <w:left w:val="single" w:sz="12" w:space="0" w:color="auto"/>
              <w:bottom w:val="single" w:sz="4" w:space="0" w:color="BFBFBF"/>
              <w:right w:val="single" w:sz="4" w:space="0" w:color="BFBFBF"/>
            </w:tcBorders>
            <w:tcMar>
              <w:top w:w="80" w:type="dxa"/>
              <w:left w:w="120" w:type="dxa"/>
              <w:bottom w:w="80" w:type="dxa"/>
              <w:right w:w="120" w:type="dxa"/>
            </w:tcMar>
            <w:vAlign w:val="center"/>
            <w:hideMark/>
          </w:tcPr>
          <w:p w14:paraId="2AC0B15F"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Shoe-driven 11</w:t>
            </w:r>
          </w:p>
        </w:tc>
        <w:tc>
          <w:tcPr>
            <w:tcW w:w="2551" w:type="dxa"/>
            <w:tcBorders>
              <w:top w:val="single" w:sz="4" w:space="0" w:color="2E75B6"/>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5A615A0F" w14:textId="2E0754FE"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6</w:t>
            </w:r>
          </w:p>
        </w:tc>
        <w:tc>
          <w:tcPr>
            <w:tcW w:w="2126" w:type="dxa"/>
            <w:tcBorders>
              <w:top w:val="single" w:sz="4" w:space="0" w:color="2E75B6"/>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2A2E5BEB" w14:textId="6A544E0A"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2</w:t>
            </w:r>
          </w:p>
        </w:tc>
        <w:tc>
          <w:tcPr>
            <w:tcW w:w="1985" w:type="dxa"/>
            <w:tcBorders>
              <w:top w:val="single" w:sz="4" w:space="0" w:color="2E75B6"/>
              <w:left w:val="single" w:sz="4" w:space="0" w:color="BFBFBF"/>
              <w:bottom w:val="single" w:sz="4" w:space="0" w:color="BFBFBF"/>
              <w:right w:val="single" w:sz="12" w:space="0" w:color="auto"/>
            </w:tcBorders>
            <w:tcMar>
              <w:top w:w="80" w:type="dxa"/>
              <w:left w:w="120" w:type="dxa"/>
              <w:bottom w:w="80" w:type="dxa"/>
              <w:right w:w="120" w:type="dxa"/>
            </w:tcMar>
            <w:vAlign w:val="center"/>
            <w:hideMark/>
          </w:tcPr>
          <w:p w14:paraId="56BD364B" w14:textId="3F42D78F"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3</w:t>
            </w:r>
          </w:p>
        </w:tc>
      </w:tr>
      <w:tr w:rsidR="00241164" w:rsidRPr="00241164" w14:paraId="44F334BE" w14:textId="77777777" w:rsidTr="00A83861">
        <w:trPr>
          <w:trHeight w:val="684"/>
        </w:trPr>
        <w:tc>
          <w:tcPr>
            <w:tcW w:w="2129" w:type="dxa"/>
            <w:tcBorders>
              <w:top w:val="single" w:sz="4" w:space="0" w:color="BFBFBF"/>
              <w:left w:val="single" w:sz="12" w:space="0" w:color="auto"/>
              <w:bottom w:val="single" w:sz="4" w:space="0" w:color="BFBFBF"/>
              <w:right w:val="single" w:sz="4" w:space="0" w:color="BFBFBF"/>
            </w:tcBorders>
            <w:tcMar>
              <w:top w:w="80" w:type="dxa"/>
              <w:left w:w="120" w:type="dxa"/>
              <w:bottom w:w="80" w:type="dxa"/>
              <w:right w:w="120" w:type="dxa"/>
            </w:tcMar>
            <w:vAlign w:val="center"/>
            <w:hideMark/>
          </w:tcPr>
          <w:p w14:paraId="1DCA0618"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 xml:space="preserve">Clothing-focused </w:t>
            </w:r>
            <w:r w:rsidRPr="00241164">
              <w:rPr>
                <w:rFonts w:eastAsia="微软雅黑"/>
                <w:color w:val="333333"/>
                <w:sz w:val="24"/>
                <w:szCs w:val="24"/>
                <w:lang w:eastAsia="zh-CN"/>
              </w:rPr>
              <w:t>2</w:t>
            </w:r>
          </w:p>
        </w:tc>
        <w:tc>
          <w:tcPr>
            <w:tcW w:w="25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62A77B8E" w14:textId="02546172"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0</w:t>
            </w:r>
          </w:p>
        </w:tc>
        <w:tc>
          <w:tcPr>
            <w:tcW w:w="2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hideMark/>
          </w:tcPr>
          <w:p w14:paraId="4E3BD7C4"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2</w:t>
            </w:r>
          </w:p>
        </w:tc>
        <w:tc>
          <w:tcPr>
            <w:tcW w:w="1985" w:type="dxa"/>
            <w:tcBorders>
              <w:top w:val="single" w:sz="4" w:space="0" w:color="BFBFBF"/>
              <w:left w:val="single" w:sz="4" w:space="0" w:color="BFBFBF"/>
              <w:bottom w:val="single" w:sz="4" w:space="0" w:color="BFBFBF"/>
              <w:right w:val="single" w:sz="12" w:space="0" w:color="auto"/>
            </w:tcBorders>
            <w:tcMar>
              <w:top w:w="80" w:type="dxa"/>
              <w:left w:w="120" w:type="dxa"/>
              <w:bottom w:w="80" w:type="dxa"/>
              <w:right w:w="120" w:type="dxa"/>
            </w:tcMar>
            <w:vAlign w:val="center"/>
            <w:hideMark/>
          </w:tcPr>
          <w:p w14:paraId="68D16A98"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0</w:t>
            </w:r>
          </w:p>
        </w:tc>
      </w:tr>
      <w:tr w:rsidR="00241164" w:rsidRPr="00241164" w14:paraId="2AA7187E" w14:textId="77777777" w:rsidTr="00A83861">
        <w:trPr>
          <w:trHeight w:val="682"/>
        </w:trPr>
        <w:tc>
          <w:tcPr>
            <w:tcW w:w="2129" w:type="dxa"/>
            <w:tcBorders>
              <w:top w:val="single" w:sz="4" w:space="0" w:color="BFBFBF"/>
              <w:left w:val="single" w:sz="12" w:space="0" w:color="auto"/>
              <w:bottom w:val="single" w:sz="12" w:space="0" w:color="auto"/>
              <w:right w:val="single" w:sz="4" w:space="0" w:color="BFBFBF"/>
            </w:tcBorders>
            <w:tcMar>
              <w:top w:w="80" w:type="dxa"/>
              <w:left w:w="120" w:type="dxa"/>
              <w:bottom w:w="80" w:type="dxa"/>
              <w:right w:w="120" w:type="dxa"/>
            </w:tcMar>
            <w:vAlign w:val="center"/>
            <w:hideMark/>
          </w:tcPr>
          <w:p w14:paraId="413B299A"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Balanced type 2</w:t>
            </w:r>
          </w:p>
        </w:tc>
        <w:tc>
          <w:tcPr>
            <w:tcW w:w="2551" w:type="dxa"/>
            <w:tcBorders>
              <w:top w:val="single" w:sz="4" w:space="0" w:color="BFBFBF"/>
              <w:left w:val="single" w:sz="4" w:space="0" w:color="BFBFBF"/>
              <w:bottom w:val="single" w:sz="12" w:space="0" w:color="auto"/>
              <w:right w:val="single" w:sz="4" w:space="0" w:color="BFBFBF"/>
            </w:tcBorders>
            <w:tcMar>
              <w:top w:w="80" w:type="dxa"/>
              <w:left w:w="120" w:type="dxa"/>
              <w:bottom w:w="80" w:type="dxa"/>
              <w:right w:w="120" w:type="dxa"/>
            </w:tcMar>
            <w:vAlign w:val="center"/>
            <w:hideMark/>
          </w:tcPr>
          <w:p w14:paraId="460792BF" w14:textId="7A2AF361"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0</w:t>
            </w:r>
          </w:p>
        </w:tc>
        <w:tc>
          <w:tcPr>
            <w:tcW w:w="2126" w:type="dxa"/>
            <w:tcBorders>
              <w:top w:val="single" w:sz="4" w:space="0" w:color="BFBFBF"/>
              <w:left w:val="single" w:sz="4" w:space="0" w:color="BFBFBF"/>
              <w:bottom w:val="single" w:sz="12" w:space="0" w:color="auto"/>
              <w:right w:val="single" w:sz="4" w:space="0" w:color="BFBFBF"/>
            </w:tcBorders>
            <w:tcMar>
              <w:top w:w="80" w:type="dxa"/>
              <w:left w:w="120" w:type="dxa"/>
              <w:bottom w:w="80" w:type="dxa"/>
              <w:right w:w="120" w:type="dxa"/>
            </w:tcMar>
            <w:vAlign w:val="center"/>
            <w:hideMark/>
          </w:tcPr>
          <w:p w14:paraId="21AA1BD0" w14:textId="5CC7CD72"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0</w:t>
            </w:r>
          </w:p>
        </w:tc>
        <w:tc>
          <w:tcPr>
            <w:tcW w:w="1985" w:type="dxa"/>
            <w:tcBorders>
              <w:top w:val="single" w:sz="4" w:space="0" w:color="BFBFBF"/>
              <w:left w:val="single" w:sz="4" w:space="0" w:color="BFBFBF"/>
              <w:bottom w:val="single" w:sz="12" w:space="0" w:color="auto"/>
              <w:right w:val="single" w:sz="12" w:space="0" w:color="auto"/>
            </w:tcBorders>
            <w:tcMar>
              <w:top w:w="80" w:type="dxa"/>
              <w:left w:w="120" w:type="dxa"/>
              <w:bottom w:w="80" w:type="dxa"/>
              <w:right w:w="120" w:type="dxa"/>
            </w:tcMar>
            <w:vAlign w:val="center"/>
            <w:hideMark/>
          </w:tcPr>
          <w:p w14:paraId="15F9C92A" w14:textId="77777777" w:rsidR="00241164" w:rsidRPr="00241164" w:rsidRDefault="00241164" w:rsidP="00923C4E">
            <w:pPr>
              <w:widowControl/>
              <w:autoSpaceDE/>
              <w:autoSpaceDN/>
              <w:spacing w:before="40" w:after="40"/>
              <w:ind w:left="-20"/>
              <w:jc w:val="center"/>
              <w:rPr>
                <w:rFonts w:eastAsia="等线"/>
                <w:sz w:val="24"/>
                <w:szCs w:val="24"/>
                <w:lang w:eastAsia="zh-CN"/>
              </w:rPr>
            </w:pPr>
            <w:r w:rsidRPr="00241164">
              <w:rPr>
                <w:rFonts w:eastAsia="微软雅黑"/>
                <w:b/>
                <w:bCs/>
                <w:color w:val="000000"/>
                <w:sz w:val="24"/>
                <w:szCs w:val="24"/>
                <w:lang w:eastAsia="zh-CN"/>
              </w:rPr>
              <w:t>2</w:t>
            </w:r>
          </w:p>
        </w:tc>
      </w:tr>
    </w:tbl>
    <w:p w14:paraId="1E9B4314" w14:textId="6A3F69DE" w:rsidR="00241164" w:rsidRPr="00241164" w:rsidRDefault="00241164" w:rsidP="00923C4E">
      <w:pPr>
        <w:pStyle w:val="3"/>
        <w:ind w:right="0"/>
        <w:rPr>
          <w:rFonts w:eastAsia="宋体"/>
          <w:lang w:eastAsia="zh-CN"/>
        </w:rPr>
      </w:pPr>
      <w:r w:rsidRPr="00241164">
        <w:rPr>
          <w:rFonts w:eastAsia="宋体"/>
          <w:lang w:eastAsia="zh-CN"/>
        </w:rPr>
        <w:t>Feature Correlation Analysis</w:t>
      </w:r>
    </w:p>
    <w:p w14:paraId="45691F3F"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To further explore the impact of shopping mall characteristics on product line allocation, this module employs Spearman correlation analysis (a non-parametric method suitable for small samples n=15) to screen for significant features with absolute correlation coefficients greater than 0.4 to the proportion of each core product line. Introducing more granular customer profile features reveals a close yet differentiated relationship between product line preferences and the store's category structure and the characteristics of the customer base within the shopping district.</w:t>
      </w:r>
    </w:p>
    <w:p w14:paraId="7D312FAC"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lastRenderedPageBreak/>
        <w:t>(1) Distinctive features of Li-Ning Glory Series (Y₆)</w:t>
      </w:r>
    </w:p>
    <w:p w14:paraId="62FEC681"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Correlation with customer groups in the business district: The proportion of Honor phones was significantly positively correlated with the proportion of customers aged 30-34 (r = 0.64), the proportion of customers using Huawei phones (r = 0.61), and the proportion of customers aged 40-44 (r = 0.51); it was moderately negatively correlated with the working population within 1 kilometer (r = -0.45); and it was moderately negatively correlated with the proportion of males (r = -0.40).</w:t>
      </w:r>
    </w:p>
    <w:p w14:paraId="631227CA"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(2) Distinctive features of Li-Ning Glory Gold Label Series (Y₅)</w:t>
      </w:r>
    </w:p>
    <w:p w14:paraId="4A8D63EC"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Correlation with the customer base of the business district: The proportion of gold-label customers is negatively correlated with the proportion of male customers (r = -0.40), indicating that it performs relatively better in business districts with a higher proportion of female customers.</w:t>
      </w:r>
    </w:p>
    <w:p w14:paraId="2D3F3206"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(3) Significant features of the national team series (Y₄)</w:t>
      </w:r>
    </w:p>
    <w:p w14:paraId="6C6EC91F"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Correlation with the customer base of the business district: The proportion of national team members was significantly positively correlated with the proportion of Apple mobile phone users (r = 0.58), the proportion of salaried asset class users (r = 0.52), the working population within 1 kilometer (r = 0.48), the city tier (r = 0.48), and the proportion of male users (r = 0.44); and significantly negatively correlated with the proportion of 30-34 year olds (r = -0.56), the proportion of middle-class asset class users (r = -0.53), the proportion of 40-44 year olds (r = -0.48), and the proportion of Huawei mobile phone users (r = -0.42).</w:t>
      </w:r>
    </w:p>
    <w:p w14:paraId="7126AC42"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(4) Inter-product line linkage rules</w:t>
      </w:r>
    </w:p>
    <w:p w14:paraId="73AB65DF"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Negative correlation: The analysis results show that there is a very strong negative correlation between the proportion of the national team (Y₄) and the proportion of Li Ning Glory (Y₆) (r = -0.65).</w:t>
      </w:r>
    </w:p>
    <w:p w14:paraId="2701C36F" w14:textId="11700CA2" w:rsidR="00241164" w:rsidRDefault="00241164" w:rsidP="00923C4E">
      <w:pPr>
        <w:pStyle w:val="a0"/>
        <w:spacing w:before="309" w:line="312" w:lineRule="auto"/>
        <w:ind w:left="311"/>
        <w:rPr>
          <w:rFonts w:eastAsia="宋体"/>
          <w:lang w:eastAsia="zh-CN"/>
        </w:rPr>
      </w:pPr>
      <w:r w:rsidRPr="00241164">
        <w:rPr>
          <w:rFonts w:eastAsia="宋体"/>
          <w:lang w:eastAsia="zh-CN"/>
        </w:rPr>
        <w:t>Application Rules for the Tool: In tiered tools, the proportions of each series should not be predicted as completely independent values. When the proportion of the National Team series is increased based on business district characteristics (such as high customer traffic for Apple products or higher-tier markets), the expected proportion of the Li-Ning Glory series should be adjusted downward accordingly, and vice versa. This linkage rule ensures the logical consistency of the overall product line proportions.</w:t>
      </w:r>
    </w:p>
    <w:p w14:paraId="650B068F" w14:textId="4FF2F619" w:rsidR="00241164" w:rsidRPr="00241164" w:rsidRDefault="00241164" w:rsidP="00923C4E">
      <w:pPr>
        <w:pStyle w:val="a0"/>
        <w:spacing w:before="309" w:line="312" w:lineRule="auto"/>
        <w:ind w:left="311"/>
        <w:rPr>
          <w:rFonts w:eastAsia="宋体"/>
          <w:lang w:eastAsia="zh-CN"/>
        </w:rPr>
      </w:pPr>
      <w:r w:rsidRPr="00241164">
        <w:rPr>
          <w:rFonts w:eastAsia="宋体"/>
          <w:noProof/>
          <w:lang w:eastAsia="zh-CN"/>
        </w:rPr>
        <w:lastRenderedPageBreak/>
        <w:drawing>
          <wp:inline distT="0" distB="0" distL="0" distR="0" wp14:anchorId="362FDBAB" wp14:editId="0C4BB888">
            <wp:extent cx="4572000" cy="2743200"/>
            <wp:effectExtent l="0" t="0" r="0" b="0"/>
            <wp:docPr id="794676631"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1335339D" w14:textId="1026CB13" w:rsidR="00241164" w:rsidRPr="00241164" w:rsidRDefault="00241164" w:rsidP="00923C4E">
      <w:pPr>
        <w:pStyle w:val="3"/>
        <w:ind w:right="0"/>
        <w:rPr>
          <w:rFonts w:eastAsia="宋体"/>
          <w:lang w:eastAsia="zh-CN"/>
        </w:rPr>
      </w:pPr>
      <w:r w:rsidRPr="00241164">
        <w:rPr>
          <w:rFonts w:eastAsia="宋体"/>
          <w:lang w:eastAsia="zh-CN"/>
        </w:rPr>
        <w:t>Business Interpretation</w:t>
      </w:r>
    </w:p>
    <w:p w14:paraId="7B09C0D5"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(1) Shift in core logic perspective: from "accurate prediction" to "tiered management and control"</w:t>
      </w:r>
    </w:p>
    <w:p w14:paraId="4037B16D"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Given the limited sample size of historical pop-up stores (n=15), this tool successfully shifted the business objective from "point prediction of single-store category proportion" to "risk grading and interval suggestions based on store type." By constructing a two-dimensional scoring system of "major category structure (Module B) + subdivided product lines (Module C)," we not only avoided the overfitting risk of small-sample regression but also provided quantitative guidance for new store product selection that combines scientific boundaries with flexible adjustment space.</w:t>
      </w:r>
    </w:p>
    <w:p w14:paraId="61D96934"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(2) The three-legged balance of the store ecosystem and the strategic positioning of the product line</w:t>
      </w:r>
    </w:p>
    <w:p w14:paraId="6CA5D737"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The data reveals three distinct structures within the current store ecosystem and clarifies the strategic focus for each core product line:</w:t>
      </w:r>
    </w:p>
    <w:p w14:paraId="313E4554"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Shoe-driven (basic):The vast majority (11 stores) are footwear stores. In these core stores, the Li-Ning Glory series (12%–34%) is an indispensable pillar of performance, the Gold Label series (1%–17%) serves as a distinctive supplement, and the National Team series is almost never featured.</w:t>
      </w:r>
    </w:p>
    <w:p w14:paraId="3CF6742B"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 xml:space="preserve">Balanced type (Honor's main base):Footwear and apparel are evenly distributed. These stores are the absolute dominant force for Li-Ning's Glory series (accounting for 30%–65%), while the Gold Label series also maintains a high level (7%–21%). This indicates that when the apparel category gains momentum, the Glory series has extremely strong explosive power and is essential for </w:t>
      </w:r>
      <w:r w:rsidRPr="00241164">
        <w:rPr>
          <w:rFonts w:eastAsia="宋体"/>
          <w:lang w:eastAsia="zh-CN"/>
        </w:rPr>
        <w:lastRenderedPageBreak/>
        <w:t>widespread distribution.</w:t>
      </w:r>
    </w:p>
    <w:p w14:paraId="55D3687E"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Specialized accessories/clothing (high-energy display window):Located in prime commercial areas with high customer traffic and a high percentage of Apple users, these stores not only have a high accessory sales rate, but also hold a dominant position for national team products (1%–3%), serving as a showcase for enhancing brand image and reaching high-net-worth customers.</w:t>
      </w:r>
    </w:p>
    <w:p w14:paraId="2A5C7F91"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(3) Precise mapping rules driven by business district characteristics</w:t>
      </w:r>
    </w:p>
    <w:p w14:paraId="3996B6B1"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Through nonparametric correlation analysis, the tool identified the core driving factors behind different product lines:</w:t>
      </w:r>
    </w:p>
    <w:p w14:paraId="65EB760C"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Li-Ning Glory Series (Y₆):The product line is highly dependent on apparel sales. In terms of customer demographics, this series demonstrates strong penetration in shopping districts with a high proportion of mature consumers aged 30-44 and Huawei phone users. It is recommended that in stores matching these customer characteristics and where apparel constitutes a significant portion of the merchandise, the proportion of the Honor series should be appropriately tilted towards the upper end of this range.</w:t>
      </w:r>
    </w:p>
    <w:p w14:paraId="151C8AB8"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Gold Label Series (Y₅):Also driven by the apparel category, and performing better in shopping districts with a high proportion of female customers, it can serve as an effective complement to the Honor series.</w:t>
      </w:r>
    </w:p>
    <w:p w14:paraId="03027EF4"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National Team Series (Y₄):Possessing strong attributes of "high potential and large customer flow," the National Team series complements the target customer profile of the Honor series. In shopping malls located in high-tier cities with dense surrounding working populations, large overall sales volume, and a customer base leaning towards Apple phone users, men, and salaried workers, the National Team series performs better, often accompanied by a high rate of accessory sales. It is recommended to ensure stable exposure of the National Team series in high-traffic, high-tier core business district stores.</w:t>
      </w:r>
    </w:p>
    <w:p w14:paraId="7E560970" w14:textId="7C5C4F73" w:rsidR="00241164" w:rsidRPr="00241164" w:rsidRDefault="00241164" w:rsidP="00923C4E">
      <w:pPr>
        <w:pStyle w:val="2"/>
        <w:ind w:right="0"/>
        <w:rPr>
          <w:lang w:eastAsia="zh-CN"/>
        </w:rPr>
      </w:pPr>
      <w:bookmarkStart w:id="32" w:name="_Toc229242130"/>
      <w:r w:rsidRPr="00241164">
        <w:rPr>
          <w:lang w:eastAsia="zh-CN"/>
        </w:rPr>
        <w:t>Execution Summary</w:t>
      </w:r>
      <w:bookmarkEnd w:id="32"/>
    </w:p>
    <w:p w14:paraId="45B50174"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Based on the output results of Module B (K-Means clustering for major product categories) and Module C (product line clustering + Spearman association analysis), combined with the original pop-up store sales data, consumer profile data and V12 commercial entity data, an operational new product category store product selection and grading scoring tool was constructed.</w:t>
      </w:r>
    </w:p>
    <w:p w14:paraId="4C058B0B" w14:textId="77777777" w:rsidR="00241164" w:rsidRPr="00241164" w:rsidRDefault="00241164" w:rsidP="00923C4E">
      <w:pPr>
        <w:pStyle w:val="a0"/>
        <w:spacing w:before="309" w:line="312" w:lineRule="auto"/>
        <w:ind w:left="311"/>
        <w:rPr>
          <w:rFonts w:eastAsia="宋体"/>
          <w:lang w:eastAsia="zh-CN"/>
        </w:rPr>
      </w:pPr>
      <w:r w:rsidRPr="00241164">
        <w:rPr>
          <w:rFonts w:eastAsia="宋体"/>
          <w:lang w:eastAsia="zh-CN"/>
        </w:rPr>
        <w:t xml:space="preserve">The core objective of the tool is to allow Li Ning's team to input six characteristics of a new </w:t>
      </w:r>
      <w:r w:rsidRPr="00241164">
        <w:rPr>
          <w:rFonts w:eastAsia="宋体"/>
          <w:lang w:eastAsia="zh-CN"/>
        </w:rPr>
        <w:lastRenderedPageBreak/>
        <w:t>shopping mall before opening a store, and within five minutes obtain a reference range for "which segment it belongs to, the recommended proportion of shoes/apparel/accessories, the recommended proportion of Honor/Gold Label/other product lines," as well as corresponding risk warnings.</w:t>
      </w:r>
    </w:p>
    <w:p w14:paraId="0BB3FEEA" w14:textId="77777777" w:rsidR="00241164" w:rsidRPr="00241164" w:rsidRDefault="00241164" w:rsidP="00923C4E">
      <w:pPr>
        <w:pStyle w:val="a0"/>
        <w:spacing w:before="309" w:line="312" w:lineRule="auto"/>
        <w:ind w:left="311"/>
        <w:rPr>
          <w:rFonts w:eastAsia="宋体"/>
          <w:b/>
          <w:bCs/>
          <w:lang w:eastAsia="zh-CN"/>
        </w:rPr>
      </w:pPr>
      <w:r w:rsidRPr="00241164">
        <w:rPr>
          <w:rFonts w:eastAsia="宋体"/>
          <w:b/>
          <w:bCs/>
          <w:lang w:eastAsia="zh-CN"/>
        </w:rPr>
        <w:t>Key findings</w:t>
      </w:r>
    </w:p>
    <w:p w14:paraId="1347094A" w14:textId="77777777" w:rsidR="00241164" w:rsidRPr="00241164" w:rsidRDefault="00241164" w:rsidP="00923C4E">
      <w:pPr>
        <w:pStyle w:val="a0"/>
        <w:spacing w:before="309" w:line="312" w:lineRule="auto"/>
        <w:ind w:left="311"/>
        <w:rPr>
          <w:rFonts w:eastAsia="宋体"/>
          <w:lang w:eastAsia="zh-CN"/>
        </w:rPr>
      </w:pPr>
      <w:r w:rsidRPr="00241164">
        <w:rPr>
          <w:rFonts w:eastAsia="宋体" w:hint="eastAsia"/>
          <w:lang w:eastAsia="zh-CN"/>
        </w:rPr>
        <w:t>•</w:t>
      </w:r>
      <w:r w:rsidRPr="00241164">
        <w:rPr>
          <w:rFonts w:eastAsia="宋体"/>
          <w:lang w:eastAsia="zh-CN"/>
        </w:rPr>
        <w:t xml:space="preserve"> The rating card divides the new shopping mall into three tiers: high-end (dominated by Honor), balanced, and mass-market (dominated by other series), with each tier corresponding to a different range of recommended product selection ratios.</w:t>
      </w:r>
    </w:p>
    <w:p w14:paraId="273C0ACA" w14:textId="77777777" w:rsidR="00241164" w:rsidRPr="00241164" w:rsidRDefault="00241164" w:rsidP="00923C4E">
      <w:pPr>
        <w:pStyle w:val="a0"/>
        <w:spacing w:before="309" w:line="312" w:lineRule="auto"/>
        <w:ind w:left="311"/>
        <w:rPr>
          <w:rFonts w:eastAsia="宋体"/>
          <w:lang w:eastAsia="zh-CN"/>
        </w:rPr>
      </w:pPr>
      <w:r w:rsidRPr="00241164">
        <w:rPr>
          <w:rFonts w:eastAsia="宋体" w:hint="eastAsia"/>
          <w:lang w:eastAsia="zh-CN"/>
        </w:rPr>
        <w:t>•</w:t>
      </w:r>
      <w:r w:rsidRPr="00241164">
        <w:rPr>
          <w:rFonts w:eastAsia="宋体"/>
          <w:lang w:eastAsia="zh-CN"/>
        </w:rPr>
        <w:t xml:space="preserve"> The quality filter was adjusted from Y7</w:t>
      </w:r>
      <w:r w:rsidRPr="00241164">
        <w:rPr>
          <w:rFonts w:eastAsia="宋体" w:hint="eastAsia"/>
          <w:lang w:eastAsia="zh-CN"/>
        </w:rPr>
        <w:t>≥</w:t>
      </w:r>
      <w:r w:rsidRPr="00241164">
        <w:rPr>
          <w:rFonts w:eastAsia="宋体"/>
          <w:lang w:eastAsia="zh-CN"/>
        </w:rPr>
        <w:t>0.95 to Y7</w:t>
      </w:r>
      <w:r w:rsidRPr="00241164">
        <w:rPr>
          <w:rFonts w:eastAsia="宋体" w:hint="eastAsia"/>
          <w:lang w:eastAsia="zh-CN"/>
        </w:rPr>
        <w:t>≥</w:t>
      </w:r>
      <w:r w:rsidRPr="00241164">
        <w:rPr>
          <w:rFonts w:eastAsia="宋体"/>
          <w:lang w:eastAsia="zh-CN"/>
        </w:rPr>
        <w:t>0.90, and the number of qualified reference stores was expanded from 6 to 14. The performance of the K-NN similar store search model has been significantly improved, and it has outperformed the scoring system in both the apparel and honor dimensions.</w:t>
      </w:r>
    </w:p>
    <w:p w14:paraId="4576B5FC" w14:textId="77777777" w:rsidR="00241164" w:rsidRPr="00241164" w:rsidRDefault="00241164" w:rsidP="00923C4E">
      <w:pPr>
        <w:pStyle w:val="a0"/>
        <w:spacing w:before="309" w:line="312" w:lineRule="auto"/>
        <w:ind w:left="311"/>
        <w:rPr>
          <w:rFonts w:eastAsia="宋体"/>
          <w:lang w:eastAsia="zh-CN"/>
        </w:rPr>
      </w:pPr>
      <w:r w:rsidRPr="00241164">
        <w:rPr>
          <w:rFonts w:eastAsia="宋体" w:hint="eastAsia"/>
          <w:lang w:eastAsia="zh-CN"/>
        </w:rPr>
        <w:t>•</w:t>
      </w:r>
      <w:r w:rsidRPr="00241164">
        <w:rPr>
          <w:rFonts w:eastAsia="宋体"/>
          <w:lang w:eastAsia="zh-CN"/>
        </w:rPr>
        <w:t xml:space="preserve"> The only statistically significant customer profile drivers for the Honor series (Y6) are: average daily customer traffic (r=0.574**), the proportion of customers aged 30-44 (r=0.625**), and the proportion of Huawei phones used (r=0.561**). It is worth noting that the main customer group driving Honor's sales is the mature 30-44 age group, rather than the 19-34 age group defined by the brand.</w:t>
      </w:r>
    </w:p>
    <w:p w14:paraId="76304CC6" w14:textId="77777777" w:rsidR="00241164" w:rsidRPr="00241164" w:rsidRDefault="00241164" w:rsidP="00923C4E">
      <w:pPr>
        <w:pStyle w:val="a0"/>
        <w:spacing w:before="309" w:line="312" w:lineRule="auto"/>
        <w:ind w:left="311"/>
        <w:rPr>
          <w:rFonts w:eastAsia="宋体"/>
          <w:lang w:eastAsia="zh-CN"/>
        </w:rPr>
      </w:pPr>
      <w:r w:rsidRPr="00241164">
        <w:rPr>
          <w:rFonts w:eastAsia="宋体" w:hint="eastAsia"/>
          <w:lang w:eastAsia="zh-CN"/>
        </w:rPr>
        <w:t>•</w:t>
      </w:r>
      <w:r w:rsidRPr="00241164">
        <w:rPr>
          <w:rFonts w:eastAsia="宋体"/>
          <w:lang w:eastAsia="zh-CN"/>
        </w:rPr>
        <w:t xml:space="preserve"> The correlation between the Gold Label series (Y5) and all profile features is below 0.40. The driving factors are at the level of display location and sales guidance strategy, which cannot be captured by the current dataset. The Gold Label allocation ratio is recommended to have the lowest confidence and should be dynamically adjusted after opening.</w:t>
      </w:r>
    </w:p>
    <w:p w14:paraId="6C06A601" w14:textId="35FE4C07" w:rsidR="00241164" w:rsidRDefault="00241164" w:rsidP="00923C4E">
      <w:pPr>
        <w:pStyle w:val="a0"/>
        <w:spacing w:before="309" w:line="312" w:lineRule="auto"/>
        <w:ind w:left="311"/>
        <w:rPr>
          <w:rFonts w:eastAsia="宋体"/>
          <w:lang w:eastAsia="zh-CN"/>
        </w:rPr>
      </w:pPr>
      <w:r w:rsidRPr="00241164">
        <w:rPr>
          <w:rFonts w:eastAsia="宋体" w:hint="eastAsia"/>
          <w:lang w:eastAsia="zh-CN"/>
        </w:rPr>
        <w:t>•</w:t>
      </w:r>
      <w:r w:rsidRPr="00241164">
        <w:rPr>
          <w:rFonts w:eastAsia="宋体"/>
          <w:lang w:eastAsia="zh-CN"/>
        </w:rPr>
        <w:t xml:space="preserve"> The GBM point prediction error for accessories is LOO-MAE=0.70pp, which is the smallest error among the 6 categories and can be used as a reference for the magnitude.</w:t>
      </w:r>
    </w:p>
    <w:p w14:paraId="75833378" w14:textId="4D1DE730" w:rsidR="007437FB" w:rsidRDefault="007437FB" w:rsidP="00923C4E">
      <w:pPr>
        <w:pStyle w:val="2"/>
        <w:ind w:right="0"/>
        <w:rPr>
          <w:lang w:eastAsia="zh-CN"/>
        </w:rPr>
      </w:pPr>
      <w:bookmarkStart w:id="33" w:name="_Toc229242131"/>
      <w:r w:rsidRPr="007437FB">
        <w:rPr>
          <w:lang w:eastAsia="zh-CN"/>
        </w:rPr>
        <w:t>Methodological Framework</w:t>
      </w:r>
      <w:bookmarkEnd w:id="33"/>
    </w:p>
    <w:p w14:paraId="58D9170F" w14:textId="0BA0C2E6" w:rsidR="00BD40EE" w:rsidRPr="00BD40EE" w:rsidRDefault="00BD40EE" w:rsidP="00923C4E">
      <w:pPr>
        <w:pStyle w:val="3"/>
        <w:ind w:right="0"/>
        <w:rPr>
          <w:rFonts w:eastAsia="宋体"/>
          <w:lang w:eastAsia="zh-CN"/>
        </w:rPr>
      </w:pPr>
      <w:r w:rsidRPr="00BD40EE">
        <w:rPr>
          <w:rFonts w:eastAsia="宋体"/>
          <w:lang w:eastAsia="zh-CN"/>
        </w:rPr>
        <w:t>Overall Logic</w:t>
      </w:r>
    </w:p>
    <w:p w14:paraId="1B5671AB" w14:textId="77777777" w:rsidR="00BD40EE" w:rsidRPr="00BD40EE" w:rsidRDefault="00BD40EE" w:rsidP="00923C4E">
      <w:pPr>
        <w:pStyle w:val="a0"/>
        <w:spacing w:before="309" w:line="312" w:lineRule="auto"/>
        <w:ind w:left="311"/>
        <w:rPr>
          <w:rFonts w:eastAsia="宋体"/>
          <w:lang w:eastAsia="zh-CN"/>
        </w:rPr>
      </w:pPr>
      <w:r w:rsidRPr="00BD40EE">
        <w:rPr>
          <w:rFonts w:eastAsia="宋体"/>
          <w:lang w:eastAsia="zh-CN"/>
        </w:rPr>
        <w:t>The core problem of module D is: given the characteristics of a new shopping mall, how to recommend a reasonable product selection ratio? The tool adopts a two-step progressive approach:</w:t>
      </w:r>
    </w:p>
    <w:p w14:paraId="5E537114" w14:textId="77777777" w:rsidR="00BD40EE" w:rsidRPr="00BD40EE" w:rsidRDefault="00BD40EE" w:rsidP="00923C4E">
      <w:pPr>
        <w:pStyle w:val="a0"/>
        <w:spacing w:before="309" w:line="312" w:lineRule="auto"/>
        <w:ind w:left="311"/>
        <w:rPr>
          <w:rFonts w:eastAsia="宋体"/>
          <w:lang w:eastAsia="zh-CN"/>
        </w:rPr>
      </w:pPr>
      <w:r w:rsidRPr="00BD40EE">
        <w:rPr>
          <w:rFonts w:eastAsia="宋体" w:hint="eastAsia"/>
          <w:lang w:eastAsia="zh-CN"/>
        </w:rPr>
        <w:t>•</w:t>
      </w:r>
      <w:r w:rsidRPr="00BD40EE">
        <w:rPr>
          <w:rFonts w:eastAsia="宋体"/>
          <w:lang w:eastAsia="zh-CN"/>
        </w:rPr>
        <w:t xml:space="preserve"> Step 1 (Scoring Card): Convert the six profile features of the new shopping mall into a comprehensive score between 1.00 and 3.00, and divide them into three levels (high-</w:t>
      </w:r>
      <w:r w:rsidRPr="00BD40EE">
        <w:rPr>
          <w:rFonts w:eastAsia="宋体"/>
          <w:lang w:eastAsia="zh-CN"/>
        </w:rPr>
        <w:lastRenderedPageBreak/>
        <w:t>end/balanced/mass-market) based on the tertiary threshold. The scoring card is a simplified tool suitable for quick assessment.</w:t>
      </w:r>
    </w:p>
    <w:p w14:paraId="422602CD" w14:textId="77777777" w:rsidR="00BD40EE" w:rsidRPr="00BD40EE" w:rsidRDefault="00BD40EE" w:rsidP="00923C4E">
      <w:pPr>
        <w:pStyle w:val="a0"/>
        <w:spacing w:before="309" w:line="312" w:lineRule="auto"/>
        <w:ind w:left="311"/>
        <w:rPr>
          <w:rFonts w:eastAsia="宋体"/>
          <w:lang w:eastAsia="zh-CN"/>
        </w:rPr>
      </w:pPr>
      <w:r w:rsidRPr="00BD40EE">
        <w:rPr>
          <w:rFonts w:eastAsia="宋体" w:hint="eastAsia"/>
          <w:lang w:eastAsia="zh-CN"/>
        </w:rPr>
        <w:t>•</w:t>
      </w:r>
      <w:r w:rsidRPr="00BD40EE">
        <w:rPr>
          <w:rFonts w:eastAsia="宋体"/>
          <w:lang w:eastAsia="zh-CN"/>
        </w:rPr>
        <w:t xml:space="preserve"> The second step (K-NN similar store search): Find the historical stores most similar to the new shopping mall in the feature space, directly using the proportion data of these similar stores as a reference. K-NN is the core method, which does not rely on manual threshold segmentation and has more rigorous logic.</w:t>
      </w:r>
    </w:p>
    <w:p w14:paraId="474659F3" w14:textId="77777777" w:rsidR="00BD40EE" w:rsidRPr="00BD40EE" w:rsidRDefault="00BD40EE" w:rsidP="00923C4E">
      <w:pPr>
        <w:pStyle w:val="a0"/>
        <w:spacing w:before="309" w:line="312" w:lineRule="auto"/>
        <w:ind w:left="311"/>
        <w:rPr>
          <w:rFonts w:eastAsia="宋体"/>
          <w:lang w:eastAsia="zh-CN"/>
        </w:rPr>
      </w:pPr>
      <w:r w:rsidRPr="00BD40EE">
        <w:rPr>
          <w:rFonts w:eastAsia="宋体"/>
          <w:lang w:eastAsia="zh-CN"/>
        </w:rPr>
        <w:t>The two methods are used in parallel. When the two methods reach the same conclusion, the result can be adopted with confidence. When the two methods differ, the result of K-NN shall prevail and manual review shall be triggered.</w:t>
      </w:r>
    </w:p>
    <w:p w14:paraId="181CCFCA" w14:textId="2E8A93E2" w:rsidR="00BD40EE" w:rsidRPr="00BD40EE" w:rsidRDefault="00BD40EE" w:rsidP="00923C4E">
      <w:pPr>
        <w:pStyle w:val="3"/>
        <w:ind w:right="0"/>
        <w:rPr>
          <w:rFonts w:eastAsia="宋体"/>
          <w:lang w:eastAsia="zh-CN"/>
        </w:rPr>
      </w:pPr>
      <w:r w:rsidRPr="00BD40EE">
        <w:rPr>
          <w:rFonts w:eastAsia="宋体"/>
          <w:lang w:eastAsia="zh-CN"/>
        </w:rPr>
        <w:t>Prerequisite: Quality Filtration</w:t>
      </w:r>
    </w:p>
    <w:p w14:paraId="245C3E25" w14:textId="77777777" w:rsidR="00BD40EE" w:rsidRPr="00BD40EE" w:rsidRDefault="00BD40EE" w:rsidP="00923C4E">
      <w:pPr>
        <w:pStyle w:val="a0"/>
        <w:spacing w:before="309" w:line="312" w:lineRule="auto"/>
        <w:ind w:left="311"/>
        <w:rPr>
          <w:rFonts w:eastAsia="宋体"/>
          <w:lang w:eastAsia="zh-CN"/>
        </w:rPr>
      </w:pPr>
      <w:r w:rsidRPr="00BD40EE">
        <w:rPr>
          <w:rFonts w:eastAsia="宋体"/>
          <w:lang w:eastAsia="zh-CN"/>
        </w:rPr>
        <w:t>Historical store mix data reflects "what actually happened," not "what should have been done." If a historical store is having a large-scale clearance sale, its mix structure is unreliable and should not be used as a reference.</w:t>
      </w:r>
    </w:p>
    <w:p w14:paraId="1B2E3125" w14:textId="0ED555EF" w:rsidR="00BD40EE" w:rsidRDefault="00BD40EE" w:rsidP="00923C4E">
      <w:pPr>
        <w:pStyle w:val="a0"/>
        <w:spacing w:before="309" w:line="312" w:lineRule="auto"/>
        <w:ind w:left="311"/>
        <w:rPr>
          <w:rFonts w:eastAsia="宋体"/>
          <w:lang w:eastAsia="zh-CN"/>
        </w:rPr>
      </w:pPr>
      <w:r w:rsidRPr="00BD40EE">
        <w:rPr>
          <w:rFonts w:eastAsia="宋体"/>
          <w:lang w:eastAsia="zh-CN"/>
        </w:rPr>
        <w:t xml:space="preserve">Filtering criteria: Tag fulfillment rate Y7 (actual sales revenue ÷ tag price sales revenue) </w:t>
      </w:r>
      <w:r w:rsidRPr="00BD40EE">
        <w:rPr>
          <w:rFonts w:eastAsia="宋体" w:hint="eastAsia"/>
          <w:lang w:eastAsia="zh-CN"/>
        </w:rPr>
        <w:t>≥</w:t>
      </w:r>
      <w:r w:rsidRPr="00BD40EE">
        <w:rPr>
          <w:rFonts w:eastAsia="宋体"/>
          <w:lang w:eastAsia="zh-CN"/>
        </w:rPr>
        <w:t xml:space="preserve"> 0.90, meaning at least 90% of the goods are sold at full price. A low Y7 indicates a mismatch between the sales volume and customer demand, resulting in unsold inventory being cleared out through discounts. Currently, among the 15 stores, only Sanlitun in Beijing (Y7=0.842) does not meet the criteria, and the remaining 14 stores are in the K-NN candidate pool.</w:t>
      </w:r>
    </w:p>
    <w:p w14:paraId="04CF98C4" w14:textId="4EECA3D7" w:rsidR="00BD40EE" w:rsidRPr="00241164" w:rsidRDefault="00BD40EE" w:rsidP="00923C4E">
      <w:pPr>
        <w:pStyle w:val="2"/>
        <w:ind w:right="0"/>
        <w:rPr>
          <w:lang w:eastAsia="zh-CN"/>
        </w:rPr>
      </w:pPr>
      <w:bookmarkStart w:id="34" w:name="_Toc229242132"/>
      <w:r w:rsidRPr="00BD40EE">
        <w:rPr>
          <w:lang w:eastAsia="zh-CN"/>
        </w:rPr>
        <w:t>Scoring Card Design: D. Method for Generating the Total Score</w:t>
      </w:r>
      <w:bookmarkEnd w:id="34"/>
    </w:p>
    <w:p w14:paraId="65D0E654" w14:textId="0EC23130" w:rsidR="00BD40EE" w:rsidRPr="00BD40EE" w:rsidRDefault="00BD40EE" w:rsidP="00923C4E">
      <w:pPr>
        <w:pStyle w:val="3"/>
        <w:ind w:right="0"/>
        <w:rPr>
          <w:rFonts w:eastAsia="宋体"/>
          <w:lang w:eastAsia="zh-CN"/>
        </w:rPr>
      </w:pPr>
      <w:r w:rsidRPr="00BD40EE">
        <w:rPr>
          <w:rFonts w:eastAsia="宋体"/>
          <w:lang w:eastAsia="zh-CN"/>
        </w:rPr>
        <w:t>Six scoring dimensions and their weights</w:t>
      </w:r>
    </w:p>
    <w:p w14:paraId="1A210759" w14:textId="77777777" w:rsidR="00BD40EE" w:rsidRPr="00BD40EE" w:rsidRDefault="00BD40EE" w:rsidP="00923C4E">
      <w:pPr>
        <w:pStyle w:val="a0"/>
        <w:spacing w:before="309" w:line="312" w:lineRule="auto"/>
        <w:ind w:left="311"/>
        <w:rPr>
          <w:rFonts w:eastAsia="宋体"/>
          <w:lang w:eastAsia="zh-CN"/>
        </w:rPr>
      </w:pPr>
      <w:r w:rsidRPr="00BD40EE">
        <w:rPr>
          <w:rFonts w:eastAsia="宋体"/>
          <w:lang w:eastAsia="zh-CN"/>
        </w:rPr>
        <w:t>The scoring card selects 6 mall profile features as scoring dimensions. Each feature is divided into three levels: high, medium, and low based on the ternary values   of the historical data of 15 stores, and scores 3, 2, and 1 points respectively. After multiplying by the weights, the scores are summed to obtain a comprehensive score (D total score) between 1.00 and 3.00.</w:t>
      </w:r>
    </w:p>
    <w:p w14:paraId="78F995B6" w14:textId="0023AB37" w:rsidR="00BD40EE" w:rsidRDefault="00BD40EE" w:rsidP="00923C4E">
      <w:pPr>
        <w:pStyle w:val="a0"/>
        <w:spacing w:before="309" w:line="312" w:lineRule="auto"/>
        <w:ind w:left="311"/>
        <w:rPr>
          <w:rFonts w:eastAsia="宋体"/>
          <w:lang w:eastAsia="zh-CN"/>
        </w:rPr>
      </w:pPr>
      <w:r w:rsidRPr="00BD40EE">
        <w:rPr>
          <w:rFonts w:eastAsia="宋体"/>
          <w:lang w:eastAsia="zh-CN"/>
        </w:rPr>
        <w:t xml:space="preserve">Weights are determined by combining the direction of the coefficients from the OLS/Ridge regression in Module B (which reflects which features can distinguish the structural types of major categories) and the Spearman correlation coefficients in Module C (which reflects which features are related to the proportion of product lines), and then adjusting them based on business </w:t>
      </w:r>
      <w:r w:rsidRPr="00BD40EE">
        <w:rPr>
          <w:rFonts w:eastAsia="宋体"/>
          <w:lang w:eastAsia="zh-CN"/>
        </w:rPr>
        <w:lastRenderedPageBreak/>
        <w:t>judgments.</w:t>
      </w:r>
    </w:p>
    <w:tbl>
      <w:tblPr>
        <w:tblW w:w="10773" w:type="dxa"/>
        <w:tblInd w:w="-427" w:type="dxa"/>
        <w:tblLayout w:type="fixed"/>
        <w:tblCellMar>
          <w:top w:w="15" w:type="dxa"/>
          <w:left w:w="15" w:type="dxa"/>
          <w:bottom w:w="15" w:type="dxa"/>
          <w:right w:w="15" w:type="dxa"/>
        </w:tblCellMar>
        <w:tblLook w:val="04A0" w:firstRow="1" w:lastRow="0" w:firstColumn="1" w:lastColumn="0" w:noHBand="0" w:noVBand="1"/>
      </w:tblPr>
      <w:tblGrid>
        <w:gridCol w:w="1134"/>
        <w:gridCol w:w="1560"/>
        <w:gridCol w:w="992"/>
        <w:gridCol w:w="992"/>
        <w:gridCol w:w="992"/>
        <w:gridCol w:w="1134"/>
        <w:gridCol w:w="3969"/>
      </w:tblGrid>
      <w:tr w:rsidR="00BD40EE" w:rsidRPr="00BD40EE" w14:paraId="6B1C00F4" w14:textId="77777777" w:rsidTr="00A83861">
        <w:trPr>
          <w:trHeight w:val="795"/>
        </w:trPr>
        <w:tc>
          <w:tcPr>
            <w:tcW w:w="1134"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454A4D06"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Serial Number</w:t>
            </w:r>
          </w:p>
        </w:tc>
        <w:tc>
          <w:tcPr>
            <w:tcW w:w="156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4E79B4D2"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Rating Dimensions</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E1ACDB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Weight</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55358EC"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High-end → 3 points</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79873557"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Mid-range → 2 points</w:t>
            </w:r>
          </w:p>
        </w:tc>
        <w:tc>
          <w:tcPr>
            <w:tcW w:w="1134"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316421E"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Low grade → 1 point</w:t>
            </w:r>
          </w:p>
        </w:tc>
        <w:tc>
          <w:tcPr>
            <w:tcW w:w="3969"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17F347F3"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b/>
                <w:bCs/>
                <w:color w:val="FFFFFF"/>
                <w:sz w:val="24"/>
                <w:szCs w:val="24"/>
                <w:lang w:eastAsia="zh-CN"/>
              </w:rPr>
              <w:t>Weight setting basis</w:t>
            </w:r>
          </w:p>
        </w:tc>
      </w:tr>
      <w:tr w:rsidR="00BD40EE" w:rsidRPr="00BD40EE" w14:paraId="205F3D66" w14:textId="77777777" w:rsidTr="00A83861">
        <w:trPr>
          <w:trHeight w:val="1530"/>
        </w:trPr>
        <w:tc>
          <w:tcPr>
            <w:tcW w:w="1134"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2C5D7C04"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t>①</w:t>
            </w:r>
          </w:p>
        </w:tc>
        <w:tc>
          <w:tcPr>
            <w:tcW w:w="156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96B642C"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Consumer spending power index</w:t>
            </w:r>
          </w:p>
          <w:p w14:paraId="47EEA0BC"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(5 millionaires + 3 middle-class + 2 well-off)</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8992158"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25%</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5A0E6A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 2.144</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8BDDC5A"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1.929–2.144</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6BB454F"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&lt; 1.929</w:t>
            </w:r>
          </w:p>
        </w:tc>
        <w:tc>
          <w:tcPr>
            <w:tcW w:w="396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95EAEA8"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Module B's OLS coefficients are aligned in the same direction; Module C focuses on the core drivers of consumer quality across each product line; the highest weight reflects that product selection quality takes precedence over scale.</w:t>
            </w:r>
          </w:p>
        </w:tc>
      </w:tr>
      <w:tr w:rsidR="00BD40EE" w:rsidRPr="00BD40EE" w14:paraId="723600EC" w14:textId="77777777" w:rsidTr="00A83861">
        <w:trPr>
          <w:trHeight w:val="1785"/>
        </w:trPr>
        <w:tc>
          <w:tcPr>
            <w:tcW w:w="1134" w:type="dxa"/>
            <w:tcBorders>
              <w:top w:val="single" w:sz="4" w:space="0" w:color="A0A9B0"/>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00C327C8"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t>②</w:t>
            </w:r>
          </w:p>
        </w:tc>
        <w:tc>
          <w:tcPr>
            <w:tcW w:w="156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9D9E032"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Young customer index (total percentage of customers aged 19–34)</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67AD561"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20%</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158A8CF"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 0.657</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150B403"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0.641–0.657</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016B460"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&lt; 0.641</w:t>
            </w:r>
          </w:p>
        </w:tc>
        <w:tc>
          <w:tcPr>
            <w:tcW w:w="396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1212B1A7"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The direct definition of the target customer group for the Honor series; the Spearman data signal is weak (r=0.08), but the business logic is strong, so it retains a high weight.</w:t>
            </w:r>
          </w:p>
        </w:tc>
      </w:tr>
      <w:tr w:rsidR="00BD40EE" w:rsidRPr="00BD40EE" w14:paraId="63DFB9A0" w14:textId="77777777" w:rsidTr="00A83861">
        <w:trPr>
          <w:trHeight w:val="1530"/>
        </w:trPr>
        <w:tc>
          <w:tcPr>
            <w:tcW w:w="1134" w:type="dxa"/>
            <w:tcBorders>
              <w:top w:val="single" w:sz="4" w:space="0" w:color="A0A9B0"/>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1CCE52DA"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t>③</w:t>
            </w:r>
          </w:p>
        </w:tc>
        <w:tc>
          <w:tcPr>
            <w:tcW w:w="156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24D2513"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Apple iPhone market share</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494265D"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20%</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2909D2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 13.4%</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0EA5D3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10.2%–13.4%</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A075569"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&lt; 10.2%</w:t>
            </w:r>
          </w:p>
        </w:tc>
        <w:tc>
          <w:tcPr>
            <w:tcW w:w="396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66460B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This serves as a proxy indicator for consumer willingness and purchasing power; complementing the consumer spending power index, together they cover 45% of the "whether one has money and is willing to spend" factor.</w:t>
            </w:r>
          </w:p>
        </w:tc>
      </w:tr>
      <w:tr w:rsidR="00BD40EE" w:rsidRPr="00BD40EE" w14:paraId="5FA5D486" w14:textId="77777777" w:rsidTr="00A83861">
        <w:trPr>
          <w:trHeight w:val="1530"/>
        </w:trPr>
        <w:tc>
          <w:tcPr>
            <w:tcW w:w="1134" w:type="dxa"/>
            <w:tcBorders>
              <w:top w:val="single" w:sz="4" w:space="0" w:color="A0A9B0"/>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18E12B35"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t>④</w:t>
            </w:r>
          </w:p>
        </w:tc>
        <w:tc>
          <w:tcPr>
            <w:tcW w:w="156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143624E"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Average daily customer traffic at the shopping mall (February 2026)</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11EF9D7"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15%</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C638D16"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 51,543</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22878FC"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43,801–51,543</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5B615E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&lt; 43,801</w:t>
            </w:r>
          </w:p>
        </w:tc>
        <w:tc>
          <w:tcPr>
            <w:tcW w:w="396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5739EF5"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Module C has the only statistically significant feature (r=0.574**); however, it measures scale rather than quality, so the weighting was proactively lowered to 15% to prevent the rating from being dominated by customer flow.</w:t>
            </w:r>
          </w:p>
        </w:tc>
      </w:tr>
      <w:tr w:rsidR="00BD40EE" w:rsidRPr="00BD40EE" w14:paraId="48FC65C5" w14:textId="77777777" w:rsidTr="00A83861">
        <w:trPr>
          <w:trHeight w:val="1530"/>
        </w:trPr>
        <w:tc>
          <w:tcPr>
            <w:tcW w:w="1134" w:type="dxa"/>
            <w:tcBorders>
              <w:top w:val="single" w:sz="4" w:space="0" w:color="A0A9B0"/>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77D7095E"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t>⑤</w:t>
            </w:r>
          </w:p>
        </w:tc>
        <w:tc>
          <w:tcPr>
            <w:tcW w:w="156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F8F628C"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City-level tiers (first-tier = 4, strong second-tier = 3...)</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AC45108"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10%</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8654DEA"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First-tier (≥ 3.5)</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16AD1B7"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Strong second-tier (2.5–3.5)</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9FC2CCE"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Second-tier and below (&lt; 2.5)</w:t>
            </w:r>
          </w:p>
        </w:tc>
        <w:tc>
          <w:tcPr>
            <w:tcW w:w="396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A4F8DB7"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Module B's OLS direction is stable and positive; macro-anchored variables; the 15 sample companies are mainly first-tier/strong second-tier cities, with limited differentiation, so 10% is reasonable.</w:t>
            </w:r>
          </w:p>
        </w:tc>
      </w:tr>
      <w:tr w:rsidR="00BD40EE" w:rsidRPr="00BD40EE" w14:paraId="3142B179" w14:textId="77777777" w:rsidTr="00A83861">
        <w:trPr>
          <w:trHeight w:val="1530"/>
        </w:trPr>
        <w:tc>
          <w:tcPr>
            <w:tcW w:w="1134" w:type="dxa"/>
            <w:tcBorders>
              <w:top w:val="single" w:sz="4" w:space="0" w:color="A0A9B0"/>
              <w:left w:val="single" w:sz="12" w:space="0" w:color="auto"/>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15D90A90"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ascii="Cambria Math" w:eastAsia="微软雅黑" w:hAnsi="Cambria Math" w:cs="Cambria Math"/>
                <w:color w:val="1A1A1A"/>
                <w:sz w:val="24"/>
                <w:szCs w:val="24"/>
                <w:lang w:eastAsia="zh-CN"/>
              </w:rPr>
              <w:lastRenderedPageBreak/>
              <w:t>⑥</w:t>
            </w:r>
          </w:p>
        </w:tc>
        <w:tc>
          <w:tcPr>
            <w:tcW w:w="1560" w:type="dxa"/>
            <w:tcBorders>
              <w:top w:val="single" w:sz="4" w:space="0" w:color="BDC3C7"/>
              <w:left w:val="single" w:sz="4" w:space="0" w:color="A0A9B0"/>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4277018A"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High-end competitors exist</w:t>
            </w:r>
          </w:p>
          <w:p w14:paraId="6A82F30E" w14:textId="77777777" w:rsidR="00BD40EE" w:rsidRPr="00A83861" w:rsidRDefault="00BD40EE" w:rsidP="00923C4E">
            <w:pPr>
              <w:widowControl/>
              <w:autoSpaceDE/>
              <w:autoSpaceDN/>
              <w:spacing w:before="40" w:after="40"/>
              <w:ind w:left="-40"/>
              <w:jc w:val="center"/>
              <w:rPr>
                <w:rFonts w:eastAsia="等线"/>
                <w:sz w:val="24"/>
                <w:szCs w:val="24"/>
                <w:lang w:eastAsia="zh-CN"/>
              </w:rPr>
            </w:pPr>
            <w:r w:rsidRPr="00A83861">
              <w:rPr>
                <w:rFonts w:eastAsia="微软雅黑"/>
                <w:color w:val="1A1A1A"/>
                <w:sz w:val="24"/>
                <w:szCs w:val="24"/>
                <w:lang w:eastAsia="zh-CN"/>
              </w:rPr>
              <w:t>(Archaeopteryx/KOLON/lululemon)</w:t>
            </w:r>
          </w:p>
        </w:tc>
        <w:tc>
          <w:tcPr>
            <w:tcW w:w="992"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3CB35DD1"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10%</w:t>
            </w:r>
          </w:p>
        </w:tc>
        <w:tc>
          <w:tcPr>
            <w:tcW w:w="992"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4822ECD2"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Yes (=1)</w:t>
            </w:r>
          </w:p>
        </w:tc>
        <w:tc>
          <w:tcPr>
            <w:tcW w:w="992"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7EE42294"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w:t>
            </w:r>
          </w:p>
        </w:tc>
        <w:tc>
          <w:tcPr>
            <w:tcW w:w="1134"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110F965B"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None (=0)</w:t>
            </w:r>
          </w:p>
        </w:tc>
        <w:tc>
          <w:tcPr>
            <w:tcW w:w="3969" w:type="dxa"/>
            <w:tcBorders>
              <w:top w:val="single" w:sz="4" w:space="0" w:color="BDC3C7"/>
              <w:left w:val="single" w:sz="4" w:space="0" w:color="BDC3C7"/>
              <w:bottom w:val="single" w:sz="12" w:space="0" w:color="auto"/>
              <w:right w:val="single" w:sz="12" w:space="0" w:color="auto"/>
            </w:tcBorders>
            <w:shd w:val="clear" w:color="auto" w:fill="FFFFFF"/>
            <w:tcMar>
              <w:top w:w="100" w:type="dxa"/>
              <w:left w:w="140" w:type="dxa"/>
              <w:bottom w:w="100" w:type="dxa"/>
              <w:right w:w="140" w:type="dxa"/>
            </w:tcMar>
            <w:vAlign w:val="center"/>
            <w:hideMark/>
          </w:tcPr>
          <w:p w14:paraId="1E07EE03" w14:textId="77777777" w:rsidR="00BD40EE" w:rsidRPr="00BD40EE" w:rsidRDefault="00BD40EE" w:rsidP="00923C4E">
            <w:pPr>
              <w:widowControl/>
              <w:autoSpaceDE/>
              <w:autoSpaceDN/>
              <w:spacing w:before="40" w:after="40"/>
              <w:ind w:left="-40"/>
              <w:jc w:val="center"/>
              <w:rPr>
                <w:rFonts w:eastAsia="等线"/>
                <w:sz w:val="24"/>
                <w:szCs w:val="24"/>
                <w:lang w:eastAsia="zh-CN"/>
              </w:rPr>
            </w:pPr>
            <w:r w:rsidRPr="00BD40EE">
              <w:rPr>
                <w:rFonts w:eastAsia="微软雅黑"/>
                <w:color w:val="1A1A1A"/>
                <w:sz w:val="24"/>
                <w:szCs w:val="24"/>
                <w:lang w:eastAsia="zh-CN"/>
              </w:rPr>
              <w:t>0/1 is a binary variable, inherently with low distinguishability; the presence of high-end competitors indicates that the overall positioning of the business district is high-end, retaining only supplementary reference value.</w:t>
            </w:r>
          </w:p>
        </w:tc>
      </w:tr>
    </w:tbl>
    <w:p w14:paraId="6BA11A16" w14:textId="55868761" w:rsidR="00BD40EE" w:rsidRPr="00BD40EE" w:rsidRDefault="00BD40EE" w:rsidP="00923C4E">
      <w:pPr>
        <w:pStyle w:val="3"/>
        <w:ind w:right="0"/>
        <w:rPr>
          <w:rFonts w:eastAsia="宋体"/>
          <w:lang w:eastAsia="zh-CN"/>
        </w:rPr>
      </w:pPr>
      <w:r w:rsidRPr="00BD40EE">
        <w:rPr>
          <w:rFonts w:eastAsia="宋体"/>
          <w:lang w:eastAsia="zh-CN"/>
        </w:rPr>
        <w:t>Calculation Steps (Taking Zhengzhou Zhenghong City as an Example)</w:t>
      </w:r>
    </w:p>
    <w:p w14:paraId="671E243E" w14:textId="37C8D260" w:rsidR="00BD40EE" w:rsidRPr="00BD40EE" w:rsidRDefault="00BD40EE" w:rsidP="00923C4E">
      <w:pPr>
        <w:pStyle w:val="a0"/>
        <w:spacing w:before="309" w:line="312" w:lineRule="auto"/>
        <w:ind w:left="311"/>
        <w:rPr>
          <w:rFonts w:eastAsia="宋体"/>
          <w:lang w:eastAsia="zh-CN"/>
        </w:rPr>
      </w:pPr>
      <w:r w:rsidRPr="00BD40EE">
        <w:rPr>
          <w:rFonts w:eastAsia="宋体"/>
          <w:lang w:eastAsia="zh-CN"/>
        </w:rPr>
        <w:t>The following shows the complete scoring calculation process for Zhengzhou Zhenghong City, making it easier to understand the logic behind generating the D total score: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416"/>
        <w:gridCol w:w="1276"/>
        <w:gridCol w:w="992"/>
        <w:gridCol w:w="1044"/>
        <w:gridCol w:w="1182"/>
        <w:gridCol w:w="2027"/>
        <w:gridCol w:w="1984"/>
      </w:tblGrid>
      <w:tr w:rsidR="00BD40EE" w:rsidRPr="005D74E9" w14:paraId="2D7D57DE" w14:textId="77777777" w:rsidTr="00A83861">
        <w:trPr>
          <w:trHeight w:val="1290"/>
        </w:trPr>
        <w:tc>
          <w:tcPr>
            <w:tcW w:w="1416"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189EF762"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Serial Number</w:t>
            </w:r>
          </w:p>
        </w:tc>
        <w:tc>
          <w:tcPr>
            <w:tcW w:w="1276"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58528F2"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feature</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00808430"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Weight</w:t>
            </w:r>
          </w:p>
        </w:tc>
        <w:tc>
          <w:tcPr>
            <w:tcW w:w="1044"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D5BE8B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actual value</w:t>
            </w:r>
          </w:p>
        </w:tc>
        <w:tc>
          <w:tcPr>
            <w:tcW w:w="118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9FBDF65"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Gear determination</w:t>
            </w:r>
          </w:p>
        </w:tc>
        <w:tc>
          <w:tcPr>
            <w:tcW w:w="2027"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3EB5F0F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Score × Weight</w:t>
            </w:r>
          </w:p>
        </w:tc>
        <w:tc>
          <w:tcPr>
            <w:tcW w:w="1984"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64EB2F2A"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Judgment Explanation</w:t>
            </w:r>
          </w:p>
        </w:tc>
      </w:tr>
      <w:tr w:rsidR="00BD40EE" w:rsidRPr="005D74E9" w14:paraId="15FA0EA2" w14:textId="77777777" w:rsidTr="00A83861">
        <w:trPr>
          <w:trHeight w:val="806"/>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CA0B1EC"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①</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BD66F2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Consumer spending power index</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C72B20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25%</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725DE91"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2.32</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2D8108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upscale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5FFF40C"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3 × 25% = 0.75</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07424FB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2.32 ≥ 2.144, High-end</w:t>
            </w:r>
          </w:p>
        </w:tc>
      </w:tr>
      <w:tr w:rsidR="00BD40EE" w:rsidRPr="005D74E9" w14:paraId="248509C3" w14:textId="77777777" w:rsidTr="00A83861">
        <w:trPr>
          <w:trHeight w:val="400"/>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51011D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②</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488B59A"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Young Customer Index</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BABA8A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20%</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371714D"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0.712</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21442A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upscale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E4DFCE6"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3 × 20% = 0.60</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70EBE38A"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0.712 ≥ 0.657, high-end</w:t>
            </w:r>
          </w:p>
        </w:tc>
      </w:tr>
      <w:tr w:rsidR="00BD40EE" w:rsidRPr="005D74E9" w14:paraId="67B326D5" w14:textId="77777777" w:rsidTr="00A83861">
        <w:trPr>
          <w:trHeight w:val="558"/>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ED45595"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③</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2E40381"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Apple iPhone market share</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067458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20%</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4E41C52"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13.2%</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E1F576C"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Mid-range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36997B6"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 × 20% = 0.40</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74EDF3E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10.2% ≤ 13.2% &lt; 13.4%, mid-range</w:t>
            </w:r>
          </w:p>
        </w:tc>
      </w:tr>
      <w:tr w:rsidR="00BD40EE" w:rsidRPr="005D74E9" w14:paraId="75E5419D" w14:textId="77777777" w:rsidTr="00A83861">
        <w:trPr>
          <w:trHeight w:val="30"/>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EE59683"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④</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8CC175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Daily passenger flow</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8A7AF08"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15%</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3F2A49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54,294</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EA20BA7"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upscale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9A5DFBC"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3 × 15% = 0.45</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3B84EF83"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54,294 ≥ 51,543, High-end</w:t>
            </w:r>
          </w:p>
        </w:tc>
      </w:tr>
      <w:tr w:rsidR="00BD40EE" w:rsidRPr="005D74E9" w14:paraId="0F5FD521" w14:textId="77777777" w:rsidTr="00A83861">
        <w:trPr>
          <w:trHeight w:val="30"/>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71319B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⑤</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2CF9C0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City Line</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1A10105"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10%</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8B1062A"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3 (Strong Second Tier)</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A4661E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Mid-range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927DE3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 × 10% = 0.20</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498506B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2.5 ≤ 3 &lt; 3.5, strong second-tier mid-range</w:t>
            </w:r>
          </w:p>
        </w:tc>
      </w:tr>
      <w:tr w:rsidR="00BD40EE" w:rsidRPr="005D74E9" w14:paraId="53219271" w14:textId="77777777" w:rsidTr="00A83861">
        <w:trPr>
          <w:trHeight w:val="1290"/>
        </w:trPr>
        <w:tc>
          <w:tcPr>
            <w:tcW w:w="1416"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A80185F"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ascii="Cambria Math" w:eastAsia="微软雅黑" w:hAnsi="Cambria Math" w:cs="Cambria Math"/>
                <w:color w:val="1A1A1A"/>
                <w:sz w:val="24"/>
                <w:szCs w:val="24"/>
                <w:lang w:eastAsia="zh-CN"/>
              </w:rPr>
              <w:t>⑥</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F33D5F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High-end competitors</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2A5572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10%</w:t>
            </w:r>
          </w:p>
        </w:tc>
        <w:tc>
          <w:tcPr>
            <w:tcW w:w="104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C0E3462"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have</w:t>
            </w:r>
          </w:p>
        </w:tc>
        <w:tc>
          <w:tcPr>
            <w:tcW w:w="118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7FC880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upscale</w:t>
            </w:r>
          </w:p>
        </w:tc>
        <w:tc>
          <w:tcPr>
            <w:tcW w:w="2027"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DFBCBF7"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3 × 10% = 0.30</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FCC7E99"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color w:val="1A1A1A"/>
                <w:sz w:val="24"/>
                <w:szCs w:val="24"/>
                <w:lang w:eastAsia="zh-CN"/>
              </w:rPr>
              <w:t>There are high-end competitors, high-end...</w:t>
            </w:r>
          </w:p>
        </w:tc>
      </w:tr>
      <w:tr w:rsidR="00BD40EE" w:rsidRPr="005D74E9" w14:paraId="2D6F5D1D" w14:textId="77777777" w:rsidTr="00A83861">
        <w:trPr>
          <w:trHeight w:val="30"/>
        </w:trPr>
        <w:tc>
          <w:tcPr>
            <w:tcW w:w="1416"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49FBD13E"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1A1A1A"/>
                <w:sz w:val="24"/>
                <w:szCs w:val="24"/>
                <w:lang w:eastAsia="zh-CN"/>
              </w:rPr>
              <w:lastRenderedPageBreak/>
              <w:t>total</w:t>
            </w:r>
          </w:p>
        </w:tc>
        <w:tc>
          <w:tcPr>
            <w:tcW w:w="1276" w:type="dxa"/>
            <w:tcBorders>
              <w:top w:val="single" w:sz="4" w:space="0" w:color="BDC3C7"/>
              <w:left w:val="single" w:sz="4" w:space="0" w:color="A0A9B0"/>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5C970958" w14:textId="5EA88817" w:rsidR="00BD40EE" w:rsidRPr="005D74E9" w:rsidRDefault="00BD40EE" w:rsidP="00923C4E">
            <w:pPr>
              <w:widowControl/>
              <w:autoSpaceDE/>
              <w:autoSpaceDN/>
              <w:spacing w:before="40" w:after="40"/>
              <w:ind w:left="-40"/>
              <w:jc w:val="center"/>
              <w:rPr>
                <w:rFonts w:eastAsia="等线"/>
                <w:sz w:val="24"/>
                <w:szCs w:val="24"/>
                <w:lang w:eastAsia="zh-CN"/>
              </w:rPr>
            </w:pPr>
          </w:p>
        </w:tc>
        <w:tc>
          <w:tcPr>
            <w:tcW w:w="992" w:type="dxa"/>
            <w:tcBorders>
              <w:top w:val="single" w:sz="4" w:space="0" w:color="BDC3C7"/>
              <w:left w:val="single" w:sz="4" w:space="0" w:color="A0A9B0"/>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294E5C4C"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1A1A1A"/>
                <w:sz w:val="24"/>
                <w:szCs w:val="24"/>
                <w:lang w:eastAsia="zh-CN"/>
              </w:rPr>
              <w:t>100%</w:t>
            </w:r>
          </w:p>
        </w:tc>
        <w:tc>
          <w:tcPr>
            <w:tcW w:w="1044" w:type="dxa"/>
            <w:tcBorders>
              <w:top w:val="single" w:sz="4" w:space="0" w:color="BDC3C7"/>
              <w:left w:val="single" w:sz="4" w:space="0" w:color="A0A9B0"/>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3E379598" w14:textId="0279C1FC" w:rsidR="00BD40EE" w:rsidRPr="005D74E9" w:rsidRDefault="00BD40EE" w:rsidP="00923C4E">
            <w:pPr>
              <w:widowControl/>
              <w:autoSpaceDE/>
              <w:autoSpaceDN/>
              <w:spacing w:before="40" w:after="40"/>
              <w:ind w:left="-40"/>
              <w:jc w:val="center"/>
              <w:rPr>
                <w:rFonts w:eastAsia="等线"/>
                <w:sz w:val="24"/>
                <w:szCs w:val="24"/>
                <w:lang w:eastAsia="zh-CN"/>
              </w:rPr>
            </w:pPr>
          </w:p>
        </w:tc>
        <w:tc>
          <w:tcPr>
            <w:tcW w:w="1182" w:type="dxa"/>
            <w:tcBorders>
              <w:top w:val="single" w:sz="4" w:space="0" w:color="BDC3C7"/>
              <w:left w:val="single" w:sz="4" w:space="0" w:color="A0A9B0"/>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7572B4B8" w14:textId="14139C0B" w:rsidR="00BD40EE" w:rsidRPr="005D74E9" w:rsidRDefault="00BD40EE" w:rsidP="00923C4E">
            <w:pPr>
              <w:widowControl/>
              <w:autoSpaceDE/>
              <w:autoSpaceDN/>
              <w:spacing w:before="40" w:after="40"/>
              <w:ind w:left="-40"/>
              <w:jc w:val="center"/>
              <w:rPr>
                <w:rFonts w:eastAsia="等线"/>
                <w:sz w:val="24"/>
                <w:szCs w:val="24"/>
                <w:lang w:eastAsia="zh-CN"/>
              </w:rPr>
            </w:pPr>
          </w:p>
        </w:tc>
        <w:tc>
          <w:tcPr>
            <w:tcW w:w="4011" w:type="dxa"/>
            <w:gridSpan w:val="2"/>
            <w:tcBorders>
              <w:top w:val="single" w:sz="4" w:space="0" w:color="BDC3C7"/>
              <w:left w:val="single" w:sz="4" w:space="0" w:color="A0A9B0"/>
              <w:bottom w:val="single" w:sz="4" w:space="0" w:color="A0A9B0"/>
              <w:right w:val="single" w:sz="12" w:space="0" w:color="auto"/>
            </w:tcBorders>
            <w:shd w:val="clear" w:color="auto" w:fill="F4F6F8"/>
            <w:tcMar>
              <w:top w:w="100" w:type="dxa"/>
              <w:left w:w="140" w:type="dxa"/>
              <w:bottom w:w="100" w:type="dxa"/>
              <w:right w:w="140" w:type="dxa"/>
            </w:tcMar>
            <w:vAlign w:val="center"/>
            <w:hideMark/>
          </w:tcPr>
          <w:p w14:paraId="4C8BE224"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1A1A1A"/>
                <w:sz w:val="24"/>
                <w:szCs w:val="24"/>
                <w:lang w:eastAsia="zh-CN"/>
              </w:rPr>
              <w:t>0.75+0.60+0.40+0.45+0.20+0.30 = 2.70</w:t>
            </w:r>
          </w:p>
        </w:tc>
      </w:tr>
      <w:tr w:rsidR="00BD40EE" w:rsidRPr="005D74E9" w14:paraId="3D341B8C" w14:textId="77777777" w:rsidTr="00A83861">
        <w:trPr>
          <w:trHeight w:val="840"/>
        </w:trPr>
        <w:tc>
          <w:tcPr>
            <w:tcW w:w="1416" w:type="dxa"/>
            <w:tcBorders>
              <w:top w:val="single" w:sz="4" w:space="0" w:color="A0A9B0"/>
              <w:left w:val="single" w:sz="12" w:space="0" w:color="auto"/>
              <w:bottom w:val="single" w:sz="12" w:space="0" w:color="auto"/>
              <w:right w:val="single" w:sz="4" w:space="0" w:color="BDC3C7"/>
            </w:tcBorders>
            <w:shd w:val="clear" w:color="auto" w:fill="C00000"/>
            <w:tcMar>
              <w:top w:w="100" w:type="dxa"/>
              <w:left w:w="140" w:type="dxa"/>
              <w:bottom w:w="100" w:type="dxa"/>
              <w:right w:w="140" w:type="dxa"/>
            </w:tcMar>
            <w:vAlign w:val="center"/>
            <w:hideMark/>
          </w:tcPr>
          <w:p w14:paraId="2453F9CD"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in conclusion</w:t>
            </w:r>
          </w:p>
        </w:tc>
        <w:tc>
          <w:tcPr>
            <w:tcW w:w="8505" w:type="dxa"/>
            <w:gridSpan w:val="6"/>
            <w:tcBorders>
              <w:top w:val="single" w:sz="4" w:space="0" w:color="A0A9B0"/>
              <w:left w:val="single" w:sz="4" w:space="0" w:color="BDC3C7"/>
              <w:bottom w:val="single" w:sz="12" w:space="0" w:color="auto"/>
              <w:right w:val="single" w:sz="12" w:space="0" w:color="auto"/>
            </w:tcBorders>
            <w:shd w:val="clear" w:color="auto" w:fill="C00000"/>
            <w:tcMar>
              <w:top w:w="100" w:type="dxa"/>
              <w:left w:w="140" w:type="dxa"/>
              <w:bottom w:w="100" w:type="dxa"/>
              <w:right w:w="140" w:type="dxa"/>
            </w:tcMar>
            <w:vAlign w:val="center"/>
            <w:hideMark/>
          </w:tcPr>
          <w:p w14:paraId="44A30643" w14:textId="77777777" w:rsidR="00BD40EE" w:rsidRPr="005D74E9" w:rsidRDefault="00BD40EE" w:rsidP="00923C4E">
            <w:pPr>
              <w:widowControl/>
              <w:autoSpaceDE/>
              <w:autoSpaceDN/>
              <w:spacing w:before="40" w:after="40"/>
              <w:ind w:left="-40"/>
              <w:jc w:val="center"/>
              <w:rPr>
                <w:rFonts w:eastAsia="等线"/>
                <w:sz w:val="24"/>
                <w:szCs w:val="24"/>
                <w:lang w:eastAsia="zh-CN"/>
              </w:rPr>
            </w:pPr>
            <w:r w:rsidRPr="005D74E9">
              <w:rPr>
                <w:rFonts w:eastAsia="微软雅黑"/>
                <w:b/>
                <w:bCs/>
                <w:color w:val="FFFFFF"/>
                <w:sz w:val="24"/>
                <w:szCs w:val="24"/>
                <w:lang w:eastAsia="zh-CN"/>
              </w:rPr>
              <w:t>Zhengzhou Zhenghong City D Total Score = 2.70 ≥ 2.17 → Classified as High-end (Glory-dominated) Tier</w:t>
            </w:r>
          </w:p>
        </w:tc>
      </w:tr>
    </w:tbl>
    <w:p w14:paraId="70E51BFA" w14:textId="74FA6FCB" w:rsidR="005D74E9" w:rsidRPr="005D74E9" w:rsidRDefault="005D74E9" w:rsidP="00923C4E">
      <w:pPr>
        <w:pStyle w:val="3"/>
        <w:ind w:right="0"/>
        <w:rPr>
          <w:rFonts w:eastAsia="宋体"/>
          <w:lang w:eastAsia="zh-CN"/>
        </w:rPr>
      </w:pPr>
      <w:r w:rsidRPr="005D74E9">
        <w:rPr>
          <w:rFonts w:eastAsia="宋体"/>
          <w:lang w:eastAsia="zh-CN"/>
        </w:rPr>
        <w:t>Classification Rules for D Gear</w:t>
      </w:r>
    </w:p>
    <w:p w14:paraId="6E0C2188" w14:textId="372BCC33" w:rsidR="00A42DAB" w:rsidRPr="005D74E9" w:rsidRDefault="005D74E9" w:rsidP="00923C4E">
      <w:pPr>
        <w:pStyle w:val="a0"/>
        <w:spacing w:before="309" w:line="312" w:lineRule="auto"/>
        <w:ind w:left="311"/>
        <w:rPr>
          <w:rFonts w:eastAsiaTheme="minorEastAsia"/>
          <w:lang w:eastAsia="zh-CN"/>
        </w:rPr>
      </w:pPr>
      <w:r w:rsidRPr="005D74E9">
        <w:rPr>
          <w:rFonts w:eastAsia="宋体"/>
          <w:lang w:eastAsia="zh-CN"/>
        </w:rPr>
        <w:t>After the total score is calculated, the stores are divided into tiers based on the third-place rank of the historical total score distribution across the 15 stores: the upper third rank is approximately 2.17, and the lower third rank is approximately 1.90. This design ensures that each tier has sufficient historical samples to support the recommended allocation range.</w:t>
      </w:r>
    </w:p>
    <w:tbl>
      <w:tblPr>
        <w:tblW w:w="10348" w:type="dxa"/>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1276"/>
        <w:gridCol w:w="1134"/>
        <w:gridCol w:w="1276"/>
        <w:gridCol w:w="1418"/>
        <w:gridCol w:w="2360"/>
        <w:gridCol w:w="2884"/>
      </w:tblGrid>
      <w:tr w:rsidR="005E2FD3" w:rsidRPr="005E2FD3" w14:paraId="0CD5ACFD" w14:textId="77777777" w:rsidTr="00A83861">
        <w:trPr>
          <w:trHeight w:val="795"/>
        </w:trPr>
        <w:tc>
          <w:tcPr>
            <w:tcW w:w="1276" w:type="dxa"/>
            <w:shd w:val="clear" w:color="auto" w:fill="C00000"/>
            <w:tcMar>
              <w:top w:w="100" w:type="dxa"/>
              <w:left w:w="140" w:type="dxa"/>
              <w:bottom w:w="100" w:type="dxa"/>
              <w:right w:w="140" w:type="dxa"/>
            </w:tcMar>
            <w:vAlign w:val="center"/>
            <w:hideMark/>
          </w:tcPr>
          <w:p w14:paraId="3B32F128"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Gear name</w:t>
            </w:r>
          </w:p>
        </w:tc>
        <w:tc>
          <w:tcPr>
            <w:tcW w:w="1134" w:type="dxa"/>
            <w:shd w:val="clear" w:color="auto" w:fill="C00000"/>
            <w:tcMar>
              <w:top w:w="100" w:type="dxa"/>
              <w:left w:w="140" w:type="dxa"/>
              <w:bottom w:w="100" w:type="dxa"/>
              <w:right w:w="140" w:type="dxa"/>
            </w:tcMar>
            <w:vAlign w:val="center"/>
            <w:hideMark/>
          </w:tcPr>
          <w:p w14:paraId="2C5A4D52"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Total score range</w:t>
            </w:r>
          </w:p>
        </w:tc>
        <w:tc>
          <w:tcPr>
            <w:tcW w:w="1276" w:type="dxa"/>
            <w:shd w:val="clear" w:color="auto" w:fill="C00000"/>
            <w:tcMar>
              <w:top w:w="100" w:type="dxa"/>
              <w:left w:w="140" w:type="dxa"/>
              <w:bottom w:w="100" w:type="dxa"/>
              <w:right w:w="140" w:type="dxa"/>
            </w:tcMar>
            <w:vAlign w:val="center"/>
            <w:hideMark/>
          </w:tcPr>
          <w:p w14:paraId="1F5508B3"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Historical store count</w:t>
            </w:r>
          </w:p>
        </w:tc>
        <w:tc>
          <w:tcPr>
            <w:tcW w:w="1418" w:type="dxa"/>
            <w:shd w:val="clear" w:color="auto" w:fill="C00000"/>
            <w:tcMar>
              <w:top w:w="100" w:type="dxa"/>
              <w:left w:w="140" w:type="dxa"/>
              <w:bottom w:w="100" w:type="dxa"/>
              <w:right w:w="140" w:type="dxa"/>
            </w:tcMar>
            <w:vAlign w:val="center"/>
            <w:hideMark/>
          </w:tcPr>
          <w:p w14:paraId="1C3B8090"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Sample stores</w:t>
            </w:r>
          </w:p>
        </w:tc>
        <w:tc>
          <w:tcPr>
            <w:tcW w:w="2360" w:type="dxa"/>
            <w:shd w:val="clear" w:color="auto" w:fill="C00000"/>
            <w:tcMar>
              <w:top w:w="100" w:type="dxa"/>
              <w:left w:w="140" w:type="dxa"/>
              <w:bottom w:w="100" w:type="dxa"/>
              <w:right w:w="140" w:type="dxa"/>
            </w:tcMar>
            <w:vAlign w:val="center"/>
            <w:hideMark/>
          </w:tcPr>
          <w:p w14:paraId="31BFDD5E"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Business District Positioning Characteristics</w:t>
            </w:r>
          </w:p>
        </w:tc>
        <w:tc>
          <w:tcPr>
            <w:tcW w:w="2884" w:type="dxa"/>
            <w:shd w:val="clear" w:color="auto" w:fill="C00000"/>
            <w:tcMar>
              <w:top w:w="100" w:type="dxa"/>
              <w:left w:w="140" w:type="dxa"/>
              <w:bottom w:w="100" w:type="dxa"/>
              <w:right w:w="140" w:type="dxa"/>
            </w:tcMar>
            <w:vAlign w:val="center"/>
            <w:hideMark/>
          </w:tcPr>
          <w:p w14:paraId="289C3CD0"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FFFFFF"/>
                <w:sz w:val="24"/>
                <w:szCs w:val="24"/>
                <w:lang w:eastAsia="zh-CN"/>
              </w:rPr>
              <w:t>Gear naming logic</w:t>
            </w:r>
          </w:p>
        </w:tc>
      </w:tr>
      <w:tr w:rsidR="005E2FD3" w:rsidRPr="005E2FD3" w14:paraId="4A564D13" w14:textId="77777777" w:rsidTr="001B45C4">
        <w:trPr>
          <w:trHeight w:val="1530"/>
        </w:trPr>
        <w:tc>
          <w:tcPr>
            <w:tcW w:w="1276" w:type="dxa"/>
            <w:shd w:val="clear" w:color="auto" w:fill="FFFFFF"/>
            <w:tcMar>
              <w:top w:w="100" w:type="dxa"/>
              <w:left w:w="140" w:type="dxa"/>
              <w:bottom w:w="100" w:type="dxa"/>
              <w:right w:w="140" w:type="dxa"/>
            </w:tcMar>
            <w:vAlign w:val="center"/>
            <w:hideMark/>
          </w:tcPr>
          <w:p w14:paraId="7C5A2CF0"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1A1A1A"/>
                <w:sz w:val="24"/>
                <w:szCs w:val="24"/>
                <w:lang w:eastAsia="zh-CN"/>
              </w:rPr>
              <w:t>High-end</w:t>
            </w:r>
          </w:p>
          <w:p w14:paraId="2A7AFAE2"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1A1A1A"/>
                <w:sz w:val="24"/>
                <w:szCs w:val="24"/>
                <w:lang w:eastAsia="zh-CN"/>
              </w:rPr>
              <w:t>(Honor-led)</w:t>
            </w:r>
          </w:p>
        </w:tc>
        <w:tc>
          <w:tcPr>
            <w:tcW w:w="1134" w:type="dxa"/>
            <w:shd w:val="clear" w:color="auto" w:fill="FFFFFF"/>
            <w:tcMar>
              <w:top w:w="100" w:type="dxa"/>
              <w:left w:w="140" w:type="dxa"/>
              <w:bottom w:w="100" w:type="dxa"/>
              <w:right w:w="140" w:type="dxa"/>
            </w:tcMar>
            <w:vAlign w:val="center"/>
            <w:hideMark/>
          </w:tcPr>
          <w:p w14:paraId="4AF78824"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 2.17</w:t>
            </w:r>
          </w:p>
        </w:tc>
        <w:tc>
          <w:tcPr>
            <w:tcW w:w="1276" w:type="dxa"/>
            <w:shd w:val="clear" w:color="auto" w:fill="FFFFFF"/>
            <w:tcMar>
              <w:top w:w="100" w:type="dxa"/>
              <w:left w:w="140" w:type="dxa"/>
              <w:bottom w:w="100" w:type="dxa"/>
              <w:right w:w="140" w:type="dxa"/>
            </w:tcMar>
            <w:vAlign w:val="center"/>
            <w:hideMark/>
          </w:tcPr>
          <w:p w14:paraId="152EB754"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5 companies</w:t>
            </w:r>
          </w:p>
        </w:tc>
        <w:tc>
          <w:tcPr>
            <w:tcW w:w="1418" w:type="dxa"/>
            <w:shd w:val="clear" w:color="auto" w:fill="FFFFFF"/>
            <w:tcMar>
              <w:top w:w="100" w:type="dxa"/>
              <w:left w:w="140" w:type="dxa"/>
              <w:bottom w:w="100" w:type="dxa"/>
              <w:right w:w="140" w:type="dxa"/>
            </w:tcMar>
            <w:vAlign w:val="center"/>
            <w:hideMark/>
          </w:tcPr>
          <w:p w14:paraId="3C3BDAB9"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Zhengzhou, Tianjin, Harbin</w:t>
            </w:r>
          </w:p>
          <w:p w14:paraId="5F42B070"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Nanjing, Kunming</w:t>
            </w:r>
          </w:p>
        </w:tc>
        <w:tc>
          <w:tcPr>
            <w:tcW w:w="2360" w:type="dxa"/>
            <w:shd w:val="clear" w:color="auto" w:fill="FFFFFF"/>
            <w:tcMar>
              <w:top w:w="100" w:type="dxa"/>
              <w:left w:w="140" w:type="dxa"/>
              <w:bottom w:w="100" w:type="dxa"/>
              <w:right w:w="140" w:type="dxa"/>
            </w:tcMar>
            <w:vAlign w:val="center"/>
            <w:hideMark/>
          </w:tcPr>
          <w:p w14:paraId="1C77B299"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Strong purchasing power (mostly in high-quality shopping malls in strong second-tier cities); high percentage of Apple users; some have high-end competing environments.</w:t>
            </w:r>
          </w:p>
        </w:tc>
        <w:tc>
          <w:tcPr>
            <w:tcW w:w="2884" w:type="dxa"/>
            <w:shd w:val="clear" w:color="auto" w:fill="FFFFFF"/>
            <w:tcMar>
              <w:top w:w="100" w:type="dxa"/>
              <w:left w:w="140" w:type="dxa"/>
              <w:bottom w:w="100" w:type="dxa"/>
              <w:right w:w="140" w:type="dxa"/>
            </w:tcMar>
            <w:vAlign w:val="center"/>
            <w:hideMark/>
          </w:tcPr>
          <w:p w14:paraId="370B5F5D"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Among the historical stores in this segment, the Honor series had the highest average share (31.8%) among the three segments; the overall business district profile leans towards the high-end, giving the Honor series a stronger sales foundation.</w:t>
            </w:r>
          </w:p>
        </w:tc>
      </w:tr>
      <w:tr w:rsidR="005E2FD3" w:rsidRPr="005E2FD3" w14:paraId="63C43B25" w14:textId="77777777" w:rsidTr="001B45C4">
        <w:trPr>
          <w:trHeight w:val="2490"/>
        </w:trPr>
        <w:tc>
          <w:tcPr>
            <w:tcW w:w="1276" w:type="dxa"/>
            <w:shd w:val="clear" w:color="auto" w:fill="FFFFFF"/>
            <w:tcMar>
              <w:top w:w="100" w:type="dxa"/>
              <w:left w:w="140" w:type="dxa"/>
              <w:bottom w:w="100" w:type="dxa"/>
              <w:right w:w="140" w:type="dxa"/>
            </w:tcMar>
            <w:vAlign w:val="center"/>
            <w:hideMark/>
          </w:tcPr>
          <w:p w14:paraId="6BD7A705"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1A1A1A"/>
                <w:sz w:val="24"/>
                <w:szCs w:val="24"/>
                <w:lang w:eastAsia="zh-CN"/>
              </w:rPr>
              <w:t>Balanced</w:t>
            </w:r>
          </w:p>
        </w:tc>
        <w:tc>
          <w:tcPr>
            <w:tcW w:w="1134" w:type="dxa"/>
            <w:shd w:val="clear" w:color="auto" w:fill="FFFFFF"/>
            <w:tcMar>
              <w:top w:w="100" w:type="dxa"/>
              <w:left w:w="140" w:type="dxa"/>
              <w:bottom w:w="100" w:type="dxa"/>
              <w:right w:w="140" w:type="dxa"/>
            </w:tcMar>
            <w:vAlign w:val="center"/>
            <w:hideMark/>
          </w:tcPr>
          <w:p w14:paraId="4B2F51D8"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1.90–2.17</w:t>
            </w:r>
          </w:p>
        </w:tc>
        <w:tc>
          <w:tcPr>
            <w:tcW w:w="1276" w:type="dxa"/>
            <w:shd w:val="clear" w:color="auto" w:fill="FFFFFF"/>
            <w:tcMar>
              <w:top w:w="100" w:type="dxa"/>
              <w:left w:w="140" w:type="dxa"/>
              <w:bottom w:w="100" w:type="dxa"/>
              <w:right w:w="140" w:type="dxa"/>
            </w:tcMar>
            <w:vAlign w:val="center"/>
            <w:hideMark/>
          </w:tcPr>
          <w:p w14:paraId="71639C04"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7</w:t>
            </w:r>
          </w:p>
        </w:tc>
        <w:tc>
          <w:tcPr>
            <w:tcW w:w="1418" w:type="dxa"/>
            <w:shd w:val="clear" w:color="auto" w:fill="FFFFFF"/>
            <w:tcMar>
              <w:top w:w="100" w:type="dxa"/>
              <w:left w:w="140" w:type="dxa"/>
              <w:bottom w:w="100" w:type="dxa"/>
              <w:right w:w="140" w:type="dxa"/>
            </w:tcMar>
            <w:vAlign w:val="center"/>
            <w:hideMark/>
          </w:tcPr>
          <w:p w14:paraId="15652969"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Changsha, Shenyang, Sanlitun, Beijing</w:t>
            </w:r>
          </w:p>
          <w:p w14:paraId="64F2609B"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Changchun, Dalian, Beijing Huiju, Hangzhou</w:t>
            </w:r>
          </w:p>
        </w:tc>
        <w:tc>
          <w:tcPr>
            <w:tcW w:w="2360" w:type="dxa"/>
            <w:shd w:val="clear" w:color="auto" w:fill="FFFFFF"/>
            <w:tcMar>
              <w:top w:w="100" w:type="dxa"/>
              <w:left w:w="140" w:type="dxa"/>
              <w:bottom w:w="100" w:type="dxa"/>
              <w:right w:w="140" w:type="dxa"/>
            </w:tcMar>
            <w:vAlign w:val="center"/>
            <w:hideMark/>
          </w:tcPr>
          <w:p w14:paraId="417114BE"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Moderate purchasing power; primarily located in strong second-tier/second-tier cities; wide customer coverage; footwear remains the main product category, but demand for apparel is emerging.</w:t>
            </w:r>
          </w:p>
        </w:tc>
        <w:tc>
          <w:tcPr>
            <w:tcW w:w="2884" w:type="dxa"/>
            <w:shd w:val="clear" w:color="auto" w:fill="FFFFFF"/>
            <w:tcMar>
              <w:top w:w="100" w:type="dxa"/>
              <w:left w:w="140" w:type="dxa"/>
              <w:bottom w:w="100" w:type="dxa"/>
              <w:right w:w="140" w:type="dxa"/>
            </w:tcMar>
            <w:vAlign w:val="center"/>
            <w:hideMark/>
          </w:tcPr>
          <w:p w14:paraId="2A358F39"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Footwear and apparel each account for a certain proportion; the Glory series is at a middle level (17%–36%); the three product lines are evenly distributed.</w:t>
            </w:r>
          </w:p>
        </w:tc>
      </w:tr>
      <w:tr w:rsidR="005E2FD3" w:rsidRPr="005E2FD3" w14:paraId="39243F12" w14:textId="77777777" w:rsidTr="001B45C4">
        <w:trPr>
          <w:trHeight w:val="1770"/>
        </w:trPr>
        <w:tc>
          <w:tcPr>
            <w:tcW w:w="1276" w:type="dxa"/>
            <w:shd w:val="clear" w:color="auto" w:fill="FFFFFF"/>
            <w:tcMar>
              <w:top w:w="100" w:type="dxa"/>
              <w:left w:w="140" w:type="dxa"/>
              <w:bottom w:w="100" w:type="dxa"/>
              <w:right w:w="140" w:type="dxa"/>
            </w:tcMar>
            <w:vAlign w:val="center"/>
            <w:hideMark/>
          </w:tcPr>
          <w:p w14:paraId="7A1DF88B"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1A1A1A"/>
                <w:sz w:val="24"/>
                <w:szCs w:val="24"/>
                <w:lang w:eastAsia="zh-CN"/>
              </w:rPr>
              <w:t>Popular</w:t>
            </w:r>
          </w:p>
          <w:p w14:paraId="6AD4E13B"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b/>
                <w:bCs/>
                <w:color w:val="1A1A1A"/>
                <w:sz w:val="24"/>
                <w:szCs w:val="24"/>
                <w:lang w:eastAsia="zh-CN"/>
              </w:rPr>
              <w:t>(Other series dominate)</w:t>
            </w:r>
          </w:p>
        </w:tc>
        <w:tc>
          <w:tcPr>
            <w:tcW w:w="1134" w:type="dxa"/>
            <w:shd w:val="clear" w:color="auto" w:fill="FFFFFF"/>
            <w:tcMar>
              <w:top w:w="100" w:type="dxa"/>
              <w:left w:w="140" w:type="dxa"/>
              <w:bottom w:w="100" w:type="dxa"/>
              <w:right w:w="140" w:type="dxa"/>
            </w:tcMar>
            <w:vAlign w:val="center"/>
            <w:hideMark/>
          </w:tcPr>
          <w:p w14:paraId="03D194A4"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&lt; 1.90</w:t>
            </w:r>
          </w:p>
        </w:tc>
        <w:tc>
          <w:tcPr>
            <w:tcW w:w="1276" w:type="dxa"/>
            <w:shd w:val="clear" w:color="auto" w:fill="FFFFFF"/>
            <w:tcMar>
              <w:top w:w="100" w:type="dxa"/>
              <w:left w:w="140" w:type="dxa"/>
              <w:bottom w:w="100" w:type="dxa"/>
              <w:right w:w="140" w:type="dxa"/>
            </w:tcMar>
            <w:vAlign w:val="center"/>
            <w:hideMark/>
          </w:tcPr>
          <w:p w14:paraId="1A4002F7"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3 companies</w:t>
            </w:r>
          </w:p>
        </w:tc>
        <w:tc>
          <w:tcPr>
            <w:tcW w:w="1418" w:type="dxa"/>
            <w:shd w:val="clear" w:color="auto" w:fill="FFFFFF"/>
            <w:tcMar>
              <w:top w:w="100" w:type="dxa"/>
              <w:left w:w="140" w:type="dxa"/>
              <w:bottom w:w="100" w:type="dxa"/>
              <w:right w:w="140" w:type="dxa"/>
            </w:tcMar>
            <w:vAlign w:val="center"/>
            <w:hideMark/>
          </w:tcPr>
          <w:p w14:paraId="24BE77BA"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Wangfujing in Beijing and Xintiandi in Shanghai</w:t>
            </w:r>
          </w:p>
          <w:p w14:paraId="3A03E4AD"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t xml:space="preserve">Chongqing </w:t>
            </w:r>
            <w:r w:rsidRPr="005E2FD3">
              <w:rPr>
                <w:rFonts w:eastAsia="微软雅黑"/>
                <w:color w:val="1A1A1A"/>
                <w:sz w:val="24"/>
                <w:szCs w:val="24"/>
                <w:lang w:eastAsia="zh-CN"/>
              </w:rPr>
              <w:lastRenderedPageBreak/>
              <w:t>Liberation Monument</w:t>
            </w:r>
          </w:p>
        </w:tc>
        <w:tc>
          <w:tcPr>
            <w:tcW w:w="2360" w:type="dxa"/>
            <w:shd w:val="clear" w:color="auto" w:fill="FFFFFF"/>
            <w:tcMar>
              <w:top w:w="100" w:type="dxa"/>
              <w:left w:w="140" w:type="dxa"/>
              <w:bottom w:w="100" w:type="dxa"/>
              <w:right w:w="140" w:type="dxa"/>
            </w:tcMar>
            <w:vAlign w:val="center"/>
            <w:hideMark/>
          </w:tcPr>
          <w:p w14:paraId="42688CFA"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lastRenderedPageBreak/>
              <w:t xml:space="preserve">The overall score on the rating card is low (Note: Wangfujing and Xintiandi's purchasing power is underestimated due to </w:t>
            </w:r>
            <w:r w:rsidRPr="005E2FD3">
              <w:rPr>
                <w:rFonts w:eastAsia="微软雅黑"/>
                <w:color w:val="1A1A1A"/>
                <w:sz w:val="24"/>
                <w:szCs w:val="24"/>
                <w:lang w:eastAsia="zh-CN"/>
              </w:rPr>
              <w:lastRenderedPageBreak/>
              <w:t>the agent profiles; their actual commercial value may be higher).</w:t>
            </w:r>
          </w:p>
        </w:tc>
        <w:tc>
          <w:tcPr>
            <w:tcW w:w="2884" w:type="dxa"/>
            <w:shd w:val="clear" w:color="auto" w:fill="FFFFFF"/>
            <w:tcMar>
              <w:top w:w="100" w:type="dxa"/>
              <w:left w:w="140" w:type="dxa"/>
              <w:bottom w:w="100" w:type="dxa"/>
              <w:right w:w="140" w:type="dxa"/>
            </w:tcMar>
            <w:vAlign w:val="center"/>
            <w:hideMark/>
          </w:tcPr>
          <w:p w14:paraId="3FF51B47" w14:textId="77777777" w:rsidR="005E2FD3" w:rsidRPr="005E2FD3" w:rsidRDefault="005E2FD3" w:rsidP="00923C4E">
            <w:pPr>
              <w:widowControl/>
              <w:autoSpaceDE/>
              <w:autoSpaceDN/>
              <w:spacing w:before="40" w:after="40"/>
              <w:ind w:left="-40"/>
              <w:jc w:val="center"/>
              <w:rPr>
                <w:rFonts w:eastAsia="等线"/>
                <w:sz w:val="24"/>
                <w:szCs w:val="24"/>
                <w:lang w:eastAsia="zh-CN"/>
              </w:rPr>
            </w:pPr>
            <w:r w:rsidRPr="005E2FD3">
              <w:rPr>
                <w:rFonts w:eastAsia="微软雅黑"/>
                <w:color w:val="1A1A1A"/>
                <w:sz w:val="24"/>
                <w:szCs w:val="24"/>
                <w:lang w:eastAsia="zh-CN"/>
              </w:rPr>
              <w:lastRenderedPageBreak/>
              <w:t xml:space="preserve">Other product lines accounted for the highest average percentage (73.1%) in stores of this category; basic running training products were the </w:t>
            </w:r>
            <w:r w:rsidRPr="005E2FD3">
              <w:rPr>
                <w:rFonts w:eastAsia="微软雅黑"/>
                <w:color w:val="1A1A1A"/>
                <w:sz w:val="24"/>
                <w:szCs w:val="24"/>
                <w:lang w:eastAsia="zh-CN"/>
              </w:rPr>
              <w:lastRenderedPageBreak/>
              <w:t>mainstay; the Glory series had a relatively limited share (5%–30%).</w:t>
            </w:r>
          </w:p>
        </w:tc>
      </w:tr>
    </w:tbl>
    <w:p w14:paraId="68CD3057" w14:textId="77777777" w:rsidR="005E2FD3" w:rsidRPr="005E2FD3" w:rsidRDefault="005E2FD3" w:rsidP="00923C4E">
      <w:pPr>
        <w:pStyle w:val="a0"/>
        <w:spacing w:before="309" w:line="312" w:lineRule="auto"/>
        <w:ind w:left="311"/>
        <w:rPr>
          <w:rFonts w:eastAsia="宋体"/>
          <w:lang w:eastAsia="zh-CN"/>
        </w:rPr>
      </w:pPr>
      <w:r w:rsidRPr="005E2FD3">
        <w:rPr>
          <w:rFonts w:eastAsia="宋体"/>
          <w:lang w:eastAsia="zh-CN"/>
        </w:rPr>
        <w:lastRenderedPageBreak/>
        <w:t>Note: Beijing's Wangfujing Street (D score 1.85) and Shanghai's Xintiandi (D score 1.80) are classified as mass-market, but both are top-tier shopping malls in first-tier cities. Main reason: Both stores used agent profile data, resulting in a significant underestimation of their purchasing power index (1.49 and 1.66 respectively, the lowest values   in the sample). It is recommended to obtain accurate agent profile data and re-evaluate the stores.</w:t>
      </w:r>
    </w:p>
    <w:p w14:paraId="0F1FD9F8" w14:textId="77777777" w:rsidR="005E2FD3" w:rsidRDefault="005E2FD3" w:rsidP="00923C4E">
      <w:pPr>
        <w:pStyle w:val="3"/>
        <w:ind w:right="0"/>
        <w:rPr>
          <w:rFonts w:eastAsia="宋体"/>
          <w:lang w:eastAsia="zh-CN"/>
        </w:rPr>
      </w:pPr>
      <w:r w:rsidRPr="005E2FD3">
        <w:rPr>
          <w:rFonts w:eastAsia="宋体"/>
          <w:lang w:eastAsia="zh-CN"/>
        </w:rPr>
        <w:t>Overview of data from 15 stores</w:t>
      </w:r>
    </w:p>
    <w:p w14:paraId="2CC35AD1" w14:textId="77777777" w:rsidR="005E2FD3" w:rsidRPr="005E2FD3" w:rsidRDefault="005E2FD3" w:rsidP="00923C4E">
      <w:pPr>
        <w:pStyle w:val="a0"/>
        <w:spacing w:before="309" w:line="312" w:lineRule="auto"/>
        <w:ind w:left="311"/>
        <w:rPr>
          <w:rFonts w:eastAsia="宋体"/>
          <w:lang w:eastAsia="zh-CN"/>
        </w:rPr>
      </w:pPr>
      <w:r w:rsidRPr="005E2FD3">
        <w:rPr>
          <w:rFonts w:eastAsia="宋体"/>
          <w:lang w:eastAsia="zh-CN"/>
        </w:rPr>
        <w:t>The following is a summary of the classification results and sales data for all 15 historical pop-up stores. The alternating row background colors in the table are for readability purposes only. Stores with a tag fulfillment rate of less than 0.90 (such as the Sanlitun store in Beijing) are marked in orange.</w:t>
      </w:r>
    </w:p>
    <w:p w14:paraId="0346813C" w14:textId="0991863D" w:rsidR="005E2FD3" w:rsidRDefault="005E2FD3" w:rsidP="00923C4E">
      <w:pPr>
        <w:pStyle w:val="a0"/>
        <w:spacing w:before="309" w:line="312" w:lineRule="auto"/>
        <w:ind w:left="311"/>
        <w:rPr>
          <w:rFonts w:eastAsia="宋体"/>
          <w:lang w:eastAsia="zh-CN"/>
        </w:rPr>
      </w:pPr>
      <w:r w:rsidRPr="005E2FD3">
        <w:rPr>
          <w:rFonts w:eastAsia="宋体"/>
          <w:lang w:eastAsia="zh-CN"/>
        </w:rPr>
        <w:t>Note: Variable definitions: Y1 = footwear percentage, Y2 = apparel percentage, Y3 = accessories percentage, Y4 = national team series percentage, Y5 = gold label series percentage, Y6 = glory series percentage, Y7_other = other series percentage, Y7 realization rate = hangtag realization rate.</w:t>
      </w:r>
    </w:p>
    <w:tbl>
      <w:tblPr>
        <w:tblW w:w="10915" w:type="dxa"/>
        <w:tblInd w:w="-427" w:type="dxa"/>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851"/>
        <w:gridCol w:w="709"/>
        <w:gridCol w:w="708"/>
        <w:gridCol w:w="851"/>
        <w:gridCol w:w="992"/>
        <w:gridCol w:w="709"/>
        <w:gridCol w:w="709"/>
        <w:gridCol w:w="658"/>
        <w:gridCol w:w="759"/>
        <w:gridCol w:w="709"/>
        <w:gridCol w:w="850"/>
        <w:gridCol w:w="709"/>
        <w:gridCol w:w="851"/>
        <w:gridCol w:w="850"/>
      </w:tblGrid>
      <w:tr w:rsidR="005E2FD3" w:rsidRPr="005E2FD3" w14:paraId="3FA419A6" w14:textId="77777777" w:rsidTr="00A83861">
        <w:trPr>
          <w:trHeight w:val="1290"/>
        </w:trPr>
        <w:tc>
          <w:tcPr>
            <w:tcW w:w="851" w:type="dxa"/>
            <w:shd w:val="clear" w:color="auto" w:fill="C00000"/>
            <w:tcMar>
              <w:top w:w="100" w:type="dxa"/>
              <w:left w:w="140" w:type="dxa"/>
              <w:bottom w:w="100" w:type="dxa"/>
              <w:right w:w="140" w:type="dxa"/>
            </w:tcMar>
            <w:vAlign w:val="center"/>
            <w:hideMark/>
          </w:tcPr>
          <w:p w14:paraId="021A0C1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Store Name</w:t>
            </w:r>
          </w:p>
        </w:tc>
        <w:tc>
          <w:tcPr>
            <w:tcW w:w="709" w:type="dxa"/>
            <w:shd w:val="clear" w:color="auto" w:fill="C00000"/>
            <w:tcMar>
              <w:top w:w="100" w:type="dxa"/>
              <w:left w:w="140" w:type="dxa"/>
              <w:bottom w:w="100" w:type="dxa"/>
              <w:right w:w="140" w:type="dxa"/>
            </w:tcMar>
            <w:vAlign w:val="center"/>
            <w:hideMark/>
          </w:tcPr>
          <w:p w14:paraId="3C4E6C1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D rating</w:t>
            </w:r>
          </w:p>
        </w:tc>
        <w:tc>
          <w:tcPr>
            <w:tcW w:w="708" w:type="dxa"/>
            <w:shd w:val="clear" w:color="auto" w:fill="C00000"/>
            <w:tcMar>
              <w:top w:w="100" w:type="dxa"/>
              <w:left w:w="140" w:type="dxa"/>
              <w:bottom w:w="100" w:type="dxa"/>
              <w:right w:w="140" w:type="dxa"/>
            </w:tcMar>
            <w:vAlign w:val="center"/>
            <w:hideMark/>
          </w:tcPr>
          <w:p w14:paraId="2795FF8F" w14:textId="77777777" w:rsidR="005E2FD3" w:rsidRPr="00A83861" w:rsidRDefault="005E2FD3" w:rsidP="00923C4E">
            <w:pPr>
              <w:widowControl/>
              <w:autoSpaceDE/>
              <w:autoSpaceDN/>
              <w:spacing w:before="40" w:after="40"/>
              <w:ind w:left="-40"/>
              <w:jc w:val="center"/>
              <w:rPr>
                <w:rFonts w:eastAsia="宋体"/>
                <w:b/>
                <w:bCs/>
                <w:sz w:val="21"/>
                <w:szCs w:val="21"/>
                <w:lang w:eastAsia="zh-CN"/>
              </w:rPr>
            </w:pPr>
            <w:r w:rsidRPr="00A83861">
              <w:rPr>
                <w:rFonts w:eastAsia="宋体"/>
                <w:b/>
                <w:bCs/>
                <w:color w:val="FFFFFF"/>
                <w:sz w:val="21"/>
                <w:szCs w:val="21"/>
                <w:lang w:eastAsia="zh-CN"/>
              </w:rPr>
              <w:t>D gear</w:t>
            </w:r>
          </w:p>
        </w:tc>
        <w:tc>
          <w:tcPr>
            <w:tcW w:w="851" w:type="dxa"/>
            <w:shd w:val="clear" w:color="auto" w:fill="C00000"/>
            <w:tcMar>
              <w:top w:w="100" w:type="dxa"/>
              <w:left w:w="140" w:type="dxa"/>
              <w:bottom w:w="100" w:type="dxa"/>
              <w:right w:w="140" w:type="dxa"/>
            </w:tcMar>
            <w:vAlign w:val="center"/>
            <w:hideMark/>
          </w:tcPr>
          <w:p w14:paraId="4079E0D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Category B</w:t>
            </w:r>
          </w:p>
        </w:tc>
        <w:tc>
          <w:tcPr>
            <w:tcW w:w="992" w:type="dxa"/>
            <w:shd w:val="clear" w:color="auto" w:fill="C00000"/>
            <w:tcMar>
              <w:top w:w="100" w:type="dxa"/>
              <w:left w:w="140" w:type="dxa"/>
              <w:bottom w:w="100" w:type="dxa"/>
              <w:right w:w="140" w:type="dxa"/>
            </w:tcMar>
            <w:vAlign w:val="center"/>
            <w:hideMark/>
          </w:tcPr>
          <w:p w14:paraId="1EB2CA4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C Product Line</w:t>
            </w:r>
          </w:p>
        </w:tc>
        <w:tc>
          <w:tcPr>
            <w:tcW w:w="709" w:type="dxa"/>
            <w:shd w:val="clear" w:color="auto" w:fill="C00000"/>
            <w:tcMar>
              <w:top w:w="100" w:type="dxa"/>
              <w:left w:w="140" w:type="dxa"/>
              <w:bottom w:w="100" w:type="dxa"/>
              <w:right w:w="140" w:type="dxa"/>
            </w:tcMar>
            <w:vAlign w:val="center"/>
            <w:hideMark/>
          </w:tcPr>
          <w:p w14:paraId="4C06040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Y1 shoes%</w:t>
            </w:r>
          </w:p>
        </w:tc>
        <w:tc>
          <w:tcPr>
            <w:tcW w:w="709" w:type="dxa"/>
            <w:shd w:val="clear" w:color="auto" w:fill="C00000"/>
            <w:tcMar>
              <w:top w:w="100" w:type="dxa"/>
              <w:left w:w="140" w:type="dxa"/>
              <w:bottom w:w="100" w:type="dxa"/>
              <w:right w:w="140" w:type="dxa"/>
            </w:tcMar>
            <w:vAlign w:val="center"/>
            <w:hideMark/>
          </w:tcPr>
          <w:p w14:paraId="1DD4F69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Y2 clothing %</w:t>
            </w:r>
          </w:p>
        </w:tc>
        <w:tc>
          <w:tcPr>
            <w:tcW w:w="658" w:type="dxa"/>
            <w:shd w:val="clear" w:color="auto" w:fill="C00000"/>
            <w:tcMar>
              <w:top w:w="100" w:type="dxa"/>
              <w:left w:w="140" w:type="dxa"/>
              <w:bottom w:w="100" w:type="dxa"/>
              <w:right w:w="140" w:type="dxa"/>
            </w:tcMar>
            <w:vAlign w:val="center"/>
            <w:hideMark/>
          </w:tcPr>
          <w:p w14:paraId="0E045F8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Y3 with %</w:t>
            </w:r>
          </w:p>
        </w:tc>
        <w:tc>
          <w:tcPr>
            <w:tcW w:w="759" w:type="dxa"/>
            <w:shd w:val="clear" w:color="auto" w:fill="C00000"/>
            <w:tcMar>
              <w:top w:w="100" w:type="dxa"/>
              <w:left w:w="140" w:type="dxa"/>
              <w:bottom w:w="100" w:type="dxa"/>
              <w:right w:w="140" w:type="dxa"/>
            </w:tcMar>
            <w:vAlign w:val="center"/>
            <w:hideMark/>
          </w:tcPr>
          <w:p w14:paraId="58D1E77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Y4 Country %</w:t>
            </w:r>
          </w:p>
        </w:tc>
        <w:tc>
          <w:tcPr>
            <w:tcW w:w="709" w:type="dxa"/>
            <w:shd w:val="clear" w:color="auto" w:fill="C00000"/>
            <w:tcMar>
              <w:top w:w="100" w:type="dxa"/>
              <w:left w:w="140" w:type="dxa"/>
              <w:bottom w:w="100" w:type="dxa"/>
              <w:right w:w="140" w:type="dxa"/>
            </w:tcMar>
            <w:vAlign w:val="center"/>
            <w:hideMark/>
          </w:tcPr>
          <w:p w14:paraId="07A9416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Y5 Gold %</w:t>
            </w:r>
          </w:p>
        </w:tc>
        <w:tc>
          <w:tcPr>
            <w:tcW w:w="850" w:type="dxa"/>
            <w:shd w:val="clear" w:color="auto" w:fill="C00000"/>
            <w:tcMar>
              <w:top w:w="100" w:type="dxa"/>
              <w:left w:w="140" w:type="dxa"/>
              <w:bottom w:w="100" w:type="dxa"/>
              <w:right w:w="140" w:type="dxa"/>
            </w:tcMar>
            <w:vAlign w:val="center"/>
            <w:hideMark/>
          </w:tcPr>
          <w:p w14:paraId="033FEF3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Y6</w:t>
            </w:r>
            <w:r w:rsidRPr="005E2FD3">
              <w:rPr>
                <w:rFonts w:eastAsia="宋体"/>
                <w:b/>
                <w:bCs/>
                <w:color w:val="FFFFFF"/>
                <w:sz w:val="21"/>
                <w:szCs w:val="21"/>
                <w:lang w:eastAsia="zh-CN"/>
              </w:rPr>
              <w:t>荣</w:t>
            </w:r>
            <w:r w:rsidRPr="005E2FD3">
              <w:rPr>
                <w:rFonts w:eastAsia="宋体"/>
                <w:b/>
                <w:bCs/>
                <w:color w:val="FFFFFF"/>
                <w:sz w:val="21"/>
                <w:szCs w:val="21"/>
                <w:lang w:eastAsia="zh-CN"/>
              </w:rPr>
              <w:t>%</w:t>
            </w:r>
          </w:p>
        </w:tc>
        <w:tc>
          <w:tcPr>
            <w:tcW w:w="709" w:type="dxa"/>
            <w:shd w:val="clear" w:color="auto" w:fill="C00000"/>
            <w:tcMar>
              <w:top w:w="100" w:type="dxa"/>
              <w:left w:w="140" w:type="dxa"/>
              <w:bottom w:w="100" w:type="dxa"/>
              <w:right w:w="140" w:type="dxa"/>
            </w:tcMar>
            <w:vAlign w:val="center"/>
            <w:hideMark/>
          </w:tcPr>
          <w:p w14:paraId="46C87A5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Y7 Other%</w:t>
            </w:r>
          </w:p>
        </w:tc>
        <w:tc>
          <w:tcPr>
            <w:tcW w:w="851" w:type="dxa"/>
            <w:shd w:val="clear" w:color="auto" w:fill="C00000"/>
            <w:tcMar>
              <w:top w:w="100" w:type="dxa"/>
              <w:left w:w="140" w:type="dxa"/>
              <w:bottom w:w="100" w:type="dxa"/>
              <w:right w:w="140" w:type="dxa"/>
            </w:tcMar>
            <w:vAlign w:val="center"/>
            <w:hideMark/>
          </w:tcPr>
          <w:p w14:paraId="140AAE1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Y7 achievement rate</w:t>
            </w:r>
          </w:p>
        </w:tc>
        <w:tc>
          <w:tcPr>
            <w:tcW w:w="850" w:type="dxa"/>
            <w:shd w:val="clear" w:color="auto" w:fill="C00000"/>
            <w:tcMar>
              <w:top w:w="100" w:type="dxa"/>
              <w:left w:w="140" w:type="dxa"/>
              <w:bottom w:w="100" w:type="dxa"/>
              <w:right w:w="140" w:type="dxa"/>
            </w:tcMar>
            <w:vAlign w:val="center"/>
            <w:hideMark/>
          </w:tcPr>
          <w:p w14:paraId="78C52ED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b/>
                <w:bCs/>
                <w:color w:val="FFFFFF"/>
                <w:sz w:val="21"/>
                <w:szCs w:val="21"/>
                <w:lang w:eastAsia="zh-CN"/>
              </w:rPr>
              <w:t>Weekly sales</w:t>
            </w:r>
          </w:p>
        </w:tc>
      </w:tr>
      <w:tr w:rsidR="005E2FD3" w:rsidRPr="005E2FD3" w14:paraId="55D4E054" w14:textId="77777777" w:rsidTr="00923C4E">
        <w:trPr>
          <w:trHeight w:val="802"/>
        </w:trPr>
        <w:tc>
          <w:tcPr>
            <w:tcW w:w="851" w:type="dxa"/>
            <w:shd w:val="clear" w:color="auto" w:fill="FFFFFF"/>
            <w:tcMar>
              <w:top w:w="100" w:type="dxa"/>
              <w:left w:w="140" w:type="dxa"/>
              <w:bottom w:w="100" w:type="dxa"/>
              <w:right w:w="140" w:type="dxa"/>
            </w:tcMar>
            <w:vAlign w:val="center"/>
            <w:hideMark/>
          </w:tcPr>
          <w:p w14:paraId="1578B9D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Zhengzhou Zhenghong City</w:t>
            </w:r>
          </w:p>
        </w:tc>
        <w:tc>
          <w:tcPr>
            <w:tcW w:w="709" w:type="dxa"/>
            <w:shd w:val="clear" w:color="auto" w:fill="E8ECF0"/>
            <w:tcMar>
              <w:top w:w="100" w:type="dxa"/>
              <w:left w:w="140" w:type="dxa"/>
              <w:bottom w:w="100" w:type="dxa"/>
              <w:right w:w="140" w:type="dxa"/>
            </w:tcMar>
            <w:vAlign w:val="center"/>
            <w:hideMark/>
          </w:tcPr>
          <w:p w14:paraId="537F34D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2.70</w:t>
            </w:r>
          </w:p>
        </w:tc>
        <w:tc>
          <w:tcPr>
            <w:tcW w:w="708" w:type="dxa"/>
            <w:shd w:val="clear" w:color="auto" w:fill="E8ECF0"/>
            <w:tcMar>
              <w:top w:w="100" w:type="dxa"/>
              <w:left w:w="140" w:type="dxa"/>
              <w:bottom w:w="100" w:type="dxa"/>
              <w:right w:w="140" w:type="dxa"/>
            </w:tcMar>
            <w:vAlign w:val="center"/>
            <w:hideMark/>
          </w:tcPr>
          <w:p w14:paraId="521B08FA"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High-end</w:t>
            </w:r>
          </w:p>
        </w:tc>
        <w:tc>
          <w:tcPr>
            <w:tcW w:w="851" w:type="dxa"/>
            <w:shd w:val="clear" w:color="auto" w:fill="E8ECF0"/>
            <w:tcMar>
              <w:top w:w="100" w:type="dxa"/>
              <w:left w:w="140" w:type="dxa"/>
              <w:bottom w:w="100" w:type="dxa"/>
              <w:right w:w="140" w:type="dxa"/>
            </w:tcMar>
            <w:vAlign w:val="center"/>
            <w:hideMark/>
          </w:tcPr>
          <w:p w14:paraId="723435B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E8ECF0"/>
            <w:tcMar>
              <w:top w:w="100" w:type="dxa"/>
              <w:left w:w="140" w:type="dxa"/>
              <w:bottom w:w="100" w:type="dxa"/>
              <w:right w:w="140" w:type="dxa"/>
            </w:tcMar>
            <w:vAlign w:val="center"/>
            <w:hideMark/>
          </w:tcPr>
          <w:p w14:paraId="57FE621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E8ECF0"/>
            <w:tcMar>
              <w:top w:w="100" w:type="dxa"/>
              <w:left w:w="140" w:type="dxa"/>
              <w:bottom w:w="100" w:type="dxa"/>
              <w:right w:w="140" w:type="dxa"/>
            </w:tcMar>
            <w:vAlign w:val="center"/>
            <w:hideMark/>
          </w:tcPr>
          <w:p w14:paraId="5506ACE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73.2%</w:t>
            </w:r>
          </w:p>
        </w:tc>
        <w:tc>
          <w:tcPr>
            <w:tcW w:w="709" w:type="dxa"/>
            <w:shd w:val="clear" w:color="auto" w:fill="E8ECF0"/>
            <w:tcMar>
              <w:top w:w="100" w:type="dxa"/>
              <w:left w:w="140" w:type="dxa"/>
              <w:bottom w:w="100" w:type="dxa"/>
              <w:right w:w="140" w:type="dxa"/>
            </w:tcMar>
            <w:vAlign w:val="center"/>
            <w:hideMark/>
          </w:tcPr>
          <w:p w14:paraId="7C2406D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26.3%</w:t>
            </w:r>
          </w:p>
        </w:tc>
        <w:tc>
          <w:tcPr>
            <w:tcW w:w="658" w:type="dxa"/>
            <w:shd w:val="clear" w:color="auto" w:fill="E8ECF0"/>
            <w:tcMar>
              <w:top w:w="100" w:type="dxa"/>
              <w:left w:w="140" w:type="dxa"/>
              <w:bottom w:w="100" w:type="dxa"/>
              <w:right w:w="140" w:type="dxa"/>
            </w:tcMar>
            <w:vAlign w:val="center"/>
            <w:hideMark/>
          </w:tcPr>
          <w:p w14:paraId="0D282A2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0.5%</w:t>
            </w:r>
          </w:p>
        </w:tc>
        <w:tc>
          <w:tcPr>
            <w:tcW w:w="759" w:type="dxa"/>
            <w:shd w:val="clear" w:color="auto" w:fill="E8ECF0"/>
            <w:tcMar>
              <w:top w:w="100" w:type="dxa"/>
              <w:left w:w="140" w:type="dxa"/>
              <w:bottom w:w="100" w:type="dxa"/>
              <w:right w:w="140" w:type="dxa"/>
            </w:tcMar>
            <w:vAlign w:val="center"/>
            <w:hideMark/>
          </w:tcPr>
          <w:p w14:paraId="58E6A46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E8ECF0"/>
            <w:tcMar>
              <w:top w:w="100" w:type="dxa"/>
              <w:left w:w="140" w:type="dxa"/>
              <w:bottom w:w="100" w:type="dxa"/>
              <w:right w:w="140" w:type="dxa"/>
            </w:tcMar>
            <w:vAlign w:val="center"/>
            <w:hideMark/>
          </w:tcPr>
          <w:p w14:paraId="233D51F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3.7%</w:t>
            </w:r>
          </w:p>
        </w:tc>
        <w:tc>
          <w:tcPr>
            <w:tcW w:w="850" w:type="dxa"/>
            <w:shd w:val="clear" w:color="auto" w:fill="E8ECF0"/>
            <w:tcMar>
              <w:top w:w="100" w:type="dxa"/>
              <w:left w:w="140" w:type="dxa"/>
              <w:bottom w:w="100" w:type="dxa"/>
              <w:right w:w="140" w:type="dxa"/>
            </w:tcMar>
            <w:vAlign w:val="center"/>
            <w:hideMark/>
          </w:tcPr>
          <w:p w14:paraId="027E4F1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23.6%</w:t>
            </w:r>
          </w:p>
        </w:tc>
        <w:tc>
          <w:tcPr>
            <w:tcW w:w="709" w:type="dxa"/>
            <w:shd w:val="clear" w:color="auto" w:fill="E8ECF0"/>
            <w:tcMar>
              <w:top w:w="100" w:type="dxa"/>
              <w:left w:w="140" w:type="dxa"/>
              <w:bottom w:w="100" w:type="dxa"/>
              <w:right w:w="140" w:type="dxa"/>
            </w:tcMar>
            <w:vAlign w:val="center"/>
            <w:hideMark/>
          </w:tcPr>
          <w:p w14:paraId="42AC0CF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72.7%</w:t>
            </w:r>
          </w:p>
        </w:tc>
        <w:tc>
          <w:tcPr>
            <w:tcW w:w="851" w:type="dxa"/>
            <w:shd w:val="clear" w:color="auto" w:fill="E8ECF0"/>
            <w:tcMar>
              <w:top w:w="100" w:type="dxa"/>
              <w:left w:w="140" w:type="dxa"/>
              <w:bottom w:w="100" w:type="dxa"/>
              <w:right w:w="140" w:type="dxa"/>
            </w:tcMar>
            <w:vAlign w:val="center"/>
            <w:hideMark/>
          </w:tcPr>
          <w:p w14:paraId="5D79B4F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0.984</w:t>
            </w:r>
          </w:p>
        </w:tc>
        <w:tc>
          <w:tcPr>
            <w:tcW w:w="850" w:type="dxa"/>
            <w:shd w:val="clear" w:color="auto" w:fill="E8ECF0"/>
            <w:tcMar>
              <w:top w:w="100" w:type="dxa"/>
              <w:left w:w="140" w:type="dxa"/>
              <w:bottom w:w="100" w:type="dxa"/>
              <w:right w:w="140" w:type="dxa"/>
            </w:tcMar>
            <w:vAlign w:val="center"/>
            <w:hideMark/>
          </w:tcPr>
          <w:p w14:paraId="211FA39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¥144,000</w:t>
            </w:r>
          </w:p>
        </w:tc>
      </w:tr>
      <w:tr w:rsidR="005E2FD3" w:rsidRPr="005E2FD3" w14:paraId="4A2C0024" w14:textId="77777777" w:rsidTr="00A83861">
        <w:trPr>
          <w:trHeight w:val="657"/>
        </w:trPr>
        <w:tc>
          <w:tcPr>
            <w:tcW w:w="851" w:type="dxa"/>
            <w:shd w:val="clear" w:color="auto" w:fill="FFFFFF"/>
            <w:tcMar>
              <w:top w:w="100" w:type="dxa"/>
              <w:left w:w="140" w:type="dxa"/>
              <w:bottom w:w="100" w:type="dxa"/>
              <w:right w:w="140" w:type="dxa"/>
            </w:tcMar>
            <w:vAlign w:val="center"/>
            <w:hideMark/>
          </w:tcPr>
          <w:p w14:paraId="62AEE0F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Tianjin Nankai Joy City</w:t>
            </w:r>
          </w:p>
        </w:tc>
        <w:tc>
          <w:tcPr>
            <w:tcW w:w="709" w:type="dxa"/>
            <w:shd w:val="clear" w:color="auto" w:fill="FFFFFF"/>
            <w:tcMar>
              <w:top w:w="100" w:type="dxa"/>
              <w:left w:w="140" w:type="dxa"/>
              <w:bottom w:w="100" w:type="dxa"/>
              <w:right w:w="140" w:type="dxa"/>
            </w:tcMar>
            <w:vAlign w:val="center"/>
            <w:hideMark/>
          </w:tcPr>
          <w:p w14:paraId="69FA280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2.50</w:t>
            </w:r>
          </w:p>
        </w:tc>
        <w:tc>
          <w:tcPr>
            <w:tcW w:w="708" w:type="dxa"/>
            <w:shd w:val="clear" w:color="auto" w:fill="FFFFFF"/>
            <w:tcMar>
              <w:top w:w="100" w:type="dxa"/>
              <w:left w:w="140" w:type="dxa"/>
              <w:bottom w:w="100" w:type="dxa"/>
              <w:right w:w="140" w:type="dxa"/>
            </w:tcMar>
            <w:vAlign w:val="center"/>
            <w:hideMark/>
          </w:tcPr>
          <w:p w14:paraId="3CDE270D"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High-end</w:t>
            </w:r>
          </w:p>
        </w:tc>
        <w:tc>
          <w:tcPr>
            <w:tcW w:w="851" w:type="dxa"/>
            <w:shd w:val="clear" w:color="auto" w:fill="FFFFFF"/>
            <w:tcMar>
              <w:top w:w="100" w:type="dxa"/>
              <w:left w:w="140" w:type="dxa"/>
              <w:bottom w:w="100" w:type="dxa"/>
              <w:right w:w="140" w:type="dxa"/>
            </w:tcMar>
            <w:vAlign w:val="center"/>
            <w:hideMark/>
          </w:tcPr>
          <w:p w14:paraId="318CF26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073BC9E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FFFFFF"/>
            <w:tcMar>
              <w:top w:w="100" w:type="dxa"/>
              <w:left w:w="140" w:type="dxa"/>
              <w:bottom w:w="100" w:type="dxa"/>
              <w:right w:w="140" w:type="dxa"/>
            </w:tcMar>
            <w:vAlign w:val="center"/>
            <w:hideMark/>
          </w:tcPr>
          <w:p w14:paraId="1BBDB27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62.6%</w:t>
            </w:r>
          </w:p>
        </w:tc>
        <w:tc>
          <w:tcPr>
            <w:tcW w:w="709" w:type="dxa"/>
            <w:shd w:val="clear" w:color="auto" w:fill="FFFFFF"/>
            <w:tcMar>
              <w:top w:w="100" w:type="dxa"/>
              <w:left w:w="140" w:type="dxa"/>
              <w:bottom w:w="100" w:type="dxa"/>
              <w:right w:w="140" w:type="dxa"/>
            </w:tcMar>
            <w:vAlign w:val="center"/>
            <w:hideMark/>
          </w:tcPr>
          <w:p w14:paraId="5774F36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36.6%</w:t>
            </w:r>
          </w:p>
        </w:tc>
        <w:tc>
          <w:tcPr>
            <w:tcW w:w="658" w:type="dxa"/>
            <w:shd w:val="clear" w:color="auto" w:fill="FFFFFF"/>
            <w:tcMar>
              <w:top w:w="100" w:type="dxa"/>
              <w:left w:w="140" w:type="dxa"/>
              <w:bottom w:w="100" w:type="dxa"/>
              <w:right w:w="140" w:type="dxa"/>
            </w:tcMar>
            <w:vAlign w:val="center"/>
            <w:hideMark/>
          </w:tcPr>
          <w:p w14:paraId="3CAB4EC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0.8%</w:t>
            </w:r>
          </w:p>
        </w:tc>
        <w:tc>
          <w:tcPr>
            <w:tcW w:w="759" w:type="dxa"/>
            <w:shd w:val="clear" w:color="auto" w:fill="FFFFFF"/>
            <w:tcMar>
              <w:top w:w="100" w:type="dxa"/>
              <w:left w:w="140" w:type="dxa"/>
              <w:bottom w:w="100" w:type="dxa"/>
              <w:right w:w="140" w:type="dxa"/>
            </w:tcMar>
            <w:vAlign w:val="center"/>
            <w:hideMark/>
          </w:tcPr>
          <w:p w14:paraId="12FADCC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FFFFFF"/>
            <w:tcMar>
              <w:top w:w="100" w:type="dxa"/>
              <w:left w:w="140" w:type="dxa"/>
              <w:bottom w:w="100" w:type="dxa"/>
              <w:right w:w="140" w:type="dxa"/>
            </w:tcMar>
            <w:vAlign w:val="center"/>
            <w:hideMark/>
          </w:tcPr>
          <w:p w14:paraId="3CF46AA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4.6%</w:t>
            </w:r>
          </w:p>
        </w:tc>
        <w:tc>
          <w:tcPr>
            <w:tcW w:w="850" w:type="dxa"/>
            <w:shd w:val="clear" w:color="auto" w:fill="FFFFFF"/>
            <w:tcMar>
              <w:top w:w="100" w:type="dxa"/>
              <w:left w:w="140" w:type="dxa"/>
              <w:bottom w:w="100" w:type="dxa"/>
              <w:right w:w="140" w:type="dxa"/>
            </w:tcMar>
            <w:vAlign w:val="center"/>
            <w:hideMark/>
          </w:tcPr>
          <w:p w14:paraId="07AC508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32.7%</w:t>
            </w:r>
          </w:p>
        </w:tc>
        <w:tc>
          <w:tcPr>
            <w:tcW w:w="709" w:type="dxa"/>
            <w:shd w:val="clear" w:color="auto" w:fill="FFFFFF"/>
            <w:tcMar>
              <w:top w:w="100" w:type="dxa"/>
              <w:left w:w="140" w:type="dxa"/>
              <w:bottom w:w="100" w:type="dxa"/>
              <w:right w:w="140" w:type="dxa"/>
            </w:tcMar>
            <w:vAlign w:val="center"/>
            <w:hideMark/>
          </w:tcPr>
          <w:p w14:paraId="789A05E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62.7%</w:t>
            </w:r>
          </w:p>
        </w:tc>
        <w:tc>
          <w:tcPr>
            <w:tcW w:w="851" w:type="dxa"/>
            <w:shd w:val="clear" w:color="auto" w:fill="FFFFFF"/>
            <w:tcMar>
              <w:top w:w="100" w:type="dxa"/>
              <w:left w:w="140" w:type="dxa"/>
              <w:bottom w:w="100" w:type="dxa"/>
              <w:right w:w="140" w:type="dxa"/>
            </w:tcMar>
            <w:vAlign w:val="center"/>
            <w:hideMark/>
          </w:tcPr>
          <w:p w14:paraId="47E2992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0.973</w:t>
            </w:r>
          </w:p>
        </w:tc>
        <w:tc>
          <w:tcPr>
            <w:tcW w:w="850" w:type="dxa"/>
            <w:shd w:val="clear" w:color="auto" w:fill="FFFFFF"/>
            <w:tcMar>
              <w:top w:w="100" w:type="dxa"/>
              <w:left w:w="140" w:type="dxa"/>
              <w:bottom w:w="100" w:type="dxa"/>
              <w:right w:w="140" w:type="dxa"/>
            </w:tcMar>
            <w:vAlign w:val="center"/>
            <w:hideMark/>
          </w:tcPr>
          <w:p w14:paraId="5B1B878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¥133,000</w:t>
            </w:r>
          </w:p>
        </w:tc>
      </w:tr>
      <w:tr w:rsidR="005E2FD3" w:rsidRPr="005E2FD3" w14:paraId="57F3AB38" w14:textId="77777777" w:rsidTr="00923C4E">
        <w:trPr>
          <w:trHeight w:val="45"/>
        </w:trPr>
        <w:tc>
          <w:tcPr>
            <w:tcW w:w="851" w:type="dxa"/>
            <w:shd w:val="clear" w:color="auto" w:fill="FFFFFF"/>
            <w:tcMar>
              <w:top w:w="100" w:type="dxa"/>
              <w:left w:w="140" w:type="dxa"/>
              <w:bottom w:w="100" w:type="dxa"/>
              <w:right w:w="140" w:type="dxa"/>
            </w:tcMar>
            <w:vAlign w:val="center"/>
            <w:hideMark/>
          </w:tcPr>
          <w:p w14:paraId="150E4FB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Harbin Haxi Wanda</w:t>
            </w:r>
          </w:p>
        </w:tc>
        <w:tc>
          <w:tcPr>
            <w:tcW w:w="709" w:type="dxa"/>
            <w:shd w:val="clear" w:color="auto" w:fill="E8ECF0"/>
            <w:tcMar>
              <w:top w:w="100" w:type="dxa"/>
              <w:left w:w="140" w:type="dxa"/>
              <w:bottom w:w="100" w:type="dxa"/>
              <w:right w:w="140" w:type="dxa"/>
            </w:tcMar>
            <w:vAlign w:val="center"/>
            <w:hideMark/>
          </w:tcPr>
          <w:p w14:paraId="6114721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2.30</w:t>
            </w:r>
          </w:p>
        </w:tc>
        <w:tc>
          <w:tcPr>
            <w:tcW w:w="708" w:type="dxa"/>
            <w:shd w:val="clear" w:color="auto" w:fill="E8ECF0"/>
            <w:tcMar>
              <w:top w:w="100" w:type="dxa"/>
              <w:left w:w="140" w:type="dxa"/>
              <w:bottom w:w="100" w:type="dxa"/>
              <w:right w:w="140" w:type="dxa"/>
            </w:tcMar>
            <w:vAlign w:val="center"/>
            <w:hideMark/>
          </w:tcPr>
          <w:p w14:paraId="686919E4"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High-end</w:t>
            </w:r>
          </w:p>
        </w:tc>
        <w:tc>
          <w:tcPr>
            <w:tcW w:w="851" w:type="dxa"/>
            <w:shd w:val="clear" w:color="auto" w:fill="E8ECF0"/>
            <w:tcMar>
              <w:top w:w="100" w:type="dxa"/>
              <w:left w:w="140" w:type="dxa"/>
              <w:bottom w:w="100" w:type="dxa"/>
              <w:right w:w="140" w:type="dxa"/>
            </w:tcMar>
            <w:vAlign w:val="center"/>
            <w:hideMark/>
          </w:tcPr>
          <w:p w14:paraId="23133B9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Clothing-focused</w:t>
            </w:r>
          </w:p>
        </w:tc>
        <w:tc>
          <w:tcPr>
            <w:tcW w:w="992" w:type="dxa"/>
            <w:shd w:val="clear" w:color="auto" w:fill="E8ECF0"/>
            <w:tcMar>
              <w:top w:w="100" w:type="dxa"/>
              <w:left w:w="140" w:type="dxa"/>
              <w:bottom w:w="100" w:type="dxa"/>
              <w:right w:w="140" w:type="dxa"/>
            </w:tcMar>
            <w:vAlign w:val="center"/>
            <w:hideMark/>
          </w:tcPr>
          <w:p w14:paraId="33E2AC3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E8ECF0"/>
            <w:tcMar>
              <w:top w:w="100" w:type="dxa"/>
              <w:left w:w="140" w:type="dxa"/>
              <w:bottom w:w="100" w:type="dxa"/>
              <w:right w:w="140" w:type="dxa"/>
            </w:tcMar>
            <w:vAlign w:val="center"/>
            <w:hideMark/>
          </w:tcPr>
          <w:p w14:paraId="19F5539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33.5%</w:t>
            </w:r>
          </w:p>
        </w:tc>
        <w:tc>
          <w:tcPr>
            <w:tcW w:w="709" w:type="dxa"/>
            <w:shd w:val="clear" w:color="auto" w:fill="E8ECF0"/>
            <w:tcMar>
              <w:top w:w="100" w:type="dxa"/>
              <w:left w:w="140" w:type="dxa"/>
              <w:bottom w:w="100" w:type="dxa"/>
              <w:right w:w="140" w:type="dxa"/>
            </w:tcMar>
            <w:vAlign w:val="center"/>
            <w:hideMark/>
          </w:tcPr>
          <w:p w14:paraId="73953FC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65.6%</w:t>
            </w:r>
          </w:p>
        </w:tc>
        <w:tc>
          <w:tcPr>
            <w:tcW w:w="658" w:type="dxa"/>
            <w:shd w:val="clear" w:color="auto" w:fill="E8ECF0"/>
            <w:tcMar>
              <w:top w:w="100" w:type="dxa"/>
              <w:left w:w="140" w:type="dxa"/>
              <w:bottom w:w="100" w:type="dxa"/>
              <w:right w:w="140" w:type="dxa"/>
            </w:tcMar>
            <w:vAlign w:val="center"/>
            <w:hideMark/>
          </w:tcPr>
          <w:p w14:paraId="3FBD2A7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w:t>
            </w:r>
          </w:p>
        </w:tc>
        <w:tc>
          <w:tcPr>
            <w:tcW w:w="759" w:type="dxa"/>
            <w:shd w:val="clear" w:color="auto" w:fill="E8ECF0"/>
            <w:tcMar>
              <w:top w:w="100" w:type="dxa"/>
              <w:left w:w="140" w:type="dxa"/>
              <w:bottom w:w="100" w:type="dxa"/>
              <w:right w:w="140" w:type="dxa"/>
            </w:tcMar>
            <w:vAlign w:val="center"/>
            <w:hideMark/>
          </w:tcPr>
          <w:p w14:paraId="5712B0E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E8ECF0"/>
            <w:tcMar>
              <w:top w:w="100" w:type="dxa"/>
              <w:left w:w="140" w:type="dxa"/>
              <w:bottom w:w="100" w:type="dxa"/>
              <w:right w:w="140" w:type="dxa"/>
            </w:tcMar>
            <w:vAlign w:val="center"/>
            <w:hideMark/>
          </w:tcPr>
          <w:p w14:paraId="031A7FE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9.1%</w:t>
            </w:r>
          </w:p>
        </w:tc>
        <w:tc>
          <w:tcPr>
            <w:tcW w:w="850" w:type="dxa"/>
            <w:shd w:val="clear" w:color="auto" w:fill="E8ECF0"/>
            <w:tcMar>
              <w:top w:w="100" w:type="dxa"/>
              <w:left w:w="140" w:type="dxa"/>
              <w:bottom w:w="100" w:type="dxa"/>
              <w:right w:w="140" w:type="dxa"/>
            </w:tcMar>
            <w:vAlign w:val="center"/>
            <w:hideMark/>
          </w:tcPr>
          <w:p w14:paraId="2AAA0B9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60.2%</w:t>
            </w:r>
          </w:p>
        </w:tc>
        <w:tc>
          <w:tcPr>
            <w:tcW w:w="709" w:type="dxa"/>
            <w:shd w:val="clear" w:color="auto" w:fill="E8ECF0"/>
            <w:tcMar>
              <w:top w:w="100" w:type="dxa"/>
              <w:left w:w="140" w:type="dxa"/>
              <w:bottom w:w="100" w:type="dxa"/>
              <w:right w:w="140" w:type="dxa"/>
            </w:tcMar>
            <w:vAlign w:val="center"/>
            <w:hideMark/>
          </w:tcPr>
          <w:p w14:paraId="588BD36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30.7%</w:t>
            </w:r>
          </w:p>
        </w:tc>
        <w:tc>
          <w:tcPr>
            <w:tcW w:w="851" w:type="dxa"/>
            <w:shd w:val="clear" w:color="auto" w:fill="E8ECF0"/>
            <w:tcMar>
              <w:top w:w="100" w:type="dxa"/>
              <w:left w:w="140" w:type="dxa"/>
              <w:bottom w:w="100" w:type="dxa"/>
              <w:right w:w="140" w:type="dxa"/>
            </w:tcMar>
            <w:vAlign w:val="center"/>
            <w:hideMark/>
          </w:tcPr>
          <w:p w14:paraId="07394F8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0.946</w:t>
            </w:r>
          </w:p>
        </w:tc>
        <w:tc>
          <w:tcPr>
            <w:tcW w:w="850" w:type="dxa"/>
            <w:shd w:val="clear" w:color="auto" w:fill="E8ECF0"/>
            <w:tcMar>
              <w:top w:w="100" w:type="dxa"/>
              <w:left w:w="140" w:type="dxa"/>
              <w:bottom w:w="100" w:type="dxa"/>
              <w:right w:w="140" w:type="dxa"/>
            </w:tcMar>
            <w:vAlign w:val="center"/>
            <w:hideMark/>
          </w:tcPr>
          <w:p w14:paraId="3CAD1B0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¥303,000</w:t>
            </w:r>
          </w:p>
        </w:tc>
      </w:tr>
      <w:tr w:rsidR="005E2FD3" w:rsidRPr="005E2FD3" w14:paraId="365C3713" w14:textId="77777777" w:rsidTr="00A83861">
        <w:trPr>
          <w:trHeight w:val="803"/>
        </w:trPr>
        <w:tc>
          <w:tcPr>
            <w:tcW w:w="851" w:type="dxa"/>
            <w:shd w:val="clear" w:color="auto" w:fill="FFFFFF"/>
            <w:tcMar>
              <w:top w:w="100" w:type="dxa"/>
              <w:left w:w="140" w:type="dxa"/>
              <w:bottom w:w="100" w:type="dxa"/>
              <w:right w:w="140" w:type="dxa"/>
            </w:tcMar>
            <w:vAlign w:val="center"/>
            <w:hideMark/>
          </w:tcPr>
          <w:p w14:paraId="39FC79F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lastRenderedPageBreak/>
              <w:t>Nanjing Xinjiekou Pedestrian Street</w:t>
            </w:r>
          </w:p>
        </w:tc>
        <w:tc>
          <w:tcPr>
            <w:tcW w:w="709" w:type="dxa"/>
            <w:shd w:val="clear" w:color="auto" w:fill="FFFFFF"/>
            <w:tcMar>
              <w:top w:w="100" w:type="dxa"/>
              <w:left w:w="140" w:type="dxa"/>
              <w:bottom w:w="100" w:type="dxa"/>
              <w:right w:w="140" w:type="dxa"/>
            </w:tcMar>
            <w:vAlign w:val="center"/>
            <w:hideMark/>
          </w:tcPr>
          <w:p w14:paraId="25DF741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2.20</w:t>
            </w:r>
          </w:p>
        </w:tc>
        <w:tc>
          <w:tcPr>
            <w:tcW w:w="708" w:type="dxa"/>
            <w:shd w:val="clear" w:color="auto" w:fill="FFFFFF"/>
            <w:tcMar>
              <w:top w:w="100" w:type="dxa"/>
              <w:left w:w="140" w:type="dxa"/>
              <w:bottom w:w="100" w:type="dxa"/>
              <w:right w:w="140" w:type="dxa"/>
            </w:tcMar>
            <w:vAlign w:val="center"/>
            <w:hideMark/>
          </w:tcPr>
          <w:p w14:paraId="08753FCB"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High-end</w:t>
            </w:r>
          </w:p>
        </w:tc>
        <w:tc>
          <w:tcPr>
            <w:tcW w:w="851" w:type="dxa"/>
            <w:shd w:val="clear" w:color="auto" w:fill="FFFFFF"/>
            <w:tcMar>
              <w:top w:w="100" w:type="dxa"/>
              <w:left w:w="140" w:type="dxa"/>
              <w:bottom w:w="100" w:type="dxa"/>
              <w:right w:w="140" w:type="dxa"/>
            </w:tcMar>
            <w:vAlign w:val="center"/>
            <w:hideMark/>
          </w:tcPr>
          <w:p w14:paraId="151D136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177D58C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FFFFFF"/>
            <w:tcMar>
              <w:top w:w="100" w:type="dxa"/>
              <w:left w:w="140" w:type="dxa"/>
              <w:bottom w:w="100" w:type="dxa"/>
              <w:right w:w="140" w:type="dxa"/>
            </w:tcMar>
            <w:vAlign w:val="center"/>
            <w:hideMark/>
          </w:tcPr>
          <w:p w14:paraId="3EC3199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63.3%</w:t>
            </w:r>
          </w:p>
        </w:tc>
        <w:tc>
          <w:tcPr>
            <w:tcW w:w="709" w:type="dxa"/>
            <w:shd w:val="clear" w:color="auto" w:fill="FFFFFF"/>
            <w:tcMar>
              <w:top w:w="100" w:type="dxa"/>
              <w:left w:w="140" w:type="dxa"/>
              <w:bottom w:w="100" w:type="dxa"/>
              <w:right w:w="140" w:type="dxa"/>
            </w:tcMar>
            <w:vAlign w:val="center"/>
            <w:hideMark/>
          </w:tcPr>
          <w:p w14:paraId="5DB98D2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36.0%</w:t>
            </w:r>
          </w:p>
        </w:tc>
        <w:tc>
          <w:tcPr>
            <w:tcW w:w="658" w:type="dxa"/>
            <w:shd w:val="clear" w:color="auto" w:fill="FFFFFF"/>
            <w:tcMar>
              <w:top w:w="100" w:type="dxa"/>
              <w:left w:w="140" w:type="dxa"/>
              <w:bottom w:w="100" w:type="dxa"/>
              <w:right w:w="140" w:type="dxa"/>
            </w:tcMar>
            <w:vAlign w:val="center"/>
            <w:hideMark/>
          </w:tcPr>
          <w:p w14:paraId="3268B5B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0.7%</w:t>
            </w:r>
          </w:p>
        </w:tc>
        <w:tc>
          <w:tcPr>
            <w:tcW w:w="759" w:type="dxa"/>
            <w:shd w:val="clear" w:color="auto" w:fill="FFFFFF"/>
            <w:tcMar>
              <w:top w:w="100" w:type="dxa"/>
              <w:left w:w="140" w:type="dxa"/>
              <w:bottom w:w="100" w:type="dxa"/>
              <w:right w:w="140" w:type="dxa"/>
            </w:tcMar>
            <w:vAlign w:val="center"/>
            <w:hideMark/>
          </w:tcPr>
          <w:p w14:paraId="7610B95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FFFFFF"/>
            <w:tcMar>
              <w:top w:w="100" w:type="dxa"/>
              <w:left w:w="140" w:type="dxa"/>
              <w:bottom w:w="100" w:type="dxa"/>
              <w:right w:w="140" w:type="dxa"/>
            </w:tcMar>
            <w:vAlign w:val="center"/>
            <w:hideMark/>
          </w:tcPr>
          <w:p w14:paraId="7AA3732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5.1%</w:t>
            </w:r>
          </w:p>
        </w:tc>
        <w:tc>
          <w:tcPr>
            <w:tcW w:w="850" w:type="dxa"/>
            <w:shd w:val="clear" w:color="auto" w:fill="FFFFFF"/>
            <w:tcMar>
              <w:top w:w="100" w:type="dxa"/>
              <w:left w:w="140" w:type="dxa"/>
              <w:bottom w:w="100" w:type="dxa"/>
              <w:right w:w="140" w:type="dxa"/>
            </w:tcMar>
            <w:vAlign w:val="center"/>
            <w:hideMark/>
          </w:tcPr>
          <w:p w14:paraId="6B86A29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33.3%</w:t>
            </w:r>
          </w:p>
        </w:tc>
        <w:tc>
          <w:tcPr>
            <w:tcW w:w="709" w:type="dxa"/>
            <w:shd w:val="clear" w:color="auto" w:fill="FFFFFF"/>
            <w:tcMar>
              <w:top w:w="100" w:type="dxa"/>
              <w:left w:w="140" w:type="dxa"/>
              <w:bottom w:w="100" w:type="dxa"/>
              <w:right w:w="140" w:type="dxa"/>
            </w:tcMar>
            <w:vAlign w:val="center"/>
            <w:hideMark/>
          </w:tcPr>
          <w:p w14:paraId="271991C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61.6%</w:t>
            </w:r>
          </w:p>
        </w:tc>
        <w:tc>
          <w:tcPr>
            <w:tcW w:w="851" w:type="dxa"/>
            <w:shd w:val="clear" w:color="auto" w:fill="FFFFFF"/>
            <w:tcMar>
              <w:top w:w="100" w:type="dxa"/>
              <w:left w:w="140" w:type="dxa"/>
              <w:bottom w:w="100" w:type="dxa"/>
              <w:right w:w="140" w:type="dxa"/>
            </w:tcMar>
            <w:vAlign w:val="center"/>
            <w:hideMark/>
          </w:tcPr>
          <w:p w14:paraId="1AFADF1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0.991</w:t>
            </w:r>
          </w:p>
        </w:tc>
        <w:tc>
          <w:tcPr>
            <w:tcW w:w="850" w:type="dxa"/>
            <w:shd w:val="clear" w:color="auto" w:fill="FFFFFF"/>
            <w:tcMar>
              <w:top w:w="100" w:type="dxa"/>
              <w:left w:w="140" w:type="dxa"/>
              <w:bottom w:w="100" w:type="dxa"/>
              <w:right w:w="140" w:type="dxa"/>
            </w:tcMar>
            <w:vAlign w:val="center"/>
            <w:hideMark/>
          </w:tcPr>
          <w:p w14:paraId="254DD7C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¥131,000</w:t>
            </w:r>
          </w:p>
        </w:tc>
      </w:tr>
      <w:tr w:rsidR="005E2FD3" w:rsidRPr="005E2FD3" w14:paraId="69E22D2E" w14:textId="77777777" w:rsidTr="00923C4E">
        <w:trPr>
          <w:trHeight w:val="15"/>
        </w:trPr>
        <w:tc>
          <w:tcPr>
            <w:tcW w:w="851" w:type="dxa"/>
            <w:shd w:val="clear" w:color="auto" w:fill="FFFFFF"/>
            <w:tcMar>
              <w:top w:w="100" w:type="dxa"/>
              <w:left w:w="140" w:type="dxa"/>
              <w:bottom w:w="100" w:type="dxa"/>
              <w:right w:w="140" w:type="dxa"/>
            </w:tcMar>
            <w:vAlign w:val="center"/>
            <w:hideMark/>
          </w:tcPr>
          <w:p w14:paraId="0AB9B3D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Kunming Shuncheng Shopping Center</w:t>
            </w:r>
          </w:p>
        </w:tc>
        <w:tc>
          <w:tcPr>
            <w:tcW w:w="709" w:type="dxa"/>
            <w:shd w:val="clear" w:color="auto" w:fill="E8ECF0"/>
            <w:tcMar>
              <w:top w:w="100" w:type="dxa"/>
              <w:left w:w="140" w:type="dxa"/>
              <w:bottom w:w="100" w:type="dxa"/>
              <w:right w:w="140" w:type="dxa"/>
            </w:tcMar>
            <w:vAlign w:val="center"/>
            <w:hideMark/>
          </w:tcPr>
          <w:p w14:paraId="1133F93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2.20</w:t>
            </w:r>
          </w:p>
        </w:tc>
        <w:tc>
          <w:tcPr>
            <w:tcW w:w="708" w:type="dxa"/>
            <w:shd w:val="clear" w:color="auto" w:fill="E8ECF0"/>
            <w:tcMar>
              <w:top w:w="100" w:type="dxa"/>
              <w:left w:w="140" w:type="dxa"/>
              <w:bottom w:w="100" w:type="dxa"/>
              <w:right w:w="140" w:type="dxa"/>
            </w:tcMar>
            <w:vAlign w:val="center"/>
            <w:hideMark/>
          </w:tcPr>
          <w:p w14:paraId="11ECBE33"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High-end</w:t>
            </w:r>
          </w:p>
        </w:tc>
        <w:tc>
          <w:tcPr>
            <w:tcW w:w="851" w:type="dxa"/>
            <w:shd w:val="clear" w:color="auto" w:fill="E8ECF0"/>
            <w:tcMar>
              <w:top w:w="100" w:type="dxa"/>
              <w:left w:w="140" w:type="dxa"/>
              <w:bottom w:w="100" w:type="dxa"/>
              <w:right w:w="140" w:type="dxa"/>
            </w:tcMar>
            <w:vAlign w:val="center"/>
            <w:hideMark/>
          </w:tcPr>
          <w:p w14:paraId="424970B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E8ECF0"/>
            <w:tcMar>
              <w:top w:w="100" w:type="dxa"/>
              <w:left w:w="140" w:type="dxa"/>
              <w:bottom w:w="100" w:type="dxa"/>
              <w:right w:w="140" w:type="dxa"/>
            </w:tcMar>
            <w:vAlign w:val="center"/>
            <w:hideMark/>
          </w:tcPr>
          <w:p w14:paraId="1676BDB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Gold Standard Dominant</w:t>
            </w:r>
          </w:p>
        </w:tc>
        <w:tc>
          <w:tcPr>
            <w:tcW w:w="709" w:type="dxa"/>
            <w:shd w:val="clear" w:color="auto" w:fill="E8ECF0"/>
            <w:tcMar>
              <w:top w:w="100" w:type="dxa"/>
              <w:left w:w="140" w:type="dxa"/>
              <w:bottom w:w="100" w:type="dxa"/>
              <w:right w:w="140" w:type="dxa"/>
            </w:tcMar>
            <w:vAlign w:val="center"/>
            <w:hideMark/>
          </w:tcPr>
          <w:p w14:paraId="6458815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58.4%</w:t>
            </w:r>
          </w:p>
        </w:tc>
        <w:tc>
          <w:tcPr>
            <w:tcW w:w="709" w:type="dxa"/>
            <w:shd w:val="clear" w:color="auto" w:fill="E8ECF0"/>
            <w:tcMar>
              <w:top w:w="100" w:type="dxa"/>
              <w:left w:w="140" w:type="dxa"/>
              <w:bottom w:w="100" w:type="dxa"/>
              <w:right w:w="140" w:type="dxa"/>
            </w:tcMar>
            <w:vAlign w:val="center"/>
            <w:hideMark/>
          </w:tcPr>
          <w:p w14:paraId="32662C5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40.9%</w:t>
            </w:r>
          </w:p>
        </w:tc>
        <w:tc>
          <w:tcPr>
            <w:tcW w:w="658" w:type="dxa"/>
            <w:shd w:val="clear" w:color="auto" w:fill="E8ECF0"/>
            <w:tcMar>
              <w:top w:w="100" w:type="dxa"/>
              <w:left w:w="140" w:type="dxa"/>
              <w:bottom w:w="100" w:type="dxa"/>
              <w:right w:w="140" w:type="dxa"/>
            </w:tcMar>
            <w:vAlign w:val="center"/>
            <w:hideMark/>
          </w:tcPr>
          <w:p w14:paraId="14BEC6C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0.7%</w:t>
            </w:r>
          </w:p>
        </w:tc>
        <w:tc>
          <w:tcPr>
            <w:tcW w:w="759" w:type="dxa"/>
            <w:shd w:val="clear" w:color="auto" w:fill="E8ECF0"/>
            <w:tcMar>
              <w:top w:w="100" w:type="dxa"/>
              <w:left w:w="140" w:type="dxa"/>
              <w:bottom w:w="100" w:type="dxa"/>
              <w:right w:w="140" w:type="dxa"/>
            </w:tcMar>
            <w:vAlign w:val="center"/>
            <w:hideMark/>
          </w:tcPr>
          <w:p w14:paraId="75DC0E8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0.4%</w:t>
            </w:r>
          </w:p>
        </w:tc>
        <w:tc>
          <w:tcPr>
            <w:tcW w:w="709" w:type="dxa"/>
            <w:shd w:val="clear" w:color="auto" w:fill="E8ECF0"/>
            <w:tcMar>
              <w:top w:w="100" w:type="dxa"/>
              <w:left w:w="140" w:type="dxa"/>
              <w:bottom w:w="100" w:type="dxa"/>
              <w:right w:w="140" w:type="dxa"/>
            </w:tcMar>
            <w:vAlign w:val="center"/>
            <w:hideMark/>
          </w:tcPr>
          <w:p w14:paraId="1626ACF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29.6%</w:t>
            </w:r>
          </w:p>
        </w:tc>
        <w:tc>
          <w:tcPr>
            <w:tcW w:w="850" w:type="dxa"/>
            <w:shd w:val="clear" w:color="auto" w:fill="E8ECF0"/>
            <w:tcMar>
              <w:top w:w="100" w:type="dxa"/>
              <w:left w:w="140" w:type="dxa"/>
              <w:bottom w:w="100" w:type="dxa"/>
              <w:right w:w="140" w:type="dxa"/>
            </w:tcMar>
            <w:vAlign w:val="center"/>
            <w:hideMark/>
          </w:tcPr>
          <w:p w14:paraId="64C6115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9.3%</w:t>
            </w:r>
          </w:p>
        </w:tc>
        <w:tc>
          <w:tcPr>
            <w:tcW w:w="709" w:type="dxa"/>
            <w:shd w:val="clear" w:color="auto" w:fill="E8ECF0"/>
            <w:tcMar>
              <w:top w:w="100" w:type="dxa"/>
              <w:left w:w="140" w:type="dxa"/>
              <w:bottom w:w="100" w:type="dxa"/>
              <w:right w:w="140" w:type="dxa"/>
            </w:tcMar>
            <w:vAlign w:val="center"/>
            <w:hideMark/>
          </w:tcPr>
          <w:p w14:paraId="1D94046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60.6%</w:t>
            </w:r>
          </w:p>
        </w:tc>
        <w:tc>
          <w:tcPr>
            <w:tcW w:w="851" w:type="dxa"/>
            <w:shd w:val="clear" w:color="auto" w:fill="E8ECF0"/>
            <w:tcMar>
              <w:top w:w="100" w:type="dxa"/>
              <w:left w:w="140" w:type="dxa"/>
              <w:bottom w:w="100" w:type="dxa"/>
              <w:right w:w="140" w:type="dxa"/>
            </w:tcMar>
            <w:vAlign w:val="center"/>
            <w:hideMark/>
          </w:tcPr>
          <w:p w14:paraId="5278EBE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0.966</w:t>
            </w:r>
          </w:p>
        </w:tc>
        <w:tc>
          <w:tcPr>
            <w:tcW w:w="850" w:type="dxa"/>
            <w:shd w:val="clear" w:color="auto" w:fill="E8ECF0"/>
            <w:tcMar>
              <w:top w:w="100" w:type="dxa"/>
              <w:left w:w="140" w:type="dxa"/>
              <w:bottom w:w="100" w:type="dxa"/>
              <w:right w:w="140" w:type="dxa"/>
            </w:tcMar>
            <w:vAlign w:val="center"/>
            <w:hideMark/>
          </w:tcPr>
          <w:p w14:paraId="03FF07F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¥244,000</w:t>
            </w:r>
          </w:p>
        </w:tc>
      </w:tr>
      <w:tr w:rsidR="005E2FD3" w:rsidRPr="005E2FD3" w14:paraId="0789E0CD" w14:textId="77777777" w:rsidTr="00923C4E">
        <w:trPr>
          <w:trHeight w:val="248"/>
        </w:trPr>
        <w:tc>
          <w:tcPr>
            <w:tcW w:w="851" w:type="dxa"/>
            <w:shd w:val="clear" w:color="auto" w:fill="FFFFFF"/>
            <w:tcMar>
              <w:top w:w="100" w:type="dxa"/>
              <w:left w:w="140" w:type="dxa"/>
              <w:bottom w:w="100" w:type="dxa"/>
              <w:right w:w="140" w:type="dxa"/>
            </w:tcMar>
            <w:vAlign w:val="center"/>
            <w:hideMark/>
          </w:tcPr>
          <w:p w14:paraId="24EC275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Changsha MixC</w:t>
            </w:r>
          </w:p>
        </w:tc>
        <w:tc>
          <w:tcPr>
            <w:tcW w:w="709" w:type="dxa"/>
            <w:shd w:val="clear" w:color="auto" w:fill="FFFFFF"/>
            <w:tcMar>
              <w:top w:w="100" w:type="dxa"/>
              <w:left w:w="140" w:type="dxa"/>
              <w:bottom w:w="100" w:type="dxa"/>
              <w:right w:w="140" w:type="dxa"/>
            </w:tcMar>
            <w:vAlign w:val="center"/>
            <w:hideMark/>
          </w:tcPr>
          <w:p w14:paraId="12AED29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2.15</w:t>
            </w:r>
          </w:p>
        </w:tc>
        <w:tc>
          <w:tcPr>
            <w:tcW w:w="708" w:type="dxa"/>
            <w:shd w:val="clear" w:color="auto" w:fill="FFFFFF"/>
            <w:tcMar>
              <w:top w:w="100" w:type="dxa"/>
              <w:left w:w="140" w:type="dxa"/>
              <w:bottom w:w="100" w:type="dxa"/>
              <w:right w:w="140" w:type="dxa"/>
            </w:tcMar>
            <w:vAlign w:val="center"/>
            <w:hideMark/>
          </w:tcPr>
          <w:p w14:paraId="57D26A82"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FFFFFF"/>
            <w:tcMar>
              <w:top w:w="100" w:type="dxa"/>
              <w:left w:w="140" w:type="dxa"/>
              <w:bottom w:w="100" w:type="dxa"/>
              <w:right w:w="140" w:type="dxa"/>
            </w:tcMar>
            <w:vAlign w:val="center"/>
            <w:hideMark/>
          </w:tcPr>
          <w:p w14:paraId="3E4CF42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293EC6A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709" w:type="dxa"/>
            <w:shd w:val="clear" w:color="auto" w:fill="FFFFFF"/>
            <w:tcMar>
              <w:top w:w="100" w:type="dxa"/>
              <w:left w:w="140" w:type="dxa"/>
              <w:bottom w:w="100" w:type="dxa"/>
              <w:right w:w="140" w:type="dxa"/>
            </w:tcMar>
            <w:vAlign w:val="center"/>
            <w:hideMark/>
          </w:tcPr>
          <w:p w14:paraId="685873C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69.0%</w:t>
            </w:r>
          </w:p>
        </w:tc>
        <w:tc>
          <w:tcPr>
            <w:tcW w:w="709" w:type="dxa"/>
            <w:shd w:val="clear" w:color="auto" w:fill="FFFFFF"/>
            <w:tcMar>
              <w:top w:w="100" w:type="dxa"/>
              <w:left w:w="140" w:type="dxa"/>
              <w:bottom w:w="100" w:type="dxa"/>
              <w:right w:w="140" w:type="dxa"/>
            </w:tcMar>
            <w:vAlign w:val="center"/>
            <w:hideMark/>
          </w:tcPr>
          <w:p w14:paraId="245F459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29.7%</w:t>
            </w:r>
          </w:p>
        </w:tc>
        <w:tc>
          <w:tcPr>
            <w:tcW w:w="658" w:type="dxa"/>
            <w:shd w:val="clear" w:color="auto" w:fill="FFFFFF"/>
            <w:tcMar>
              <w:top w:w="100" w:type="dxa"/>
              <w:left w:w="140" w:type="dxa"/>
              <w:bottom w:w="100" w:type="dxa"/>
              <w:right w:w="140" w:type="dxa"/>
            </w:tcMar>
            <w:vAlign w:val="center"/>
            <w:hideMark/>
          </w:tcPr>
          <w:p w14:paraId="75FE25B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1.3%</w:t>
            </w:r>
          </w:p>
        </w:tc>
        <w:tc>
          <w:tcPr>
            <w:tcW w:w="759" w:type="dxa"/>
            <w:shd w:val="clear" w:color="auto" w:fill="FFFFFF"/>
            <w:tcMar>
              <w:top w:w="100" w:type="dxa"/>
              <w:left w:w="140" w:type="dxa"/>
              <w:bottom w:w="100" w:type="dxa"/>
              <w:right w:w="140" w:type="dxa"/>
            </w:tcMar>
            <w:vAlign w:val="center"/>
            <w:hideMark/>
          </w:tcPr>
          <w:p w14:paraId="31FAF37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0.6%</w:t>
            </w:r>
          </w:p>
        </w:tc>
        <w:tc>
          <w:tcPr>
            <w:tcW w:w="709" w:type="dxa"/>
            <w:shd w:val="clear" w:color="auto" w:fill="FFFFFF"/>
            <w:tcMar>
              <w:top w:w="100" w:type="dxa"/>
              <w:left w:w="140" w:type="dxa"/>
              <w:bottom w:w="100" w:type="dxa"/>
              <w:right w:w="140" w:type="dxa"/>
            </w:tcMar>
            <w:vAlign w:val="center"/>
            <w:hideMark/>
          </w:tcPr>
          <w:p w14:paraId="035A14F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9.9%</w:t>
            </w:r>
          </w:p>
        </w:tc>
        <w:tc>
          <w:tcPr>
            <w:tcW w:w="850" w:type="dxa"/>
            <w:shd w:val="clear" w:color="auto" w:fill="FFFFFF"/>
            <w:tcMar>
              <w:top w:w="100" w:type="dxa"/>
              <w:left w:w="140" w:type="dxa"/>
              <w:bottom w:w="100" w:type="dxa"/>
              <w:right w:w="140" w:type="dxa"/>
            </w:tcMar>
            <w:vAlign w:val="center"/>
            <w:hideMark/>
          </w:tcPr>
          <w:p w14:paraId="31E3E6B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15.1%</w:t>
            </w:r>
          </w:p>
        </w:tc>
        <w:tc>
          <w:tcPr>
            <w:tcW w:w="709" w:type="dxa"/>
            <w:shd w:val="clear" w:color="auto" w:fill="FFFFFF"/>
            <w:tcMar>
              <w:top w:w="100" w:type="dxa"/>
              <w:left w:w="140" w:type="dxa"/>
              <w:bottom w:w="100" w:type="dxa"/>
              <w:right w:w="140" w:type="dxa"/>
            </w:tcMar>
            <w:vAlign w:val="center"/>
            <w:hideMark/>
          </w:tcPr>
          <w:p w14:paraId="0F167B7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74.4%</w:t>
            </w:r>
          </w:p>
        </w:tc>
        <w:tc>
          <w:tcPr>
            <w:tcW w:w="851" w:type="dxa"/>
            <w:shd w:val="clear" w:color="auto" w:fill="FFFFFF"/>
            <w:tcMar>
              <w:top w:w="100" w:type="dxa"/>
              <w:left w:w="140" w:type="dxa"/>
              <w:bottom w:w="100" w:type="dxa"/>
              <w:right w:w="140" w:type="dxa"/>
            </w:tcMar>
            <w:vAlign w:val="center"/>
            <w:hideMark/>
          </w:tcPr>
          <w:p w14:paraId="6C8AF8D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0.963</w:t>
            </w:r>
          </w:p>
        </w:tc>
        <w:tc>
          <w:tcPr>
            <w:tcW w:w="850" w:type="dxa"/>
            <w:shd w:val="clear" w:color="auto" w:fill="FFFFFF"/>
            <w:tcMar>
              <w:top w:w="100" w:type="dxa"/>
              <w:left w:w="140" w:type="dxa"/>
              <w:bottom w:w="100" w:type="dxa"/>
              <w:right w:w="140" w:type="dxa"/>
            </w:tcMar>
            <w:vAlign w:val="center"/>
            <w:hideMark/>
          </w:tcPr>
          <w:p w14:paraId="2A7938E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¥134,000</w:t>
            </w:r>
          </w:p>
        </w:tc>
      </w:tr>
      <w:tr w:rsidR="005E2FD3" w:rsidRPr="005E2FD3" w14:paraId="6A21F58E" w14:textId="77777777" w:rsidTr="00923C4E">
        <w:trPr>
          <w:trHeight w:val="504"/>
        </w:trPr>
        <w:tc>
          <w:tcPr>
            <w:tcW w:w="851" w:type="dxa"/>
            <w:shd w:val="clear" w:color="auto" w:fill="FFFFFF"/>
            <w:tcMar>
              <w:top w:w="100" w:type="dxa"/>
              <w:left w:w="140" w:type="dxa"/>
              <w:bottom w:w="100" w:type="dxa"/>
              <w:right w:w="140" w:type="dxa"/>
            </w:tcMar>
            <w:vAlign w:val="center"/>
            <w:hideMark/>
          </w:tcPr>
          <w:p w14:paraId="4F81BFE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Shenyang Tiexi MixC Mall</w:t>
            </w:r>
          </w:p>
        </w:tc>
        <w:tc>
          <w:tcPr>
            <w:tcW w:w="709" w:type="dxa"/>
            <w:shd w:val="clear" w:color="auto" w:fill="E8ECF0"/>
            <w:tcMar>
              <w:top w:w="100" w:type="dxa"/>
              <w:left w:w="140" w:type="dxa"/>
              <w:bottom w:w="100" w:type="dxa"/>
              <w:right w:w="140" w:type="dxa"/>
            </w:tcMar>
            <w:vAlign w:val="center"/>
            <w:hideMark/>
          </w:tcPr>
          <w:p w14:paraId="3FAB2FC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2.10</w:t>
            </w:r>
          </w:p>
        </w:tc>
        <w:tc>
          <w:tcPr>
            <w:tcW w:w="708" w:type="dxa"/>
            <w:shd w:val="clear" w:color="auto" w:fill="E8ECF0"/>
            <w:tcMar>
              <w:top w:w="100" w:type="dxa"/>
              <w:left w:w="140" w:type="dxa"/>
              <w:bottom w:w="100" w:type="dxa"/>
              <w:right w:w="140" w:type="dxa"/>
            </w:tcMar>
            <w:vAlign w:val="center"/>
            <w:hideMark/>
          </w:tcPr>
          <w:p w14:paraId="25547D46"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E8ECF0"/>
            <w:tcMar>
              <w:top w:w="100" w:type="dxa"/>
              <w:left w:w="140" w:type="dxa"/>
              <w:bottom w:w="100" w:type="dxa"/>
              <w:right w:w="140" w:type="dxa"/>
            </w:tcMar>
            <w:vAlign w:val="center"/>
            <w:hideMark/>
          </w:tcPr>
          <w:p w14:paraId="35569EB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E8ECF0"/>
            <w:tcMar>
              <w:top w:w="100" w:type="dxa"/>
              <w:left w:w="140" w:type="dxa"/>
              <w:bottom w:w="100" w:type="dxa"/>
              <w:right w:w="140" w:type="dxa"/>
            </w:tcMar>
            <w:vAlign w:val="center"/>
            <w:hideMark/>
          </w:tcPr>
          <w:p w14:paraId="571322A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E8ECF0"/>
            <w:tcMar>
              <w:top w:w="100" w:type="dxa"/>
              <w:left w:w="140" w:type="dxa"/>
              <w:bottom w:w="100" w:type="dxa"/>
              <w:right w:w="140" w:type="dxa"/>
            </w:tcMar>
            <w:vAlign w:val="center"/>
            <w:hideMark/>
          </w:tcPr>
          <w:p w14:paraId="1426250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72.1%</w:t>
            </w:r>
          </w:p>
        </w:tc>
        <w:tc>
          <w:tcPr>
            <w:tcW w:w="709" w:type="dxa"/>
            <w:shd w:val="clear" w:color="auto" w:fill="E8ECF0"/>
            <w:tcMar>
              <w:top w:w="100" w:type="dxa"/>
              <w:left w:w="140" w:type="dxa"/>
              <w:bottom w:w="100" w:type="dxa"/>
              <w:right w:w="140" w:type="dxa"/>
            </w:tcMar>
            <w:vAlign w:val="center"/>
            <w:hideMark/>
          </w:tcPr>
          <w:p w14:paraId="16678A1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27.7%</w:t>
            </w:r>
          </w:p>
        </w:tc>
        <w:tc>
          <w:tcPr>
            <w:tcW w:w="658" w:type="dxa"/>
            <w:shd w:val="clear" w:color="auto" w:fill="E8ECF0"/>
            <w:tcMar>
              <w:top w:w="100" w:type="dxa"/>
              <w:left w:w="140" w:type="dxa"/>
              <w:bottom w:w="100" w:type="dxa"/>
              <w:right w:w="140" w:type="dxa"/>
            </w:tcMar>
            <w:vAlign w:val="center"/>
            <w:hideMark/>
          </w:tcPr>
          <w:p w14:paraId="1D2A24B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0.2%</w:t>
            </w:r>
          </w:p>
        </w:tc>
        <w:tc>
          <w:tcPr>
            <w:tcW w:w="759" w:type="dxa"/>
            <w:shd w:val="clear" w:color="auto" w:fill="E8ECF0"/>
            <w:tcMar>
              <w:top w:w="100" w:type="dxa"/>
              <w:left w:w="140" w:type="dxa"/>
              <w:bottom w:w="100" w:type="dxa"/>
              <w:right w:w="140" w:type="dxa"/>
            </w:tcMar>
            <w:vAlign w:val="center"/>
            <w:hideMark/>
          </w:tcPr>
          <w:p w14:paraId="74CF8AC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E8ECF0"/>
            <w:tcMar>
              <w:top w:w="100" w:type="dxa"/>
              <w:left w:w="140" w:type="dxa"/>
              <w:bottom w:w="100" w:type="dxa"/>
              <w:right w:w="140" w:type="dxa"/>
            </w:tcMar>
            <w:vAlign w:val="center"/>
            <w:hideMark/>
          </w:tcPr>
          <w:p w14:paraId="590C99C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10.9%</w:t>
            </w:r>
          </w:p>
        </w:tc>
        <w:tc>
          <w:tcPr>
            <w:tcW w:w="850" w:type="dxa"/>
            <w:shd w:val="clear" w:color="auto" w:fill="E8ECF0"/>
            <w:tcMar>
              <w:top w:w="100" w:type="dxa"/>
              <w:left w:w="140" w:type="dxa"/>
              <w:bottom w:w="100" w:type="dxa"/>
              <w:right w:w="140" w:type="dxa"/>
            </w:tcMar>
            <w:vAlign w:val="center"/>
            <w:hideMark/>
          </w:tcPr>
          <w:p w14:paraId="5374A09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20.2%</w:t>
            </w:r>
          </w:p>
        </w:tc>
        <w:tc>
          <w:tcPr>
            <w:tcW w:w="709" w:type="dxa"/>
            <w:shd w:val="clear" w:color="auto" w:fill="E8ECF0"/>
            <w:tcMar>
              <w:top w:w="100" w:type="dxa"/>
              <w:left w:w="140" w:type="dxa"/>
              <w:bottom w:w="100" w:type="dxa"/>
              <w:right w:w="140" w:type="dxa"/>
            </w:tcMar>
            <w:vAlign w:val="center"/>
            <w:hideMark/>
          </w:tcPr>
          <w:p w14:paraId="3C41A24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68.9%</w:t>
            </w:r>
          </w:p>
        </w:tc>
        <w:tc>
          <w:tcPr>
            <w:tcW w:w="851" w:type="dxa"/>
            <w:shd w:val="clear" w:color="auto" w:fill="E8ECF0"/>
            <w:tcMar>
              <w:top w:w="100" w:type="dxa"/>
              <w:left w:w="140" w:type="dxa"/>
              <w:bottom w:w="100" w:type="dxa"/>
              <w:right w:w="140" w:type="dxa"/>
            </w:tcMar>
            <w:vAlign w:val="center"/>
            <w:hideMark/>
          </w:tcPr>
          <w:p w14:paraId="3CFAC34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0.966</w:t>
            </w:r>
          </w:p>
        </w:tc>
        <w:tc>
          <w:tcPr>
            <w:tcW w:w="850" w:type="dxa"/>
            <w:shd w:val="clear" w:color="auto" w:fill="E8ECF0"/>
            <w:tcMar>
              <w:top w:w="100" w:type="dxa"/>
              <w:left w:w="140" w:type="dxa"/>
              <w:bottom w:w="100" w:type="dxa"/>
              <w:right w:w="140" w:type="dxa"/>
            </w:tcMar>
            <w:vAlign w:val="center"/>
            <w:hideMark/>
          </w:tcPr>
          <w:p w14:paraId="7B22339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¥143,000</w:t>
            </w:r>
          </w:p>
        </w:tc>
      </w:tr>
      <w:tr w:rsidR="005E2FD3" w:rsidRPr="005E2FD3" w14:paraId="5645D51C" w14:textId="77777777" w:rsidTr="00923C4E">
        <w:trPr>
          <w:trHeight w:val="785"/>
        </w:trPr>
        <w:tc>
          <w:tcPr>
            <w:tcW w:w="851" w:type="dxa"/>
            <w:shd w:val="clear" w:color="auto" w:fill="FFFFFF"/>
            <w:tcMar>
              <w:top w:w="100" w:type="dxa"/>
              <w:left w:w="140" w:type="dxa"/>
              <w:bottom w:w="100" w:type="dxa"/>
              <w:right w:w="140" w:type="dxa"/>
            </w:tcMar>
            <w:vAlign w:val="center"/>
            <w:hideMark/>
          </w:tcPr>
          <w:p w14:paraId="33D6305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Sanlitun, Beijing</w:t>
            </w:r>
          </w:p>
        </w:tc>
        <w:tc>
          <w:tcPr>
            <w:tcW w:w="709" w:type="dxa"/>
            <w:shd w:val="clear" w:color="auto" w:fill="FFFFFF"/>
            <w:tcMar>
              <w:top w:w="100" w:type="dxa"/>
              <w:left w:w="140" w:type="dxa"/>
              <w:bottom w:w="100" w:type="dxa"/>
              <w:right w:w="140" w:type="dxa"/>
            </w:tcMar>
            <w:vAlign w:val="center"/>
            <w:hideMark/>
          </w:tcPr>
          <w:p w14:paraId="3B0A293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2.00</w:t>
            </w:r>
          </w:p>
        </w:tc>
        <w:tc>
          <w:tcPr>
            <w:tcW w:w="708" w:type="dxa"/>
            <w:shd w:val="clear" w:color="auto" w:fill="FFFFFF"/>
            <w:tcMar>
              <w:top w:w="100" w:type="dxa"/>
              <w:left w:w="140" w:type="dxa"/>
              <w:bottom w:w="100" w:type="dxa"/>
              <w:right w:w="140" w:type="dxa"/>
            </w:tcMar>
            <w:vAlign w:val="center"/>
            <w:hideMark/>
          </w:tcPr>
          <w:p w14:paraId="0FDBFD1F"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FFFFFF"/>
            <w:tcMar>
              <w:top w:w="100" w:type="dxa"/>
              <w:left w:w="140" w:type="dxa"/>
              <w:bottom w:w="100" w:type="dxa"/>
              <w:right w:w="140" w:type="dxa"/>
            </w:tcMar>
            <w:vAlign w:val="center"/>
            <w:hideMark/>
          </w:tcPr>
          <w:p w14:paraId="058A557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26FCBF5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709" w:type="dxa"/>
            <w:shd w:val="clear" w:color="auto" w:fill="FFFFFF"/>
            <w:tcMar>
              <w:top w:w="100" w:type="dxa"/>
              <w:left w:w="140" w:type="dxa"/>
              <w:bottom w:w="100" w:type="dxa"/>
              <w:right w:w="140" w:type="dxa"/>
            </w:tcMar>
            <w:vAlign w:val="center"/>
            <w:hideMark/>
          </w:tcPr>
          <w:p w14:paraId="49447C8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63.4%</w:t>
            </w:r>
          </w:p>
        </w:tc>
        <w:tc>
          <w:tcPr>
            <w:tcW w:w="709" w:type="dxa"/>
            <w:shd w:val="clear" w:color="auto" w:fill="FFFFFF"/>
            <w:tcMar>
              <w:top w:w="100" w:type="dxa"/>
              <w:left w:w="140" w:type="dxa"/>
              <w:bottom w:w="100" w:type="dxa"/>
              <w:right w:w="140" w:type="dxa"/>
            </w:tcMar>
            <w:vAlign w:val="center"/>
            <w:hideMark/>
          </w:tcPr>
          <w:p w14:paraId="6369919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35.8%</w:t>
            </w:r>
          </w:p>
        </w:tc>
        <w:tc>
          <w:tcPr>
            <w:tcW w:w="658" w:type="dxa"/>
            <w:shd w:val="clear" w:color="auto" w:fill="FFFFFF"/>
            <w:tcMar>
              <w:top w:w="100" w:type="dxa"/>
              <w:left w:w="140" w:type="dxa"/>
              <w:bottom w:w="100" w:type="dxa"/>
              <w:right w:w="140" w:type="dxa"/>
            </w:tcMar>
            <w:vAlign w:val="center"/>
            <w:hideMark/>
          </w:tcPr>
          <w:p w14:paraId="6404470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w:t>
            </w:r>
          </w:p>
        </w:tc>
        <w:tc>
          <w:tcPr>
            <w:tcW w:w="759" w:type="dxa"/>
            <w:shd w:val="clear" w:color="auto" w:fill="FFFFFF"/>
            <w:tcMar>
              <w:top w:w="100" w:type="dxa"/>
              <w:left w:w="140" w:type="dxa"/>
              <w:bottom w:w="100" w:type="dxa"/>
              <w:right w:w="140" w:type="dxa"/>
            </w:tcMar>
            <w:vAlign w:val="center"/>
            <w:hideMark/>
          </w:tcPr>
          <w:p w14:paraId="1326596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w:t>
            </w:r>
          </w:p>
        </w:tc>
        <w:tc>
          <w:tcPr>
            <w:tcW w:w="709" w:type="dxa"/>
            <w:shd w:val="clear" w:color="auto" w:fill="FFFFFF"/>
            <w:tcMar>
              <w:top w:w="100" w:type="dxa"/>
              <w:left w:w="140" w:type="dxa"/>
              <w:bottom w:w="100" w:type="dxa"/>
              <w:right w:w="140" w:type="dxa"/>
            </w:tcMar>
            <w:vAlign w:val="center"/>
            <w:hideMark/>
          </w:tcPr>
          <w:p w14:paraId="413F6C5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6.7%</w:t>
            </w:r>
          </w:p>
        </w:tc>
        <w:tc>
          <w:tcPr>
            <w:tcW w:w="850" w:type="dxa"/>
            <w:shd w:val="clear" w:color="auto" w:fill="FFFFFF"/>
            <w:tcMar>
              <w:top w:w="100" w:type="dxa"/>
              <w:left w:w="140" w:type="dxa"/>
              <w:bottom w:w="100" w:type="dxa"/>
              <w:right w:w="140" w:type="dxa"/>
            </w:tcMar>
            <w:vAlign w:val="center"/>
            <w:hideMark/>
          </w:tcPr>
          <w:p w14:paraId="392B8BB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16.7%</w:t>
            </w:r>
          </w:p>
        </w:tc>
        <w:tc>
          <w:tcPr>
            <w:tcW w:w="709" w:type="dxa"/>
            <w:shd w:val="clear" w:color="auto" w:fill="FFFFFF"/>
            <w:tcMar>
              <w:top w:w="100" w:type="dxa"/>
              <w:left w:w="140" w:type="dxa"/>
              <w:bottom w:w="100" w:type="dxa"/>
              <w:right w:w="140" w:type="dxa"/>
            </w:tcMar>
            <w:vAlign w:val="center"/>
            <w:hideMark/>
          </w:tcPr>
          <w:p w14:paraId="569AA91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75.7%</w:t>
            </w:r>
          </w:p>
        </w:tc>
        <w:tc>
          <w:tcPr>
            <w:tcW w:w="851" w:type="dxa"/>
            <w:shd w:val="clear" w:color="auto" w:fill="FCE4D6"/>
            <w:tcMar>
              <w:top w:w="100" w:type="dxa"/>
              <w:left w:w="140" w:type="dxa"/>
              <w:bottom w:w="100" w:type="dxa"/>
              <w:right w:w="140" w:type="dxa"/>
            </w:tcMar>
            <w:vAlign w:val="center"/>
            <w:hideMark/>
          </w:tcPr>
          <w:p w14:paraId="0656B6F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C0392B"/>
                <w:sz w:val="21"/>
                <w:szCs w:val="21"/>
                <w:lang w:eastAsia="zh-CN"/>
              </w:rPr>
              <w:t>0.842</w:t>
            </w:r>
          </w:p>
        </w:tc>
        <w:tc>
          <w:tcPr>
            <w:tcW w:w="850" w:type="dxa"/>
            <w:shd w:val="clear" w:color="auto" w:fill="FFFFFF"/>
            <w:tcMar>
              <w:top w:w="100" w:type="dxa"/>
              <w:left w:w="140" w:type="dxa"/>
              <w:bottom w:w="100" w:type="dxa"/>
              <w:right w:w="140" w:type="dxa"/>
            </w:tcMar>
            <w:vAlign w:val="center"/>
            <w:hideMark/>
          </w:tcPr>
          <w:p w14:paraId="47B718F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¥966,000</w:t>
            </w:r>
          </w:p>
        </w:tc>
      </w:tr>
      <w:tr w:rsidR="005E2FD3" w:rsidRPr="005E2FD3" w14:paraId="7B54CB30" w14:textId="77777777" w:rsidTr="00923C4E">
        <w:trPr>
          <w:trHeight w:val="804"/>
        </w:trPr>
        <w:tc>
          <w:tcPr>
            <w:tcW w:w="851" w:type="dxa"/>
            <w:shd w:val="clear" w:color="auto" w:fill="FFFFFF"/>
            <w:tcMar>
              <w:top w:w="100" w:type="dxa"/>
              <w:left w:w="140" w:type="dxa"/>
              <w:bottom w:w="100" w:type="dxa"/>
              <w:right w:w="140" w:type="dxa"/>
            </w:tcMar>
            <w:vAlign w:val="center"/>
            <w:hideMark/>
          </w:tcPr>
          <w:p w14:paraId="500D660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Changchun Eurasia Mall</w:t>
            </w:r>
          </w:p>
        </w:tc>
        <w:tc>
          <w:tcPr>
            <w:tcW w:w="709" w:type="dxa"/>
            <w:shd w:val="clear" w:color="auto" w:fill="E8ECF0"/>
            <w:tcMar>
              <w:top w:w="100" w:type="dxa"/>
              <w:left w:w="140" w:type="dxa"/>
              <w:bottom w:w="100" w:type="dxa"/>
              <w:right w:w="140" w:type="dxa"/>
            </w:tcMar>
            <w:vAlign w:val="center"/>
            <w:hideMark/>
          </w:tcPr>
          <w:p w14:paraId="2D1089C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2.00</w:t>
            </w:r>
          </w:p>
        </w:tc>
        <w:tc>
          <w:tcPr>
            <w:tcW w:w="708" w:type="dxa"/>
            <w:shd w:val="clear" w:color="auto" w:fill="E8ECF0"/>
            <w:tcMar>
              <w:top w:w="100" w:type="dxa"/>
              <w:left w:w="140" w:type="dxa"/>
              <w:bottom w:w="100" w:type="dxa"/>
              <w:right w:w="140" w:type="dxa"/>
            </w:tcMar>
            <w:vAlign w:val="center"/>
            <w:hideMark/>
          </w:tcPr>
          <w:p w14:paraId="6E82E365"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E8ECF0"/>
            <w:tcMar>
              <w:top w:w="100" w:type="dxa"/>
              <w:left w:w="140" w:type="dxa"/>
              <w:bottom w:w="100" w:type="dxa"/>
              <w:right w:w="140" w:type="dxa"/>
            </w:tcMar>
            <w:vAlign w:val="center"/>
            <w:hideMark/>
          </w:tcPr>
          <w:p w14:paraId="2E5A91C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E8ECF0"/>
            <w:tcMar>
              <w:top w:w="100" w:type="dxa"/>
              <w:left w:w="140" w:type="dxa"/>
              <w:bottom w:w="100" w:type="dxa"/>
              <w:right w:w="140" w:type="dxa"/>
            </w:tcMar>
            <w:vAlign w:val="center"/>
            <w:hideMark/>
          </w:tcPr>
          <w:p w14:paraId="639845E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Gold Standard Dominant</w:t>
            </w:r>
          </w:p>
        </w:tc>
        <w:tc>
          <w:tcPr>
            <w:tcW w:w="709" w:type="dxa"/>
            <w:shd w:val="clear" w:color="auto" w:fill="E8ECF0"/>
            <w:tcMar>
              <w:top w:w="100" w:type="dxa"/>
              <w:left w:w="140" w:type="dxa"/>
              <w:bottom w:w="100" w:type="dxa"/>
              <w:right w:w="140" w:type="dxa"/>
            </w:tcMar>
            <w:vAlign w:val="center"/>
            <w:hideMark/>
          </w:tcPr>
          <w:p w14:paraId="63BEA65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55.8%</w:t>
            </w:r>
          </w:p>
        </w:tc>
        <w:tc>
          <w:tcPr>
            <w:tcW w:w="709" w:type="dxa"/>
            <w:shd w:val="clear" w:color="auto" w:fill="E8ECF0"/>
            <w:tcMar>
              <w:top w:w="100" w:type="dxa"/>
              <w:left w:w="140" w:type="dxa"/>
              <w:bottom w:w="100" w:type="dxa"/>
              <w:right w:w="140" w:type="dxa"/>
            </w:tcMar>
            <w:vAlign w:val="center"/>
            <w:hideMark/>
          </w:tcPr>
          <w:p w14:paraId="2400B91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43.6%</w:t>
            </w:r>
          </w:p>
        </w:tc>
        <w:tc>
          <w:tcPr>
            <w:tcW w:w="658" w:type="dxa"/>
            <w:shd w:val="clear" w:color="auto" w:fill="E8ECF0"/>
            <w:tcMar>
              <w:top w:w="100" w:type="dxa"/>
              <w:left w:w="140" w:type="dxa"/>
              <w:bottom w:w="100" w:type="dxa"/>
              <w:right w:w="140" w:type="dxa"/>
            </w:tcMar>
            <w:vAlign w:val="center"/>
            <w:hideMark/>
          </w:tcPr>
          <w:p w14:paraId="4AC88A0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0.6%</w:t>
            </w:r>
          </w:p>
        </w:tc>
        <w:tc>
          <w:tcPr>
            <w:tcW w:w="759" w:type="dxa"/>
            <w:shd w:val="clear" w:color="auto" w:fill="E8ECF0"/>
            <w:tcMar>
              <w:top w:w="100" w:type="dxa"/>
              <w:left w:w="140" w:type="dxa"/>
              <w:bottom w:w="100" w:type="dxa"/>
              <w:right w:w="140" w:type="dxa"/>
            </w:tcMar>
            <w:vAlign w:val="center"/>
            <w:hideMark/>
          </w:tcPr>
          <w:p w14:paraId="0A63377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E8ECF0"/>
            <w:tcMar>
              <w:top w:w="100" w:type="dxa"/>
              <w:left w:w="140" w:type="dxa"/>
              <w:bottom w:w="100" w:type="dxa"/>
              <w:right w:w="140" w:type="dxa"/>
            </w:tcMar>
            <w:vAlign w:val="center"/>
            <w:hideMark/>
          </w:tcPr>
          <w:p w14:paraId="1B5451D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16.7%</w:t>
            </w:r>
          </w:p>
        </w:tc>
        <w:tc>
          <w:tcPr>
            <w:tcW w:w="850" w:type="dxa"/>
            <w:shd w:val="clear" w:color="auto" w:fill="E8ECF0"/>
            <w:tcMar>
              <w:top w:w="100" w:type="dxa"/>
              <w:left w:w="140" w:type="dxa"/>
              <w:bottom w:w="100" w:type="dxa"/>
              <w:right w:w="140" w:type="dxa"/>
            </w:tcMar>
            <w:vAlign w:val="center"/>
            <w:hideMark/>
          </w:tcPr>
          <w:p w14:paraId="0CD444A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30.3%</w:t>
            </w:r>
          </w:p>
        </w:tc>
        <w:tc>
          <w:tcPr>
            <w:tcW w:w="709" w:type="dxa"/>
            <w:shd w:val="clear" w:color="auto" w:fill="E8ECF0"/>
            <w:tcMar>
              <w:top w:w="100" w:type="dxa"/>
              <w:left w:w="140" w:type="dxa"/>
              <w:bottom w:w="100" w:type="dxa"/>
              <w:right w:w="140" w:type="dxa"/>
            </w:tcMar>
            <w:vAlign w:val="center"/>
            <w:hideMark/>
          </w:tcPr>
          <w:p w14:paraId="465A803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53.0%</w:t>
            </w:r>
          </w:p>
        </w:tc>
        <w:tc>
          <w:tcPr>
            <w:tcW w:w="851" w:type="dxa"/>
            <w:shd w:val="clear" w:color="auto" w:fill="E8ECF0"/>
            <w:tcMar>
              <w:top w:w="100" w:type="dxa"/>
              <w:left w:w="140" w:type="dxa"/>
              <w:bottom w:w="100" w:type="dxa"/>
              <w:right w:w="140" w:type="dxa"/>
            </w:tcMar>
            <w:vAlign w:val="center"/>
            <w:hideMark/>
          </w:tcPr>
          <w:p w14:paraId="18F513F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0.964</w:t>
            </w:r>
          </w:p>
        </w:tc>
        <w:tc>
          <w:tcPr>
            <w:tcW w:w="850" w:type="dxa"/>
            <w:shd w:val="clear" w:color="auto" w:fill="E8ECF0"/>
            <w:tcMar>
              <w:top w:w="100" w:type="dxa"/>
              <w:left w:w="140" w:type="dxa"/>
              <w:bottom w:w="100" w:type="dxa"/>
              <w:right w:w="140" w:type="dxa"/>
            </w:tcMar>
            <w:vAlign w:val="center"/>
            <w:hideMark/>
          </w:tcPr>
          <w:p w14:paraId="0D0B089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¥63,000</w:t>
            </w:r>
          </w:p>
        </w:tc>
      </w:tr>
      <w:tr w:rsidR="005E2FD3" w:rsidRPr="005E2FD3" w14:paraId="1E373BE4" w14:textId="77777777" w:rsidTr="00923C4E">
        <w:trPr>
          <w:trHeight w:val="694"/>
        </w:trPr>
        <w:tc>
          <w:tcPr>
            <w:tcW w:w="851" w:type="dxa"/>
            <w:shd w:val="clear" w:color="auto" w:fill="FFFFFF"/>
            <w:tcMar>
              <w:top w:w="100" w:type="dxa"/>
              <w:left w:w="140" w:type="dxa"/>
              <w:bottom w:w="100" w:type="dxa"/>
              <w:right w:w="140" w:type="dxa"/>
            </w:tcMar>
            <w:vAlign w:val="center"/>
            <w:hideMark/>
          </w:tcPr>
          <w:p w14:paraId="7F03DDD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Dalian Parkson</w:t>
            </w:r>
          </w:p>
        </w:tc>
        <w:tc>
          <w:tcPr>
            <w:tcW w:w="709" w:type="dxa"/>
            <w:shd w:val="clear" w:color="auto" w:fill="FFFFFF"/>
            <w:tcMar>
              <w:top w:w="100" w:type="dxa"/>
              <w:left w:w="140" w:type="dxa"/>
              <w:bottom w:w="100" w:type="dxa"/>
              <w:right w:w="140" w:type="dxa"/>
            </w:tcMar>
            <w:vAlign w:val="center"/>
            <w:hideMark/>
          </w:tcPr>
          <w:p w14:paraId="526215B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1.90</w:t>
            </w:r>
          </w:p>
        </w:tc>
        <w:tc>
          <w:tcPr>
            <w:tcW w:w="708" w:type="dxa"/>
            <w:shd w:val="clear" w:color="auto" w:fill="FFFFFF"/>
            <w:tcMar>
              <w:top w:w="100" w:type="dxa"/>
              <w:left w:w="140" w:type="dxa"/>
              <w:bottom w:w="100" w:type="dxa"/>
              <w:right w:w="140" w:type="dxa"/>
            </w:tcMar>
            <w:vAlign w:val="center"/>
            <w:hideMark/>
          </w:tcPr>
          <w:p w14:paraId="17E7BF29"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FFFFFF"/>
            <w:tcMar>
              <w:top w:w="100" w:type="dxa"/>
              <w:left w:w="140" w:type="dxa"/>
              <w:bottom w:w="100" w:type="dxa"/>
              <w:right w:w="140" w:type="dxa"/>
            </w:tcMar>
            <w:vAlign w:val="center"/>
            <w:hideMark/>
          </w:tcPr>
          <w:p w14:paraId="309D4BC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1D7100D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FFFFFF"/>
            <w:tcMar>
              <w:top w:w="100" w:type="dxa"/>
              <w:left w:w="140" w:type="dxa"/>
              <w:bottom w:w="100" w:type="dxa"/>
              <w:right w:w="140" w:type="dxa"/>
            </w:tcMar>
            <w:vAlign w:val="center"/>
            <w:hideMark/>
          </w:tcPr>
          <w:p w14:paraId="133AE38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69.4%</w:t>
            </w:r>
          </w:p>
        </w:tc>
        <w:tc>
          <w:tcPr>
            <w:tcW w:w="709" w:type="dxa"/>
            <w:shd w:val="clear" w:color="auto" w:fill="FFFFFF"/>
            <w:tcMar>
              <w:top w:w="100" w:type="dxa"/>
              <w:left w:w="140" w:type="dxa"/>
              <w:bottom w:w="100" w:type="dxa"/>
              <w:right w:w="140" w:type="dxa"/>
            </w:tcMar>
            <w:vAlign w:val="center"/>
            <w:hideMark/>
          </w:tcPr>
          <w:p w14:paraId="553738D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30.1%</w:t>
            </w:r>
          </w:p>
        </w:tc>
        <w:tc>
          <w:tcPr>
            <w:tcW w:w="658" w:type="dxa"/>
            <w:shd w:val="clear" w:color="auto" w:fill="FFFFFF"/>
            <w:tcMar>
              <w:top w:w="100" w:type="dxa"/>
              <w:left w:w="140" w:type="dxa"/>
              <w:bottom w:w="100" w:type="dxa"/>
              <w:right w:w="140" w:type="dxa"/>
            </w:tcMar>
            <w:vAlign w:val="center"/>
            <w:hideMark/>
          </w:tcPr>
          <w:p w14:paraId="428D3E1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0.5%</w:t>
            </w:r>
          </w:p>
        </w:tc>
        <w:tc>
          <w:tcPr>
            <w:tcW w:w="759" w:type="dxa"/>
            <w:shd w:val="clear" w:color="auto" w:fill="FFFFFF"/>
            <w:tcMar>
              <w:top w:w="100" w:type="dxa"/>
              <w:left w:w="140" w:type="dxa"/>
              <w:bottom w:w="100" w:type="dxa"/>
              <w:right w:w="140" w:type="dxa"/>
            </w:tcMar>
            <w:vAlign w:val="center"/>
            <w:hideMark/>
          </w:tcPr>
          <w:p w14:paraId="3F92EC7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FFFFFF"/>
            <w:tcMar>
              <w:top w:w="100" w:type="dxa"/>
              <w:left w:w="140" w:type="dxa"/>
              <w:bottom w:w="100" w:type="dxa"/>
              <w:right w:w="140" w:type="dxa"/>
            </w:tcMar>
            <w:vAlign w:val="center"/>
            <w:hideMark/>
          </w:tcPr>
          <w:p w14:paraId="0286665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4.4%</w:t>
            </w:r>
          </w:p>
        </w:tc>
        <w:tc>
          <w:tcPr>
            <w:tcW w:w="850" w:type="dxa"/>
            <w:shd w:val="clear" w:color="auto" w:fill="FFFFFF"/>
            <w:tcMar>
              <w:top w:w="100" w:type="dxa"/>
              <w:left w:w="140" w:type="dxa"/>
              <w:bottom w:w="100" w:type="dxa"/>
              <w:right w:w="140" w:type="dxa"/>
            </w:tcMar>
            <w:vAlign w:val="center"/>
            <w:hideMark/>
          </w:tcPr>
          <w:p w14:paraId="79114B5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28.5%</w:t>
            </w:r>
          </w:p>
        </w:tc>
        <w:tc>
          <w:tcPr>
            <w:tcW w:w="709" w:type="dxa"/>
            <w:shd w:val="clear" w:color="auto" w:fill="FFFFFF"/>
            <w:tcMar>
              <w:top w:w="100" w:type="dxa"/>
              <w:left w:w="140" w:type="dxa"/>
              <w:bottom w:w="100" w:type="dxa"/>
              <w:right w:w="140" w:type="dxa"/>
            </w:tcMar>
            <w:vAlign w:val="center"/>
            <w:hideMark/>
          </w:tcPr>
          <w:p w14:paraId="2784D8E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67.1%</w:t>
            </w:r>
          </w:p>
        </w:tc>
        <w:tc>
          <w:tcPr>
            <w:tcW w:w="851" w:type="dxa"/>
            <w:shd w:val="clear" w:color="auto" w:fill="FFFFFF"/>
            <w:tcMar>
              <w:top w:w="100" w:type="dxa"/>
              <w:left w:w="140" w:type="dxa"/>
              <w:bottom w:w="100" w:type="dxa"/>
              <w:right w:w="140" w:type="dxa"/>
            </w:tcMar>
            <w:vAlign w:val="center"/>
            <w:hideMark/>
          </w:tcPr>
          <w:p w14:paraId="2E81BD4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0.993</w:t>
            </w:r>
          </w:p>
        </w:tc>
        <w:tc>
          <w:tcPr>
            <w:tcW w:w="850" w:type="dxa"/>
            <w:shd w:val="clear" w:color="auto" w:fill="FFFFFF"/>
            <w:tcMar>
              <w:top w:w="100" w:type="dxa"/>
              <w:left w:w="140" w:type="dxa"/>
              <w:bottom w:w="100" w:type="dxa"/>
              <w:right w:w="140" w:type="dxa"/>
            </w:tcMar>
            <w:vAlign w:val="center"/>
            <w:hideMark/>
          </w:tcPr>
          <w:p w14:paraId="42464E5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¥118,000</w:t>
            </w:r>
          </w:p>
        </w:tc>
      </w:tr>
      <w:tr w:rsidR="005E2FD3" w:rsidRPr="005E2FD3" w14:paraId="4F1EE0D5" w14:textId="77777777" w:rsidTr="00923C4E">
        <w:trPr>
          <w:trHeight w:val="955"/>
        </w:trPr>
        <w:tc>
          <w:tcPr>
            <w:tcW w:w="851" w:type="dxa"/>
            <w:shd w:val="clear" w:color="auto" w:fill="FFFFFF"/>
            <w:tcMar>
              <w:top w:w="100" w:type="dxa"/>
              <w:left w:w="140" w:type="dxa"/>
              <w:bottom w:w="100" w:type="dxa"/>
              <w:right w:w="140" w:type="dxa"/>
            </w:tcMar>
            <w:vAlign w:val="center"/>
            <w:hideMark/>
          </w:tcPr>
          <w:p w14:paraId="480151B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Beijing Huiju</w:t>
            </w:r>
          </w:p>
        </w:tc>
        <w:tc>
          <w:tcPr>
            <w:tcW w:w="709" w:type="dxa"/>
            <w:shd w:val="clear" w:color="auto" w:fill="E8ECF0"/>
            <w:tcMar>
              <w:top w:w="100" w:type="dxa"/>
              <w:left w:w="140" w:type="dxa"/>
              <w:bottom w:w="100" w:type="dxa"/>
              <w:right w:w="140" w:type="dxa"/>
            </w:tcMar>
            <w:vAlign w:val="center"/>
            <w:hideMark/>
          </w:tcPr>
          <w:p w14:paraId="75A9136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1.90</w:t>
            </w:r>
          </w:p>
        </w:tc>
        <w:tc>
          <w:tcPr>
            <w:tcW w:w="708" w:type="dxa"/>
            <w:shd w:val="clear" w:color="auto" w:fill="E8ECF0"/>
            <w:tcMar>
              <w:top w:w="100" w:type="dxa"/>
              <w:left w:w="140" w:type="dxa"/>
              <w:bottom w:w="100" w:type="dxa"/>
              <w:right w:w="140" w:type="dxa"/>
            </w:tcMar>
            <w:vAlign w:val="center"/>
            <w:hideMark/>
          </w:tcPr>
          <w:p w14:paraId="72593CAA"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E8ECF0"/>
            <w:tcMar>
              <w:top w:w="100" w:type="dxa"/>
              <w:left w:w="140" w:type="dxa"/>
              <w:bottom w:w="100" w:type="dxa"/>
              <w:right w:w="140" w:type="dxa"/>
            </w:tcMar>
            <w:vAlign w:val="center"/>
            <w:hideMark/>
          </w:tcPr>
          <w:p w14:paraId="64792A1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E8ECF0"/>
            <w:tcMar>
              <w:top w:w="100" w:type="dxa"/>
              <w:left w:w="140" w:type="dxa"/>
              <w:bottom w:w="100" w:type="dxa"/>
              <w:right w:w="140" w:type="dxa"/>
            </w:tcMar>
            <w:vAlign w:val="center"/>
            <w:hideMark/>
          </w:tcPr>
          <w:p w14:paraId="1750703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Honor-dominant type</w:t>
            </w:r>
          </w:p>
        </w:tc>
        <w:tc>
          <w:tcPr>
            <w:tcW w:w="709" w:type="dxa"/>
            <w:shd w:val="clear" w:color="auto" w:fill="E8ECF0"/>
            <w:tcMar>
              <w:top w:w="100" w:type="dxa"/>
              <w:left w:w="140" w:type="dxa"/>
              <w:bottom w:w="100" w:type="dxa"/>
              <w:right w:w="140" w:type="dxa"/>
            </w:tcMar>
            <w:vAlign w:val="center"/>
            <w:hideMark/>
          </w:tcPr>
          <w:p w14:paraId="03EE199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58.2%</w:t>
            </w:r>
          </w:p>
        </w:tc>
        <w:tc>
          <w:tcPr>
            <w:tcW w:w="709" w:type="dxa"/>
            <w:shd w:val="clear" w:color="auto" w:fill="E8ECF0"/>
            <w:tcMar>
              <w:top w:w="100" w:type="dxa"/>
              <w:left w:w="140" w:type="dxa"/>
              <w:bottom w:w="100" w:type="dxa"/>
              <w:right w:w="140" w:type="dxa"/>
            </w:tcMar>
            <w:vAlign w:val="center"/>
            <w:hideMark/>
          </w:tcPr>
          <w:p w14:paraId="6057A7D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41.7%</w:t>
            </w:r>
          </w:p>
        </w:tc>
        <w:tc>
          <w:tcPr>
            <w:tcW w:w="658" w:type="dxa"/>
            <w:shd w:val="clear" w:color="auto" w:fill="E8ECF0"/>
            <w:tcMar>
              <w:top w:w="100" w:type="dxa"/>
              <w:left w:w="140" w:type="dxa"/>
              <w:bottom w:w="100" w:type="dxa"/>
              <w:right w:w="140" w:type="dxa"/>
            </w:tcMar>
            <w:vAlign w:val="center"/>
            <w:hideMark/>
          </w:tcPr>
          <w:p w14:paraId="1DCFC17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0.1%</w:t>
            </w:r>
          </w:p>
        </w:tc>
        <w:tc>
          <w:tcPr>
            <w:tcW w:w="759" w:type="dxa"/>
            <w:shd w:val="clear" w:color="auto" w:fill="E8ECF0"/>
            <w:tcMar>
              <w:top w:w="100" w:type="dxa"/>
              <w:left w:w="140" w:type="dxa"/>
              <w:bottom w:w="100" w:type="dxa"/>
              <w:right w:w="140" w:type="dxa"/>
            </w:tcMar>
            <w:vAlign w:val="center"/>
            <w:hideMark/>
          </w:tcPr>
          <w:p w14:paraId="463DFFE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E8ECF0"/>
            <w:tcMar>
              <w:top w:w="100" w:type="dxa"/>
              <w:left w:w="140" w:type="dxa"/>
              <w:bottom w:w="100" w:type="dxa"/>
              <w:right w:w="140" w:type="dxa"/>
            </w:tcMar>
            <w:vAlign w:val="center"/>
            <w:hideMark/>
          </w:tcPr>
          <w:p w14:paraId="538FC6B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5.0%</w:t>
            </w:r>
          </w:p>
        </w:tc>
        <w:tc>
          <w:tcPr>
            <w:tcW w:w="850" w:type="dxa"/>
            <w:shd w:val="clear" w:color="auto" w:fill="E8ECF0"/>
            <w:tcMar>
              <w:top w:w="100" w:type="dxa"/>
              <w:left w:w="140" w:type="dxa"/>
              <w:bottom w:w="100" w:type="dxa"/>
              <w:right w:w="140" w:type="dxa"/>
            </w:tcMar>
            <w:vAlign w:val="center"/>
            <w:hideMark/>
          </w:tcPr>
          <w:p w14:paraId="4DC74D5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38.8%</w:t>
            </w:r>
          </w:p>
        </w:tc>
        <w:tc>
          <w:tcPr>
            <w:tcW w:w="709" w:type="dxa"/>
            <w:shd w:val="clear" w:color="auto" w:fill="E8ECF0"/>
            <w:tcMar>
              <w:top w:w="100" w:type="dxa"/>
              <w:left w:w="140" w:type="dxa"/>
              <w:bottom w:w="100" w:type="dxa"/>
              <w:right w:w="140" w:type="dxa"/>
            </w:tcMar>
            <w:vAlign w:val="center"/>
            <w:hideMark/>
          </w:tcPr>
          <w:p w14:paraId="71EF144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56.1%</w:t>
            </w:r>
          </w:p>
        </w:tc>
        <w:tc>
          <w:tcPr>
            <w:tcW w:w="851" w:type="dxa"/>
            <w:shd w:val="clear" w:color="auto" w:fill="E8ECF0"/>
            <w:tcMar>
              <w:top w:w="100" w:type="dxa"/>
              <w:left w:w="140" w:type="dxa"/>
              <w:bottom w:w="100" w:type="dxa"/>
              <w:right w:w="140" w:type="dxa"/>
            </w:tcMar>
            <w:vAlign w:val="center"/>
            <w:hideMark/>
          </w:tcPr>
          <w:p w14:paraId="7BE952B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0.950</w:t>
            </w:r>
          </w:p>
        </w:tc>
        <w:tc>
          <w:tcPr>
            <w:tcW w:w="850" w:type="dxa"/>
            <w:shd w:val="clear" w:color="auto" w:fill="E8ECF0"/>
            <w:tcMar>
              <w:top w:w="100" w:type="dxa"/>
              <w:left w:w="140" w:type="dxa"/>
              <w:bottom w:w="100" w:type="dxa"/>
              <w:right w:w="140" w:type="dxa"/>
            </w:tcMar>
            <w:vAlign w:val="center"/>
            <w:hideMark/>
          </w:tcPr>
          <w:p w14:paraId="4117F50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¥223,000</w:t>
            </w:r>
          </w:p>
        </w:tc>
      </w:tr>
      <w:tr w:rsidR="005E2FD3" w:rsidRPr="005E2FD3" w14:paraId="3A547367" w14:textId="77777777" w:rsidTr="00923C4E">
        <w:trPr>
          <w:trHeight w:val="45"/>
        </w:trPr>
        <w:tc>
          <w:tcPr>
            <w:tcW w:w="851" w:type="dxa"/>
            <w:shd w:val="clear" w:color="auto" w:fill="FFFFFF"/>
            <w:tcMar>
              <w:top w:w="100" w:type="dxa"/>
              <w:left w:w="140" w:type="dxa"/>
              <w:bottom w:w="100" w:type="dxa"/>
              <w:right w:w="140" w:type="dxa"/>
            </w:tcMar>
            <w:vAlign w:val="center"/>
            <w:hideMark/>
          </w:tcPr>
          <w:p w14:paraId="6EA4316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Hangzhou Xixi Impression City</w:t>
            </w:r>
          </w:p>
        </w:tc>
        <w:tc>
          <w:tcPr>
            <w:tcW w:w="709" w:type="dxa"/>
            <w:shd w:val="clear" w:color="auto" w:fill="FFFFFF"/>
            <w:tcMar>
              <w:top w:w="100" w:type="dxa"/>
              <w:left w:w="140" w:type="dxa"/>
              <w:bottom w:w="100" w:type="dxa"/>
              <w:right w:w="140" w:type="dxa"/>
            </w:tcMar>
            <w:vAlign w:val="center"/>
            <w:hideMark/>
          </w:tcPr>
          <w:p w14:paraId="2C0931F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1.90</w:t>
            </w:r>
          </w:p>
        </w:tc>
        <w:tc>
          <w:tcPr>
            <w:tcW w:w="708" w:type="dxa"/>
            <w:shd w:val="clear" w:color="auto" w:fill="FFFFFF"/>
            <w:tcMar>
              <w:top w:w="100" w:type="dxa"/>
              <w:left w:w="140" w:type="dxa"/>
              <w:bottom w:w="100" w:type="dxa"/>
              <w:right w:w="140" w:type="dxa"/>
            </w:tcMar>
            <w:vAlign w:val="center"/>
            <w:hideMark/>
          </w:tcPr>
          <w:p w14:paraId="77CD8A18"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Balanced</w:t>
            </w:r>
          </w:p>
        </w:tc>
        <w:tc>
          <w:tcPr>
            <w:tcW w:w="851" w:type="dxa"/>
            <w:shd w:val="clear" w:color="auto" w:fill="FFFFFF"/>
            <w:tcMar>
              <w:top w:w="100" w:type="dxa"/>
              <w:left w:w="140" w:type="dxa"/>
              <w:bottom w:w="100" w:type="dxa"/>
              <w:right w:w="140" w:type="dxa"/>
            </w:tcMar>
            <w:vAlign w:val="center"/>
            <w:hideMark/>
          </w:tcPr>
          <w:p w14:paraId="2337A69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Clothing-focused</w:t>
            </w:r>
          </w:p>
        </w:tc>
        <w:tc>
          <w:tcPr>
            <w:tcW w:w="992" w:type="dxa"/>
            <w:shd w:val="clear" w:color="auto" w:fill="FFFFFF"/>
            <w:tcMar>
              <w:top w:w="100" w:type="dxa"/>
              <w:left w:w="140" w:type="dxa"/>
              <w:bottom w:w="100" w:type="dxa"/>
              <w:right w:w="140" w:type="dxa"/>
            </w:tcMar>
            <w:vAlign w:val="center"/>
            <w:hideMark/>
          </w:tcPr>
          <w:p w14:paraId="28FFC47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Gold Standard Dominant</w:t>
            </w:r>
          </w:p>
        </w:tc>
        <w:tc>
          <w:tcPr>
            <w:tcW w:w="709" w:type="dxa"/>
            <w:shd w:val="clear" w:color="auto" w:fill="FFFFFF"/>
            <w:tcMar>
              <w:top w:w="100" w:type="dxa"/>
              <w:left w:w="140" w:type="dxa"/>
              <w:bottom w:w="100" w:type="dxa"/>
              <w:right w:w="140" w:type="dxa"/>
            </w:tcMar>
            <w:vAlign w:val="center"/>
            <w:hideMark/>
          </w:tcPr>
          <w:p w14:paraId="772073C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48.3%</w:t>
            </w:r>
          </w:p>
        </w:tc>
        <w:tc>
          <w:tcPr>
            <w:tcW w:w="709" w:type="dxa"/>
            <w:shd w:val="clear" w:color="auto" w:fill="FFFFFF"/>
            <w:tcMar>
              <w:top w:w="100" w:type="dxa"/>
              <w:left w:w="140" w:type="dxa"/>
              <w:bottom w:w="100" w:type="dxa"/>
              <w:right w:w="140" w:type="dxa"/>
            </w:tcMar>
            <w:vAlign w:val="center"/>
            <w:hideMark/>
          </w:tcPr>
          <w:p w14:paraId="33075B4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50.9%</w:t>
            </w:r>
          </w:p>
        </w:tc>
        <w:tc>
          <w:tcPr>
            <w:tcW w:w="658" w:type="dxa"/>
            <w:shd w:val="clear" w:color="auto" w:fill="FFFFFF"/>
            <w:tcMar>
              <w:top w:w="100" w:type="dxa"/>
              <w:left w:w="140" w:type="dxa"/>
              <w:bottom w:w="100" w:type="dxa"/>
              <w:right w:w="140" w:type="dxa"/>
            </w:tcMar>
            <w:vAlign w:val="center"/>
            <w:hideMark/>
          </w:tcPr>
          <w:p w14:paraId="3C44E07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w:t>
            </w:r>
          </w:p>
        </w:tc>
        <w:tc>
          <w:tcPr>
            <w:tcW w:w="759" w:type="dxa"/>
            <w:shd w:val="clear" w:color="auto" w:fill="FFFFFF"/>
            <w:tcMar>
              <w:top w:w="100" w:type="dxa"/>
              <w:left w:w="140" w:type="dxa"/>
              <w:bottom w:w="100" w:type="dxa"/>
              <w:right w:w="140" w:type="dxa"/>
            </w:tcMar>
            <w:vAlign w:val="center"/>
            <w:hideMark/>
          </w:tcPr>
          <w:p w14:paraId="39635DB7"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0.0%</w:t>
            </w:r>
          </w:p>
        </w:tc>
        <w:tc>
          <w:tcPr>
            <w:tcW w:w="709" w:type="dxa"/>
            <w:shd w:val="clear" w:color="auto" w:fill="FFFFFF"/>
            <w:tcMar>
              <w:top w:w="100" w:type="dxa"/>
              <w:left w:w="140" w:type="dxa"/>
              <w:bottom w:w="100" w:type="dxa"/>
              <w:right w:w="140" w:type="dxa"/>
            </w:tcMar>
            <w:vAlign w:val="center"/>
            <w:hideMark/>
          </w:tcPr>
          <w:p w14:paraId="340F095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18.9%</w:t>
            </w:r>
          </w:p>
        </w:tc>
        <w:tc>
          <w:tcPr>
            <w:tcW w:w="850" w:type="dxa"/>
            <w:shd w:val="clear" w:color="auto" w:fill="FFFFFF"/>
            <w:tcMar>
              <w:top w:w="100" w:type="dxa"/>
              <w:left w:w="140" w:type="dxa"/>
              <w:bottom w:w="100" w:type="dxa"/>
              <w:right w:w="140" w:type="dxa"/>
            </w:tcMar>
            <w:vAlign w:val="center"/>
            <w:hideMark/>
          </w:tcPr>
          <w:p w14:paraId="3FE598C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35.3%</w:t>
            </w:r>
          </w:p>
        </w:tc>
        <w:tc>
          <w:tcPr>
            <w:tcW w:w="709" w:type="dxa"/>
            <w:shd w:val="clear" w:color="auto" w:fill="FFFFFF"/>
            <w:tcMar>
              <w:top w:w="100" w:type="dxa"/>
              <w:left w:w="140" w:type="dxa"/>
              <w:bottom w:w="100" w:type="dxa"/>
              <w:right w:w="140" w:type="dxa"/>
            </w:tcMar>
            <w:vAlign w:val="center"/>
            <w:hideMark/>
          </w:tcPr>
          <w:p w14:paraId="6624070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45.8%</w:t>
            </w:r>
          </w:p>
        </w:tc>
        <w:tc>
          <w:tcPr>
            <w:tcW w:w="851" w:type="dxa"/>
            <w:shd w:val="clear" w:color="auto" w:fill="FFFFFF"/>
            <w:tcMar>
              <w:top w:w="100" w:type="dxa"/>
              <w:left w:w="140" w:type="dxa"/>
              <w:bottom w:w="100" w:type="dxa"/>
              <w:right w:w="140" w:type="dxa"/>
            </w:tcMar>
            <w:vAlign w:val="center"/>
            <w:hideMark/>
          </w:tcPr>
          <w:p w14:paraId="0F2D87F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0.998</w:t>
            </w:r>
          </w:p>
        </w:tc>
        <w:tc>
          <w:tcPr>
            <w:tcW w:w="850" w:type="dxa"/>
            <w:shd w:val="clear" w:color="auto" w:fill="FFFFFF"/>
            <w:tcMar>
              <w:top w:w="100" w:type="dxa"/>
              <w:left w:w="140" w:type="dxa"/>
              <w:bottom w:w="100" w:type="dxa"/>
              <w:right w:w="140" w:type="dxa"/>
            </w:tcMar>
            <w:vAlign w:val="center"/>
            <w:hideMark/>
          </w:tcPr>
          <w:p w14:paraId="60C6811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¥182,000</w:t>
            </w:r>
          </w:p>
        </w:tc>
      </w:tr>
      <w:tr w:rsidR="005E2FD3" w:rsidRPr="005E2FD3" w14:paraId="7291BCDB" w14:textId="77777777" w:rsidTr="00923C4E">
        <w:trPr>
          <w:trHeight w:val="766"/>
        </w:trPr>
        <w:tc>
          <w:tcPr>
            <w:tcW w:w="851" w:type="dxa"/>
            <w:shd w:val="clear" w:color="auto" w:fill="FFFFFF"/>
            <w:tcMar>
              <w:top w:w="100" w:type="dxa"/>
              <w:left w:w="140" w:type="dxa"/>
              <w:bottom w:w="100" w:type="dxa"/>
              <w:right w:w="140" w:type="dxa"/>
            </w:tcMar>
            <w:vAlign w:val="center"/>
            <w:hideMark/>
          </w:tcPr>
          <w:p w14:paraId="54DC1AE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 xml:space="preserve">Wangfujing Street, </w:t>
            </w:r>
            <w:r w:rsidRPr="005E2FD3">
              <w:rPr>
                <w:rFonts w:eastAsia="宋体"/>
                <w:color w:val="1A1A1A"/>
                <w:sz w:val="21"/>
                <w:szCs w:val="21"/>
                <w:lang w:eastAsia="zh-CN"/>
              </w:rPr>
              <w:lastRenderedPageBreak/>
              <w:t>Beijing</w:t>
            </w:r>
          </w:p>
        </w:tc>
        <w:tc>
          <w:tcPr>
            <w:tcW w:w="709" w:type="dxa"/>
            <w:shd w:val="clear" w:color="auto" w:fill="E8ECF0"/>
            <w:tcMar>
              <w:top w:w="100" w:type="dxa"/>
              <w:left w:w="140" w:type="dxa"/>
              <w:bottom w:w="100" w:type="dxa"/>
              <w:right w:w="140" w:type="dxa"/>
            </w:tcMar>
            <w:vAlign w:val="center"/>
            <w:hideMark/>
          </w:tcPr>
          <w:p w14:paraId="1B00B34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lastRenderedPageBreak/>
              <w:t>1.85</w:t>
            </w:r>
          </w:p>
        </w:tc>
        <w:tc>
          <w:tcPr>
            <w:tcW w:w="708" w:type="dxa"/>
            <w:shd w:val="clear" w:color="auto" w:fill="E8ECF0"/>
            <w:tcMar>
              <w:top w:w="100" w:type="dxa"/>
              <w:left w:w="140" w:type="dxa"/>
              <w:bottom w:w="100" w:type="dxa"/>
              <w:right w:w="140" w:type="dxa"/>
            </w:tcMar>
            <w:vAlign w:val="center"/>
            <w:hideMark/>
          </w:tcPr>
          <w:p w14:paraId="04EAC72C"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Popular</w:t>
            </w:r>
          </w:p>
        </w:tc>
        <w:tc>
          <w:tcPr>
            <w:tcW w:w="851" w:type="dxa"/>
            <w:shd w:val="clear" w:color="auto" w:fill="E8ECF0"/>
            <w:tcMar>
              <w:top w:w="100" w:type="dxa"/>
              <w:left w:w="140" w:type="dxa"/>
              <w:bottom w:w="100" w:type="dxa"/>
              <w:right w:w="140" w:type="dxa"/>
            </w:tcMar>
            <w:vAlign w:val="center"/>
            <w:hideMark/>
          </w:tcPr>
          <w:p w14:paraId="3DE799A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992" w:type="dxa"/>
            <w:shd w:val="clear" w:color="auto" w:fill="E8ECF0"/>
            <w:tcMar>
              <w:top w:w="100" w:type="dxa"/>
              <w:left w:w="140" w:type="dxa"/>
              <w:bottom w:w="100" w:type="dxa"/>
              <w:right w:w="140" w:type="dxa"/>
            </w:tcMar>
            <w:vAlign w:val="center"/>
            <w:hideMark/>
          </w:tcPr>
          <w:p w14:paraId="78FF98F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709" w:type="dxa"/>
            <w:shd w:val="clear" w:color="auto" w:fill="E8ECF0"/>
            <w:tcMar>
              <w:top w:w="100" w:type="dxa"/>
              <w:left w:w="140" w:type="dxa"/>
              <w:bottom w:w="100" w:type="dxa"/>
              <w:right w:w="140" w:type="dxa"/>
            </w:tcMar>
            <w:vAlign w:val="center"/>
            <w:hideMark/>
          </w:tcPr>
          <w:p w14:paraId="009C96D3"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45.0%</w:t>
            </w:r>
          </w:p>
        </w:tc>
        <w:tc>
          <w:tcPr>
            <w:tcW w:w="709" w:type="dxa"/>
            <w:shd w:val="clear" w:color="auto" w:fill="E8ECF0"/>
            <w:tcMar>
              <w:top w:w="100" w:type="dxa"/>
              <w:left w:w="140" w:type="dxa"/>
              <w:bottom w:w="100" w:type="dxa"/>
              <w:right w:w="140" w:type="dxa"/>
            </w:tcMar>
            <w:vAlign w:val="center"/>
            <w:hideMark/>
          </w:tcPr>
          <w:p w14:paraId="1252D4A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51.4%</w:t>
            </w:r>
          </w:p>
        </w:tc>
        <w:tc>
          <w:tcPr>
            <w:tcW w:w="658" w:type="dxa"/>
            <w:shd w:val="clear" w:color="auto" w:fill="E8ECF0"/>
            <w:tcMar>
              <w:top w:w="100" w:type="dxa"/>
              <w:left w:w="140" w:type="dxa"/>
              <w:bottom w:w="100" w:type="dxa"/>
              <w:right w:w="140" w:type="dxa"/>
            </w:tcMar>
            <w:vAlign w:val="center"/>
            <w:hideMark/>
          </w:tcPr>
          <w:p w14:paraId="0EB3CBE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3.6%</w:t>
            </w:r>
          </w:p>
        </w:tc>
        <w:tc>
          <w:tcPr>
            <w:tcW w:w="759" w:type="dxa"/>
            <w:shd w:val="clear" w:color="auto" w:fill="E8ECF0"/>
            <w:tcMar>
              <w:top w:w="100" w:type="dxa"/>
              <w:left w:w="140" w:type="dxa"/>
              <w:bottom w:w="100" w:type="dxa"/>
              <w:right w:w="140" w:type="dxa"/>
            </w:tcMar>
            <w:vAlign w:val="center"/>
            <w:hideMark/>
          </w:tcPr>
          <w:p w14:paraId="22A230B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2.4%</w:t>
            </w:r>
          </w:p>
        </w:tc>
        <w:tc>
          <w:tcPr>
            <w:tcW w:w="709" w:type="dxa"/>
            <w:shd w:val="clear" w:color="auto" w:fill="E8ECF0"/>
            <w:tcMar>
              <w:top w:w="100" w:type="dxa"/>
              <w:left w:w="140" w:type="dxa"/>
              <w:bottom w:w="100" w:type="dxa"/>
              <w:right w:w="140" w:type="dxa"/>
            </w:tcMar>
            <w:vAlign w:val="center"/>
            <w:hideMark/>
          </w:tcPr>
          <w:p w14:paraId="43341C8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11.6%</w:t>
            </w:r>
          </w:p>
        </w:tc>
        <w:tc>
          <w:tcPr>
            <w:tcW w:w="850" w:type="dxa"/>
            <w:shd w:val="clear" w:color="auto" w:fill="E8ECF0"/>
            <w:tcMar>
              <w:top w:w="100" w:type="dxa"/>
              <w:left w:w="140" w:type="dxa"/>
              <w:bottom w:w="100" w:type="dxa"/>
              <w:right w:w="140" w:type="dxa"/>
            </w:tcMar>
            <w:vAlign w:val="center"/>
            <w:hideMark/>
          </w:tcPr>
          <w:p w14:paraId="413878F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28.9%</w:t>
            </w:r>
          </w:p>
        </w:tc>
        <w:tc>
          <w:tcPr>
            <w:tcW w:w="709" w:type="dxa"/>
            <w:shd w:val="clear" w:color="auto" w:fill="E8ECF0"/>
            <w:tcMar>
              <w:top w:w="100" w:type="dxa"/>
              <w:left w:w="140" w:type="dxa"/>
              <w:bottom w:w="100" w:type="dxa"/>
              <w:right w:w="140" w:type="dxa"/>
            </w:tcMar>
            <w:vAlign w:val="center"/>
            <w:hideMark/>
          </w:tcPr>
          <w:p w14:paraId="2E86A51B"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57.2%</w:t>
            </w:r>
          </w:p>
        </w:tc>
        <w:tc>
          <w:tcPr>
            <w:tcW w:w="851" w:type="dxa"/>
            <w:shd w:val="clear" w:color="auto" w:fill="E8ECF0"/>
            <w:tcMar>
              <w:top w:w="100" w:type="dxa"/>
              <w:left w:w="140" w:type="dxa"/>
              <w:bottom w:w="100" w:type="dxa"/>
              <w:right w:w="140" w:type="dxa"/>
            </w:tcMar>
            <w:vAlign w:val="center"/>
            <w:hideMark/>
          </w:tcPr>
          <w:p w14:paraId="7E78C7C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0.965</w:t>
            </w:r>
          </w:p>
        </w:tc>
        <w:tc>
          <w:tcPr>
            <w:tcW w:w="850" w:type="dxa"/>
            <w:shd w:val="clear" w:color="auto" w:fill="E8ECF0"/>
            <w:tcMar>
              <w:top w:w="100" w:type="dxa"/>
              <w:left w:w="140" w:type="dxa"/>
              <w:bottom w:w="100" w:type="dxa"/>
              <w:right w:w="140" w:type="dxa"/>
            </w:tcMar>
            <w:vAlign w:val="center"/>
            <w:hideMark/>
          </w:tcPr>
          <w:p w14:paraId="7A96499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¥661,000</w:t>
            </w:r>
          </w:p>
        </w:tc>
      </w:tr>
      <w:tr w:rsidR="005E2FD3" w:rsidRPr="005E2FD3" w14:paraId="15619CFF" w14:textId="77777777" w:rsidTr="00923C4E">
        <w:trPr>
          <w:trHeight w:val="688"/>
        </w:trPr>
        <w:tc>
          <w:tcPr>
            <w:tcW w:w="851" w:type="dxa"/>
            <w:shd w:val="clear" w:color="auto" w:fill="FFFFFF"/>
            <w:tcMar>
              <w:top w:w="100" w:type="dxa"/>
              <w:left w:w="140" w:type="dxa"/>
              <w:bottom w:w="100" w:type="dxa"/>
              <w:right w:w="140" w:type="dxa"/>
            </w:tcMar>
            <w:vAlign w:val="center"/>
            <w:hideMark/>
          </w:tcPr>
          <w:p w14:paraId="5C0714C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Shanghai Xintiandi</w:t>
            </w:r>
          </w:p>
        </w:tc>
        <w:tc>
          <w:tcPr>
            <w:tcW w:w="709" w:type="dxa"/>
            <w:shd w:val="clear" w:color="auto" w:fill="FFFFFF"/>
            <w:tcMar>
              <w:top w:w="100" w:type="dxa"/>
              <w:left w:w="140" w:type="dxa"/>
              <w:bottom w:w="100" w:type="dxa"/>
              <w:right w:w="140" w:type="dxa"/>
            </w:tcMar>
            <w:vAlign w:val="center"/>
            <w:hideMark/>
          </w:tcPr>
          <w:p w14:paraId="16B4A31C"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1.80</w:t>
            </w:r>
          </w:p>
        </w:tc>
        <w:tc>
          <w:tcPr>
            <w:tcW w:w="708" w:type="dxa"/>
            <w:shd w:val="clear" w:color="auto" w:fill="FFFFFF"/>
            <w:tcMar>
              <w:top w:w="100" w:type="dxa"/>
              <w:left w:w="140" w:type="dxa"/>
              <w:bottom w:w="100" w:type="dxa"/>
              <w:right w:w="140" w:type="dxa"/>
            </w:tcMar>
            <w:vAlign w:val="center"/>
            <w:hideMark/>
          </w:tcPr>
          <w:p w14:paraId="2AE21EF9"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Popular</w:t>
            </w:r>
          </w:p>
        </w:tc>
        <w:tc>
          <w:tcPr>
            <w:tcW w:w="851" w:type="dxa"/>
            <w:shd w:val="clear" w:color="auto" w:fill="FFFFFF"/>
            <w:tcMar>
              <w:top w:w="100" w:type="dxa"/>
              <w:left w:w="140" w:type="dxa"/>
              <w:bottom w:w="100" w:type="dxa"/>
              <w:right w:w="140" w:type="dxa"/>
            </w:tcMar>
            <w:vAlign w:val="center"/>
            <w:hideMark/>
          </w:tcPr>
          <w:p w14:paraId="3FCAF9F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Shoe-driven</w:t>
            </w:r>
          </w:p>
        </w:tc>
        <w:tc>
          <w:tcPr>
            <w:tcW w:w="992" w:type="dxa"/>
            <w:shd w:val="clear" w:color="auto" w:fill="FFFFFF"/>
            <w:tcMar>
              <w:top w:w="100" w:type="dxa"/>
              <w:left w:w="140" w:type="dxa"/>
              <w:bottom w:w="100" w:type="dxa"/>
              <w:right w:w="140" w:type="dxa"/>
            </w:tcMar>
            <w:vAlign w:val="center"/>
            <w:hideMark/>
          </w:tcPr>
          <w:p w14:paraId="68E46BD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709" w:type="dxa"/>
            <w:shd w:val="clear" w:color="auto" w:fill="FFFFFF"/>
            <w:tcMar>
              <w:top w:w="100" w:type="dxa"/>
              <w:left w:w="140" w:type="dxa"/>
              <w:bottom w:w="100" w:type="dxa"/>
              <w:right w:w="140" w:type="dxa"/>
            </w:tcMar>
            <w:vAlign w:val="center"/>
            <w:hideMark/>
          </w:tcPr>
          <w:p w14:paraId="1E09312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81.1%</w:t>
            </w:r>
          </w:p>
        </w:tc>
        <w:tc>
          <w:tcPr>
            <w:tcW w:w="709" w:type="dxa"/>
            <w:shd w:val="clear" w:color="auto" w:fill="FFFFFF"/>
            <w:tcMar>
              <w:top w:w="100" w:type="dxa"/>
              <w:left w:w="140" w:type="dxa"/>
              <w:bottom w:w="100" w:type="dxa"/>
              <w:right w:w="140" w:type="dxa"/>
            </w:tcMar>
            <w:vAlign w:val="center"/>
            <w:hideMark/>
          </w:tcPr>
          <w:p w14:paraId="61AE90A9"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17.9%</w:t>
            </w:r>
          </w:p>
        </w:tc>
        <w:tc>
          <w:tcPr>
            <w:tcW w:w="658" w:type="dxa"/>
            <w:shd w:val="clear" w:color="auto" w:fill="FFFFFF"/>
            <w:tcMar>
              <w:top w:w="100" w:type="dxa"/>
              <w:left w:w="140" w:type="dxa"/>
              <w:bottom w:w="100" w:type="dxa"/>
              <w:right w:w="140" w:type="dxa"/>
            </w:tcMar>
            <w:vAlign w:val="center"/>
            <w:hideMark/>
          </w:tcPr>
          <w:p w14:paraId="00F07CC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1.0%</w:t>
            </w:r>
          </w:p>
        </w:tc>
        <w:tc>
          <w:tcPr>
            <w:tcW w:w="759" w:type="dxa"/>
            <w:shd w:val="clear" w:color="auto" w:fill="FFFFFF"/>
            <w:tcMar>
              <w:top w:w="100" w:type="dxa"/>
              <w:left w:w="140" w:type="dxa"/>
              <w:bottom w:w="100" w:type="dxa"/>
              <w:right w:w="140" w:type="dxa"/>
            </w:tcMar>
            <w:vAlign w:val="center"/>
            <w:hideMark/>
          </w:tcPr>
          <w:p w14:paraId="24EFF93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1.0%</w:t>
            </w:r>
          </w:p>
        </w:tc>
        <w:tc>
          <w:tcPr>
            <w:tcW w:w="709" w:type="dxa"/>
            <w:shd w:val="clear" w:color="auto" w:fill="FFFFFF"/>
            <w:tcMar>
              <w:top w:w="100" w:type="dxa"/>
              <w:left w:w="140" w:type="dxa"/>
              <w:bottom w:w="100" w:type="dxa"/>
              <w:right w:w="140" w:type="dxa"/>
            </w:tcMar>
            <w:vAlign w:val="center"/>
            <w:hideMark/>
          </w:tcPr>
          <w:p w14:paraId="2539B1A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3.0%</w:t>
            </w:r>
          </w:p>
        </w:tc>
        <w:tc>
          <w:tcPr>
            <w:tcW w:w="850" w:type="dxa"/>
            <w:shd w:val="clear" w:color="auto" w:fill="FFFFFF"/>
            <w:tcMar>
              <w:top w:w="100" w:type="dxa"/>
              <w:left w:w="140" w:type="dxa"/>
              <w:bottom w:w="100" w:type="dxa"/>
              <w:right w:w="140" w:type="dxa"/>
            </w:tcMar>
            <w:vAlign w:val="center"/>
            <w:hideMark/>
          </w:tcPr>
          <w:p w14:paraId="3160B80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3.9%</w:t>
            </w:r>
          </w:p>
        </w:tc>
        <w:tc>
          <w:tcPr>
            <w:tcW w:w="709" w:type="dxa"/>
            <w:shd w:val="clear" w:color="auto" w:fill="FFFFFF"/>
            <w:tcMar>
              <w:top w:w="100" w:type="dxa"/>
              <w:left w:w="140" w:type="dxa"/>
              <w:bottom w:w="100" w:type="dxa"/>
              <w:right w:w="140" w:type="dxa"/>
            </w:tcMar>
            <w:vAlign w:val="center"/>
            <w:hideMark/>
          </w:tcPr>
          <w:p w14:paraId="6681E09D"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92.1%</w:t>
            </w:r>
          </w:p>
        </w:tc>
        <w:tc>
          <w:tcPr>
            <w:tcW w:w="851" w:type="dxa"/>
            <w:shd w:val="clear" w:color="auto" w:fill="FFFFFF"/>
            <w:tcMar>
              <w:top w:w="100" w:type="dxa"/>
              <w:left w:w="140" w:type="dxa"/>
              <w:bottom w:w="100" w:type="dxa"/>
              <w:right w:w="140" w:type="dxa"/>
            </w:tcMar>
            <w:vAlign w:val="center"/>
            <w:hideMark/>
          </w:tcPr>
          <w:p w14:paraId="1F92E255"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0.994</w:t>
            </w:r>
          </w:p>
        </w:tc>
        <w:tc>
          <w:tcPr>
            <w:tcW w:w="850" w:type="dxa"/>
            <w:shd w:val="clear" w:color="auto" w:fill="FFFFFF"/>
            <w:tcMar>
              <w:top w:w="100" w:type="dxa"/>
              <w:left w:w="140" w:type="dxa"/>
              <w:bottom w:w="100" w:type="dxa"/>
              <w:right w:w="140" w:type="dxa"/>
            </w:tcMar>
            <w:vAlign w:val="center"/>
            <w:hideMark/>
          </w:tcPr>
          <w:p w14:paraId="6101994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¥788,000</w:t>
            </w:r>
          </w:p>
        </w:tc>
      </w:tr>
      <w:tr w:rsidR="005E2FD3" w:rsidRPr="005E2FD3" w14:paraId="73EA65EA" w14:textId="77777777" w:rsidTr="001B45C4">
        <w:trPr>
          <w:trHeight w:val="1500"/>
        </w:trPr>
        <w:tc>
          <w:tcPr>
            <w:tcW w:w="851" w:type="dxa"/>
            <w:shd w:val="clear" w:color="auto" w:fill="FFFFFF"/>
            <w:tcMar>
              <w:top w:w="100" w:type="dxa"/>
              <w:left w:w="140" w:type="dxa"/>
              <w:bottom w:w="100" w:type="dxa"/>
              <w:right w:w="140" w:type="dxa"/>
            </w:tcMar>
            <w:vAlign w:val="center"/>
            <w:hideMark/>
          </w:tcPr>
          <w:p w14:paraId="5CD0AD90"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Chongqing Liberation Monument</w:t>
            </w:r>
          </w:p>
        </w:tc>
        <w:tc>
          <w:tcPr>
            <w:tcW w:w="709" w:type="dxa"/>
            <w:shd w:val="clear" w:color="auto" w:fill="E8ECF0"/>
            <w:tcMar>
              <w:top w:w="100" w:type="dxa"/>
              <w:left w:w="140" w:type="dxa"/>
              <w:bottom w:w="100" w:type="dxa"/>
              <w:right w:w="140" w:type="dxa"/>
            </w:tcMar>
            <w:vAlign w:val="center"/>
            <w:hideMark/>
          </w:tcPr>
          <w:p w14:paraId="4C9F5FBA"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1.60</w:t>
            </w:r>
          </w:p>
        </w:tc>
        <w:tc>
          <w:tcPr>
            <w:tcW w:w="708" w:type="dxa"/>
            <w:shd w:val="clear" w:color="auto" w:fill="E8ECF0"/>
            <w:tcMar>
              <w:top w:w="100" w:type="dxa"/>
              <w:left w:w="140" w:type="dxa"/>
              <w:bottom w:w="100" w:type="dxa"/>
              <w:right w:w="140" w:type="dxa"/>
            </w:tcMar>
            <w:vAlign w:val="center"/>
            <w:hideMark/>
          </w:tcPr>
          <w:p w14:paraId="19284A6C" w14:textId="77777777" w:rsidR="005E2FD3" w:rsidRPr="00A83861" w:rsidRDefault="005E2FD3" w:rsidP="00923C4E">
            <w:pPr>
              <w:widowControl/>
              <w:autoSpaceDE/>
              <w:autoSpaceDN/>
              <w:spacing w:before="40" w:after="40"/>
              <w:ind w:left="-40"/>
              <w:jc w:val="center"/>
              <w:rPr>
                <w:rFonts w:eastAsia="宋体"/>
                <w:sz w:val="21"/>
                <w:szCs w:val="21"/>
                <w:lang w:eastAsia="zh-CN"/>
              </w:rPr>
            </w:pPr>
            <w:r w:rsidRPr="00A83861">
              <w:rPr>
                <w:rFonts w:eastAsia="宋体"/>
                <w:color w:val="1A1A1A"/>
                <w:sz w:val="21"/>
                <w:szCs w:val="21"/>
                <w:lang w:eastAsia="zh-CN"/>
              </w:rPr>
              <w:t>Popular</w:t>
            </w:r>
          </w:p>
        </w:tc>
        <w:tc>
          <w:tcPr>
            <w:tcW w:w="851" w:type="dxa"/>
            <w:shd w:val="clear" w:color="auto" w:fill="E8ECF0"/>
            <w:tcMar>
              <w:top w:w="100" w:type="dxa"/>
              <w:left w:w="140" w:type="dxa"/>
              <w:bottom w:w="100" w:type="dxa"/>
              <w:right w:w="140" w:type="dxa"/>
            </w:tcMar>
            <w:vAlign w:val="center"/>
            <w:hideMark/>
          </w:tcPr>
          <w:p w14:paraId="39BBE1A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992" w:type="dxa"/>
            <w:shd w:val="clear" w:color="auto" w:fill="E8ECF0"/>
            <w:tcMar>
              <w:top w:w="100" w:type="dxa"/>
              <w:left w:w="140" w:type="dxa"/>
              <w:bottom w:w="100" w:type="dxa"/>
              <w:right w:w="140" w:type="dxa"/>
            </w:tcMar>
            <w:vAlign w:val="center"/>
            <w:hideMark/>
          </w:tcPr>
          <w:p w14:paraId="77CBD9DE"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Balanced</w:t>
            </w:r>
          </w:p>
        </w:tc>
        <w:tc>
          <w:tcPr>
            <w:tcW w:w="709" w:type="dxa"/>
            <w:shd w:val="clear" w:color="auto" w:fill="E8ECF0"/>
            <w:tcMar>
              <w:top w:w="100" w:type="dxa"/>
              <w:left w:w="140" w:type="dxa"/>
              <w:bottom w:w="100" w:type="dxa"/>
              <w:right w:w="140" w:type="dxa"/>
            </w:tcMar>
            <w:vAlign w:val="center"/>
            <w:hideMark/>
          </w:tcPr>
          <w:p w14:paraId="62720791"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60.5%</w:t>
            </w:r>
          </w:p>
        </w:tc>
        <w:tc>
          <w:tcPr>
            <w:tcW w:w="709" w:type="dxa"/>
            <w:shd w:val="clear" w:color="auto" w:fill="E8ECF0"/>
            <w:tcMar>
              <w:top w:w="100" w:type="dxa"/>
              <w:left w:w="140" w:type="dxa"/>
              <w:bottom w:w="100" w:type="dxa"/>
              <w:right w:w="140" w:type="dxa"/>
            </w:tcMar>
            <w:vAlign w:val="center"/>
            <w:hideMark/>
          </w:tcPr>
          <w:p w14:paraId="4B99317F"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37.0%</w:t>
            </w:r>
          </w:p>
        </w:tc>
        <w:tc>
          <w:tcPr>
            <w:tcW w:w="658" w:type="dxa"/>
            <w:shd w:val="clear" w:color="auto" w:fill="E8ECF0"/>
            <w:tcMar>
              <w:top w:w="100" w:type="dxa"/>
              <w:left w:w="140" w:type="dxa"/>
              <w:bottom w:w="100" w:type="dxa"/>
              <w:right w:w="140" w:type="dxa"/>
            </w:tcMar>
            <w:vAlign w:val="center"/>
            <w:hideMark/>
          </w:tcPr>
          <w:p w14:paraId="4F0CBD9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2.6%</w:t>
            </w:r>
          </w:p>
        </w:tc>
        <w:tc>
          <w:tcPr>
            <w:tcW w:w="759" w:type="dxa"/>
            <w:shd w:val="clear" w:color="auto" w:fill="E8ECF0"/>
            <w:tcMar>
              <w:top w:w="100" w:type="dxa"/>
              <w:left w:w="140" w:type="dxa"/>
              <w:bottom w:w="100" w:type="dxa"/>
              <w:right w:w="140" w:type="dxa"/>
            </w:tcMar>
            <w:vAlign w:val="center"/>
            <w:hideMark/>
          </w:tcPr>
          <w:p w14:paraId="36D2054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1.4%</w:t>
            </w:r>
          </w:p>
        </w:tc>
        <w:tc>
          <w:tcPr>
            <w:tcW w:w="709" w:type="dxa"/>
            <w:shd w:val="clear" w:color="auto" w:fill="E8ECF0"/>
            <w:tcMar>
              <w:top w:w="100" w:type="dxa"/>
              <w:left w:w="140" w:type="dxa"/>
              <w:bottom w:w="100" w:type="dxa"/>
              <w:right w:w="140" w:type="dxa"/>
            </w:tcMar>
            <w:vAlign w:val="center"/>
            <w:hideMark/>
          </w:tcPr>
          <w:p w14:paraId="322129D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8.8%</w:t>
            </w:r>
          </w:p>
        </w:tc>
        <w:tc>
          <w:tcPr>
            <w:tcW w:w="850" w:type="dxa"/>
            <w:shd w:val="clear" w:color="auto" w:fill="E8ECF0"/>
            <w:tcMar>
              <w:top w:w="100" w:type="dxa"/>
              <w:left w:w="140" w:type="dxa"/>
              <w:bottom w:w="100" w:type="dxa"/>
              <w:right w:w="140" w:type="dxa"/>
            </w:tcMar>
            <w:vAlign w:val="center"/>
            <w:hideMark/>
          </w:tcPr>
          <w:p w14:paraId="3D4F0E06"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19.6%</w:t>
            </w:r>
          </w:p>
        </w:tc>
        <w:tc>
          <w:tcPr>
            <w:tcW w:w="709" w:type="dxa"/>
            <w:shd w:val="clear" w:color="auto" w:fill="E8ECF0"/>
            <w:tcMar>
              <w:top w:w="100" w:type="dxa"/>
              <w:left w:w="140" w:type="dxa"/>
              <w:bottom w:w="100" w:type="dxa"/>
              <w:right w:w="140" w:type="dxa"/>
            </w:tcMar>
            <w:vAlign w:val="center"/>
            <w:hideMark/>
          </w:tcPr>
          <w:p w14:paraId="1CD9CBC2"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70.2%</w:t>
            </w:r>
          </w:p>
        </w:tc>
        <w:tc>
          <w:tcPr>
            <w:tcW w:w="851" w:type="dxa"/>
            <w:shd w:val="clear" w:color="auto" w:fill="E8ECF0"/>
            <w:tcMar>
              <w:top w:w="100" w:type="dxa"/>
              <w:left w:w="140" w:type="dxa"/>
              <w:bottom w:w="100" w:type="dxa"/>
              <w:right w:w="140" w:type="dxa"/>
            </w:tcMar>
            <w:vAlign w:val="center"/>
            <w:hideMark/>
          </w:tcPr>
          <w:p w14:paraId="6A6A8134"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0.961</w:t>
            </w:r>
          </w:p>
        </w:tc>
        <w:tc>
          <w:tcPr>
            <w:tcW w:w="850" w:type="dxa"/>
            <w:shd w:val="clear" w:color="auto" w:fill="E8ECF0"/>
            <w:tcMar>
              <w:top w:w="100" w:type="dxa"/>
              <w:left w:w="140" w:type="dxa"/>
              <w:bottom w:w="100" w:type="dxa"/>
              <w:right w:w="140" w:type="dxa"/>
            </w:tcMar>
            <w:vAlign w:val="center"/>
            <w:hideMark/>
          </w:tcPr>
          <w:p w14:paraId="12EB9CC8" w14:textId="77777777" w:rsidR="005E2FD3" w:rsidRPr="005E2FD3" w:rsidRDefault="005E2FD3" w:rsidP="00923C4E">
            <w:pPr>
              <w:widowControl/>
              <w:autoSpaceDE/>
              <w:autoSpaceDN/>
              <w:spacing w:before="40" w:after="40"/>
              <w:ind w:left="-40"/>
              <w:jc w:val="center"/>
              <w:rPr>
                <w:rFonts w:eastAsia="宋体"/>
                <w:sz w:val="21"/>
                <w:szCs w:val="21"/>
                <w:lang w:eastAsia="zh-CN"/>
              </w:rPr>
            </w:pPr>
            <w:r w:rsidRPr="005E2FD3">
              <w:rPr>
                <w:rFonts w:eastAsia="宋体"/>
                <w:color w:val="1A1A1A"/>
                <w:sz w:val="21"/>
                <w:szCs w:val="21"/>
                <w:lang w:eastAsia="zh-CN"/>
              </w:rPr>
              <w:t>¥362,000</w:t>
            </w:r>
          </w:p>
        </w:tc>
      </w:tr>
    </w:tbl>
    <w:p w14:paraId="1C3A3AE2" w14:textId="480BEACA" w:rsidR="005E2FD3" w:rsidRDefault="005E2FD3" w:rsidP="00923C4E">
      <w:pPr>
        <w:pStyle w:val="3"/>
        <w:ind w:right="0"/>
        <w:rPr>
          <w:rFonts w:eastAsiaTheme="minorEastAsia"/>
          <w:lang w:eastAsia="zh-CN"/>
        </w:rPr>
      </w:pPr>
      <w:r w:rsidRPr="005E2FD3">
        <w:rPr>
          <w:rFonts w:eastAsiaTheme="minorEastAsia"/>
          <w:lang w:eastAsia="zh-CN"/>
        </w:rPr>
        <w:t>Quality Filtration Results (Y7 ≥ 0.90)</w:t>
      </w:r>
    </w:p>
    <w:tbl>
      <w:tblPr>
        <w:tblW w:w="10915" w:type="dxa"/>
        <w:tblInd w:w="-427" w:type="dxa"/>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2081"/>
        <w:gridCol w:w="1654"/>
        <w:gridCol w:w="1654"/>
        <w:gridCol w:w="1654"/>
        <w:gridCol w:w="3872"/>
      </w:tblGrid>
      <w:tr w:rsidR="000F6E69" w:rsidRPr="000F6E69" w14:paraId="2429A776" w14:textId="77777777" w:rsidTr="00A83861">
        <w:trPr>
          <w:trHeight w:val="1035"/>
        </w:trPr>
        <w:tc>
          <w:tcPr>
            <w:tcW w:w="2081" w:type="dxa"/>
            <w:shd w:val="clear" w:color="auto" w:fill="C00000"/>
            <w:tcMar>
              <w:top w:w="100" w:type="dxa"/>
              <w:left w:w="140" w:type="dxa"/>
              <w:bottom w:w="100" w:type="dxa"/>
              <w:right w:w="140" w:type="dxa"/>
            </w:tcMar>
            <w:vAlign w:val="center"/>
            <w:hideMark/>
          </w:tcPr>
          <w:p w14:paraId="14E7EFA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24"/>
                <w:szCs w:val="24"/>
                <w:lang w:eastAsia="zh-CN"/>
              </w:rPr>
              <w:t>Store Name</w:t>
            </w:r>
          </w:p>
        </w:tc>
        <w:tc>
          <w:tcPr>
            <w:tcW w:w="1654" w:type="dxa"/>
            <w:shd w:val="clear" w:color="auto" w:fill="C00000"/>
            <w:tcMar>
              <w:top w:w="100" w:type="dxa"/>
              <w:left w:w="140" w:type="dxa"/>
              <w:bottom w:w="100" w:type="dxa"/>
              <w:right w:w="140" w:type="dxa"/>
            </w:tcMar>
            <w:vAlign w:val="center"/>
            <w:hideMark/>
          </w:tcPr>
          <w:p w14:paraId="20E2470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24"/>
                <w:szCs w:val="24"/>
                <w:lang w:eastAsia="zh-CN"/>
              </w:rPr>
              <w:t>Hang tag fulfillment rate Y7</w:t>
            </w:r>
          </w:p>
        </w:tc>
        <w:tc>
          <w:tcPr>
            <w:tcW w:w="1654" w:type="dxa"/>
            <w:shd w:val="clear" w:color="auto" w:fill="C00000"/>
            <w:tcMar>
              <w:top w:w="100" w:type="dxa"/>
              <w:left w:w="140" w:type="dxa"/>
              <w:bottom w:w="100" w:type="dxa"/>
              <w:right w:w="140" w:type="dxa"/>
            </w:tcMar>
            <w:vAlign w:val="center"/>
            <w:hideMark/>
          </w:tcPr>
          <w:p w14:paraId="23CC354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24"/>
                <w:szCs w:val="24"/>
                <w:lang w:eastAsia="zh-CN"/>
              </w:rPr>
              <w:t>Weekly sales</w:t>
            </w:r>
          </w:p>
        </w:tc>
        <w:tc>
          <w:tcPr>
            <w:tcW w:w="1654" w:type="dxa"/>
            <w:shd w:val="clear" w:color="auto" w:fill="C00000"/>
            <w:tcMar>
              <w:top w:w="100" w:type="dxa"/>
              <w:left w:w="140" w:type="dxa"/>
              <w:bottom w:w="100" w:type="dxa"/>
              <w:right w:w="140" w:type="dxa"/>
            </w:tcMar>
            <w:vAlign w:val="center"/>
            <w:hideMark/>
          </w:tcPr>
          <w:p w14:paraId="6C23EAA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24"/>
                <w:szCs w:val="24"/>
                <w:lang w:eastAsia="zh-CN"/>
              </w:rPr>
              <w:t>Should it be added to the K-NN candidate pool?</w:t>
            </w:r>
          </w:p>
        </w:tc>
        <w:tc>
          <w:tcPr>
            <w:tcW w:w="3872" w:type="dxa"/>
            <w:shd w:val="clear" w:color="auto" w:fill="C00000"/>
            <w:tcMar>
              <w:top w:w="100" w:type="dxa"/>
              <w:left w:w="140" w:type="dxa"/>
              <w:bottom w:w="100" w:type="dxa"/>
              <w:right w:w="140" w:type="dxa"/>
            </w:tcMar>
            <w:vAlign w:val="center"/>
            <w:hideMark/>
          </w:tcPr>
          <w:p w14:paraId="38EE2C6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24"/>
                <w:szCs w:val="24"/>
                <w:lang w:eastAsia="zh-CN"/>
              </w:rPr>
              <w:t>Remark</w:t>
            </w:r>
          </w:p>
        </w:tc>
      </w:tr>
      <w:tr w:rsidR="000F6E69" w:rsidRPr="000F6E69" w14:paraId="1A1AF69C" w14:textId="77777777" w:rsidTr="00923C4E">
        <w:trPr>
          <w:trHeight w:val="540"/>
        </w:trPr>
        <w:tc>
          <w:tcPr>
            <w:tcW w:w="2081" w:type="dxa"/>
            <w:shd w:val="clear" w:color="auto" w:fill="E8ECF0"/>
            <w:tcMar>
              <w:top w:w="100" w:type="dxa"/>
              <w:left w:w="140" w:type="dxa"/>
              <w:bottom w:w="100" w:type="dxa"/>
              <w:right w:w="140" w:type="dxa"/>
            </w:tcMar>
            <w:vAlign w:val="center"/>
            <w:hideMark/>
          </w:tcPr>
          <w:p w14:paraId="6D0A170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Sanlitun, Beijing</w:t>
            </w:r>
          </w:p>
        </w:tc>
        <w:tc>
          <w:tcPr>
            <w:tcW w:w="1654" w:type="dxa"/>
            <w:shd w:val="clear" w:color="auto" w:fill="FCE4D6"/>
            <w:tcMar>
              <w:top w:w="100" w:type="dxa"/>
              <w:left w:w="140" w:type="dxa"/>
              <w:bottom w:w="100" w:type="dxa"/>
              <w:right w:w="140" w:type="dxa"/>
            </w:tcMar>
            <w:vAlign w:val="center"/>
            <w:hideMark/>
          </w:tcPr>
          <w:p w14:paraId="372189F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C0392B"/>
                <w:sz w:val="24"/>
                <w:szCs w:val="24"/>
                <w:lang w:eastAsia="zh-CN"/>
              </w:rPr>
              <w:t>0.842</w:t>
            </w:r>
          </w:p>
        </w:tc>
        <w:tc>
          <w:tcPr>
            <w:tcW w:w="1654" w:type="dxa"/>
            <w:shd w:val="clear" w:color="auto" w:fill="E8ECF0"/>
            <w:tcMar>
              <w:top w:w="100" w:type="dxa"/>
              <w:left w:w="140" w:type="dxa"/>
              <w:bottom w:w="100" w:type="dxa"/>
              <w:right w:w="140" w:type="dxa"/>
            </w:tcMar>
            <w:vAlign w:val="center"/>
            <w:hideMark/>
          </w:tcPr>
          <w:p w14:paraId="1CB65AF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¥966,000</w:t>
            </w:r>
          </w:p>
        </w:tc>
        <w:tc>
          <w:tcPr>
            <w:tcW w:w="1654" w:type="dxa"/>
            <w:shd w:val="clear" w:color="auto" w:fill="FCE4D6"/>
            <w:tcMar>
              <w:top w:w="100" w:type="dxa"/>
              <w:left w:w="140" w:type="dxa"/>
              <w:bottom w:w="100" w:type="dxa"/>
              <w:right w:w="140" w:type="dxa"/>
            </w:tcMar>
            <w:vAlign w:val="center"/>
            <w:hideMark/>
          </w:tcPr>
          <w:p w14:paraId="1ACB885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C0392B"/>
                <w:sz w:val="24"/>
                <w:szCs w:val="24"/>
                <w:lang w:eastAsia="zh-CN"/>
              </w:rPr>
              <w:t>no</w:t>
            </w:r>
          </w:p>
        </w:tc>
        <w:tc>
          <w:tcPr>
            <w:tcW w:w="3872" w:type="dxa"/>
            <w:shd w:val="clear" w:color="auto" w:fill="E8ECF0"/>
            <w:tcMar>
              <w:top w:w="100" w:type="dxa"/>
              <w:left w:w="140" w:type="dxa"/>
              <w:bottom w:w="100" w:type="dxa"/>
              <w:right w:w="140" w:type="dxa"/>
            </w:tcMar>
            <w:vAlign w:val="center"/>
            <w:hideMark/>
          </w:tcPr>
          <w:p w14:paraId="0D3A8C0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Y7=0.842, heavily discounted, low reference value for the ratio.</w:t>
            </w:r>
          </w:p>
        </w:tc>
      </w:tr>
      <w:tr w:rsidR="000F6E69" w:rsidRPr="000F6E69" w14:paraId="26C8CF8D" w14:textId="77777777" w:rsidTr="00923C4E">
        <w:trPr>
          <w:trHeight w:val="780"/>
        </w:trPr>
        <w:tc>
          <w:tcPr>
            <w:tcW w:w="2081" w:type="dxa"/>
            <w:shd w:val="clear" w:color="auto" w:fill="FFFFFF"/>
            <w:tcMar>
              <w:top w:w="100" w:type="dxa"/>
              <w:left w:w="140" w:type="dxa"/>
              <w:bottom w:w="100" w:type="dxa"/>
              <w:right w:w="140" w:type="dxa"/>
            </w:tcMar>
            <w:vAlign w:val="center"/>
            <w:hideMark/>
          </w:tcPr>
          <w:p w14:paraId="1773812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Harbin Haxi Wanda L1 Atrium</w:t>
            </w:r>
          </w:p>
        </w:tc>
        <w:tc>
          <w:tcPr>
            <w:tcW w:w="1654" w:type="dxa"/>
            <w:shd w:val="clear" w:color="auto" w:fill="FFFFFF"/>
            <w:tcMar>
              <w:top w:w="100" w:type="dxa"/>
              <w:left w:w="140" w:type="dxa"/>
              <w:bottom w:w="100" w:type="dxa"/>
              <w:right w:w="140" w:type="dxa"/>
            </w:tcMar>
            <w:vAlign w:val="center"/>
            <w:hideMark/>
          </w:tcPr>
          <w:p w14:paraId="452DD39D"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0.946</w:t>
            </w:r>
          </w:p>
        </w:tc>
        <w:tc>
          <w:tcPr>
            <w:tcW w:w="1654" w:type="dxa"/>
            <w:shd w:val="clear" w:color="auto" w:fill="FFFFFF"/>
            <w:tcMar>
              <w:top w:w="100" w:type="dxa"/>
              <w:left w:w="140" w:type="dxa"/>
              <w:bottom w:w="100" w:type="dxa"/>
              <w:right w:w="140" w:type="dxa"/>
            </w:tcMar>
            <w:vAlign w:val="center"/>
            <w:hideMark/>
          </w:tcPr>
          <w:p w14:paraId="0A1BF4D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¥303,000</w:t>
            </w:r>
          </w:p>
        </w:tc>
        <w:tc>
          <w:tcPr>
            <w:tcW w:w="1654" w:type="dxa"/>
            <w:shd w:val="clear" w:color="auto" w:fill="FFFFFF"/>
            <w:tcMar>
              <w:top w:w="100" w:type="dxa"/>
              <w:left w:w="140" w:type="dxa"/>
              <w:bottom w:w="100" w:type="dxa"/>
              <w:right w:w="140" w:type="dxa"/>
            </w:tcMar>
            <w:vAlign w:val="center"/>
            <w:hideMark/>
          </w:tcPr>
          <w:p w14:paraId="6D8CCEE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4DEA0B8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For boundary values, it is recommended that the K-NN reference results be manually reviewed.</w:t>
            </w:r>
          </w:p>
        </w:tc>
      </w:tr>
      <w:tr w:rsidR="000F6E69" w:rsidRPr="000F6E69" w14:paraId="6757DA79" w14:textId="77777777" w:rsidTr="00923C4E">
        <w:trPr>
          <w:trHeight w:val="540"/>
        </w:trPr>
        <w:tc>
          <w:tcPr>
            <w:tcW w:w="2081" w:type="dxa"/>
            <w:shd w:val="clear" w:color="auto" w:fill="E8ECF0"/>
            <w:tcMar>
              <w:top w:w="100" w:type="dxa"/>
              <w:left w:w="140" w:type="dxa"/>
              <w:bottom w:w="100" w:type="dxa"/>
              <w:right w:w="140" w:type="dxa"/>
            </w:tcMar>
            <w:vAlign w:val="center"/>
            <w:hideMark/>
          </w:tcPr>
          <w:p w14:paraId="00CF0CB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Beijing Huiju L1 Atrium</w:t>
            </w:r>
          </w:p>
        </w:tc>
        <w:tc>
          <w:tcPr>
            <w:tcW w:w="1654" w:type="dxa"/>
            <w:shd w:val="clear" w:color="auto" w:fill="E8ECF0"/>
            <w:tcMar>
              <w:top w:w="100" w:type="dxa"/>
              <w:left w:w="140" w:type="dxa"/>
              <w:bottom w:w="100" w:type="dxa"/>
              <w:right w:w="140" w:type="dxa"/>
            </w:tcMar>
            <w:vAlign w:val="center"/>
            <w:hideMark/>
          </w:tcPr>
          <w:p w14:paraId="2227C70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0.950</w:t>
            </w:r>
          </w:p>
        </w:tc>
        <w:tc>
          <w:tcPr>
            <w:tcW w:w="1654" w:type="dxa"/>
            <w:shd w:val="clear" w:color="auto" w:fill="E8ECF0"/>
            <w:tcMar>
              <w:top w:w="100" w:type="dxa"/>
              <w:left w:w="140" w:type="dxa"/>
              <w:bottom w:w="100" w:type="dxa"/>
              <w:right w:w="140" w:type="dxa"/>
            </w:tcMar>
            <w:vAlign w:val="center"/>
            <w:hideMark/>
          </w:tcPr>
          <w:p w14:paraId="6B0B761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¥223,000</w:t>
            </w:r>
          </w:p>
        </w:tc>
        <w:tc>
          <w:tcPr>
            <w:tcW w:w="1654" w:type="dxa"/>
            <w:shd w:val="clear" w:color="auto" w:fill="E8ECF0"/>
            <w:tcMar>
              <w:top w:w="100" w:type="dxa"/>
              <w:left w:w="140" w:type="dxa"/>
              <w:bottom w:w="100" w:type="dxa"/>
              <w:right w:w="140" w:type="dxa"/>
            </w:tcMar>
            <w:vAlign w:val="center"/>
            <w:hideMark/>
          </w:tcPr>
          <w:p w14:paraId="31BE432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6B2436D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Boundary values should be manually reviewed.</w:t>
            </w:r>
          </w:p>
        </w:tc>
      </w:tr>
      <w:tr w:rsidR="000F6E69" w:rsidRPr="000F6E69" w14:paraId="6208E4A4" w14:textId="77777777" w:rsidTr="00923C4E">
        <w:trPr>
          <w:trHeight w:val="540"/>
        </w:trPr>
        <w:tc>
          <w:tcPr>
            <w:tcW w:w="2081" w:type="dxa"/>
            <w:shd w:val="clear" w:color="auto" w:fill="FFFFFF"/>
            <w:tcMar>
              <w:top w:w="100" w:type="dxa"/>
              <w:left w:w="140" w:type="dxa"/>
              <w:bottom w:w="100" w:type="dxa"/>
              <w:right w:w="140" w:type="dxa"/>
            </w:tcMar>
            <w:vAlign w:val="center"/>
            <w:hideMark/>
          </w:tcPr>
          <w:p w14:paraId="3065393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Chongqing Liberation Monument</w:t>
            </w:r>
          </w:p>
        </w:tc>
        <w:tc>
          <w:tcPr>
            <w:tcW w:w="1654" w:type="dxa"/>
            <w:shd w:val="clear" w:color="auto" w:fill="FFFFFF"/>
            <w:tcMar>
              <w:top w:w="100" w:type="dxa"/>
              <w:left w:w="140" w:type="dxa"/>
              <w:bottom w:w="100" w:type="dxa"/>
              <w:right w:w="140" w:type="dxa"/>
            </w:tcMar>
            <w:vAlign w:val="center"/>
            <w:hideMark/>
          </w:tcPr>
          <w:p w14:paraId="364FA92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0.961</w:t>
            </w:r>
          </w:p>
        </w:tc>
        <w:tc>
          <w:tcPr>
            <w:tcW w:w="1654" w:type="dxa"/>
            <w:shd w:val="clear" w:color="auto" w:fill="FFFFFF"/>
            <w:tcMar>
              <w:top w:w="100" w:type="dxa"/>
              <w:left w:w="140" w:type="dxa"/>
              <w:bottom w:w="100" w:type="dxa"/>
              <w:right w:w="140" w:type="dxa"/>
            </w:tcMar>
            <w:vAlign w:val="center"/>
            <w:hideMark/>
          </w:tcPr>
          <w:p w14:paraId="2917FD6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¥362,000</w:t>
            </w:r>
          </w:p>
        </w:tc>
        <w:tc>
          <w:tcPr>
            <w:tcW w:w="1654" w:type="dxa"/>
            <w:shd w:val="clear" w:color="auto" w:fill="FFFFFF"/>
            <w:tcMar>
              <w:top w:w="100" w:type="dxa"/>
              <w:left w:w="140" w:type="dxa"/>
              <w:bottom w:w="100" w:type="dxa"/>
              <w:right w:w="140" w:type="dxa"/>
            </w:tcMar>
            <w:vAlign w:val="center"/>
            <w:hideMark/>
          </w:tcPr>
          <w:p w14:paraId="18621F6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075BA65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Proxy profiling has limited feature accuracy.</w:t>
            </w:r>
          </w:p>
        </w:tc>
      </w:tr>
      <w:tr w:rsidR="000F6E69" w:rsidRPr="000F6E69" w14:paraId="710A1E0F" w14:textId="77777777" w:rsidTr="00923C4E">
        <w:trPr>
          <w:trHeight w:val="131"/>
        </w:trPr>
        <w:tc>
          <w:tcPr>
            <w:tcW w:w="2081" w:type="dxa"/>
            <w:shd w:val="clear" w:color="auto" w:fill="E8ECF0"/>
            <w:tcMar>
              <w:top w:w="100" w:type="dxa"/>
              <w:left w:w="140" w:type="dxa"/>
              <w:bottom w:w="100" w:type="dxa"/>
              <w:right w:w="140" w:type="dxa"/>
            </w:tcMar>
            <w:vAlign w:val="center"/>
            <w:hideMark/>
          </w:tcPr>
          <w:p w14:paraId="0A3858A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Changsha MixC L1 Atrium</w:t>
            </w:r>
          </w:p>
        </w:tc>
        <w:tc>
          <w:tcPr>
            <w:tcW w:w="1654" w:type="dxa"/>
            <w:shd w:val="clear" w:color="auto" w:fill="E8ECF0"/>
            <w:tcMar>
              <w:top w:w="100" w:type="dxa"/>
              <w:left w:w="140" w:type="dxa"/>
              <w:bottom w:w="100" w:type="dxa"/>
              <w:right w:w="140" w:type="dxa"/>
            </w:tcMar>
            <w:vAlign w:val="center"/>
            <w:hideMark/>
          </w:tcPr>
          <w:p w14:paraId="2EAD8F7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0.963</w:t>
            </w:r>
          </w:p>
        </w:tc>
        <w:tc>
          <w:tcPr>
            <w:tcW w:w="1654" w:type="dxa"/>
            <w:shd w:val="clear" w:color="auto" w:fill="E8ECF0"/>
            <w:tcMar>
              <w:top w:w="100" w:type="dxa"/>
              <w:left w:w="140" w:type="dxa"/>
              <w:bottom w:w="100" w:type="dxa"/>
              <w:right w:w="140" w:type="dxa"/>
            </w:tcMar>
            <w:vAlign w:val="center"/>
            <w:hideMark/>
          </w:tcPr>
          <w:p w14:paraId="536522F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¥134,000</w:t>
            </w:r>
          </w:p>
        </w:tc>
        <w:tc>
          <w:tcPr>
            <w:tcW w:w="1654" w:type="dxa"/>
            <w:shd w:val="clear" w:color="auto" w:fill="E8ECF0"/>
            <w:tcMar>
              <w:top w:w="100" w:type="dxa"/>
              <w:left w:w="140" w:type="dxa"/>
              <w:bottom w:w="100" w:type="dxa"/>
              <w:right w:w="140" w:type="dxa"/>
            </w:tcMar>
            <w:vAlign w:val="center"/>
            <w:hideMark/>
          </w:tcPr>
          <w:p w14:paraId="69FC398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0C38907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r w:rsidR="000F6E69" w:rsidRPr="000F6E69" w14:paraId="3BB5588A" w14:textId="77777777" w:rsidTr="00923C4E">
        <w:trPr>
          <w:trHeight w:val="780"/>
        </w:trPr>
        <w:tc>
          <w:tcPr>
            <w:tcW w:w="2081" w:type="dxa"/>
            <w:shd w:val="clear" w:color="auto" w:fill="FFFFFF"/>
            <w:tcMar>
              <w:top w:w="100" w:type="dxa"/>
              <w:left w:w="140" w:type="dxa"/>
              <w:bottom w:w="100" w:type="dxa"/>
              <w:right w:w="140" w:type="dxa"/>
            </w:tcMar>
            <w:vAlign w:val="center"/>
            <w:hideMark/>
          </w:tcPr>
          <w:p w14:paraId="2C300B9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Changchun Eurasia Shopping Mall, Gate 10, Atrium</w:t>
            </w:r>
          </w:p>
        </w:tc>
        <w:tc>
          <w:tcPr>
            <w:tcW w:w="1654" w:type="dxa"/>
            <w:shd w:val="clear" w:color="auto" w:fill="FFFFFF"/>
            <w:tcMar>
              <w:top w:w="100" w:type="dxa"/>
              <w:left w:w="140" w:type="dxa"/>
              <w:bottom w:w="100" w:type="dxa"/>
              <w:right w:w="140" w:type="dxa"/>
            </w:tcMar>
            <w:vAlign w:val="center"/>
            <w:hideMark/>
          </w:tcPr>
          <w:p w14:paraId="4A38F66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0.964</w:t>
            </w:r>
          </w:p>
        </w:tc>
        <w:tc>
          <w:tcPr>
            <w:tcW w:w="1654" w:type="dxa"/>
            <w:shd w:val="clear" w:color="auto" w:fill="FFFFFF"/>
            <w:tcMar>
              <w:top w:w="100" w:type="dxa"/>
              <w:left w:w="140" w:type="dxa"/>
              <w:bottom w:w="100" w:type="dxa"/>
              <w:right w:w="140" w:type="dxa"/>
            </w:tcMar>
            <w:vAlign w:val="center"/>
            <w:hideMark/>
          </w:tcPr>
          <w:p w14:paraId="065255E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¥63,000</w:t>
            </w:r>
          </w:p>
        </w:tc>
        <w:tc>
          <w:tcPr>
            <w:tcW w:w="1654" w:type="dxa"/>
            <w:shd w:val="clear" w:color="auto" w:fill="FFFFFF"/>
            <w:tcMar>
              <w:top w:w="100" w:type="dxa"/>
              <w:left w:w="140" w:type="dxa"/>
              <w:bottom w:w="100" w:type="dxa"/>
              <w:right w:w="140" w:type="dxa"/>
            </w:tcMar>
            <w:vAlign w:val="center"/>
            <w:hideMark/>
          </w:tcPr>
          <w:p w14:paraId="1FB6D33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43D0C8D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The lowest average weekly sales (¥63,000) indicate a low level of confidence.</w:t>
            </w:r>
          </w:p>
        </w:tc>
      </w:tr>
      <w:tr w:rsidR="000F6E69" w:rsidRPr="000F6E69" w14:paraId="15010816" w14:textId="77777777" w:rsidTr="00923C4E">
        <w:trPr>
          <w:trHeight w:val="540"/>
        </w:trPr>
        <w:tc>
          <w:tcPr>
            <w:tcW w:w="2081" w:type="dxa"/>
            <w:shd w:val="clear" w:color="auto" w:fill="E8ECF0"/>
            <w:tcMar>
              <w:top w:w="100" w:type="dxa"/>
              <w:left w:w="140" w:type="dxa"/>
              <w:bottom w:w="100" w:type="dxa"/>
              <w:right w:w="140" w:type="dxa"/>
            </w:tcMar>
            <w:vAlign w:val="center"/>
            <w:hideMark/>
          </w:tcPr>
          <w:p w14:paraId="371272B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Wangfujing Street, Beijing</w:t>
            </w:r>
          </w:p>
        </w:tc>
        <w:tc>
          <w:tcPr>
            <w:tcW w:w="1654" w:type="dxa"/>
            <w:shd w:val="clear" w:color="auto" w:fill="E8ECF0"/>
            <w:tcMar>
              <w:top w:w="100" w:type="dxa"/>
              <w:left w:w="140" w:type="dxa"/>
              <w:bottom w:w="100" w:type="dxa"/>
              <w:right w:w="140" w:type="dxa"/>
            </w:tcMar>
            <w:vAlign w:val="center"/>
            <w:hideMark/>
          </w:tcPr>
          <w:p w14:paraId="59C77C0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0.965</w:t>
            </w:r>
          </w:p>
        </w:tc>
        <w:tc>
          <w:tcPr>
            <w:tcW w:w="1654" w:type="dxa"/>
            <w:shd w:val="clear" w:color="auto" w:fill="E8ECF0"/>
            <w:tcMar>
              <w:top w:w="100" w:type="dxa"/>
              <w:left w:w="140" w:type="dxa"/>
              <w:bottom w:w="100" w:type="dxa"/>
              <w:right w:w="140" w:type="dxa"/>
            </w:tcMar>
            <w:vAlign w:val="center"/>
            <w:hideMark/>
          </w:tcPr>
          <w:p w14:paraId="54EDA5B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¥661,000</w:t>
            </w:r>
          </w:p>
        </w:tc>
        <w:tc>
          <w:tcPr>
            <w:tcW w:w="1654" w:type="dxa"/>
            <w:shd w:val="clear" w:color="auto" w:fill="E8ECF0"/>
            <w:tcMar>
              <w:top w:w="100" w:type="dxa"/>
              <w:left w:w="140" w:type="dxa"/>
              <w:bottom w:w="100" w:type="dxa"/>
              <w:right w:w="140" w:type="dxa"/>
            </w:tcMar>
            <w:vAlign w:val="center"/>
            <w:hideMark/>
          </w:tcPr>
          <w:p w14:paraId="3BFBCF9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46570FA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Agent profile, scorecard scores are underestimated</w:t>
            </w:r>
          </w:p>
        </w:tc>
      </w:tr>
      <w:tr w:rsidR="000F6E69" w:rsidRPr="000F6E69" w14:paraId="289AA40E" w14:textId="77777777" w:rsidTr="00923C4E">
        <w:trPr>
          <w:trHeight w:val="780"/>
        </w:trPr>
        <w:tc>
          <w:tcPr>
            <w:tcW w:w="2081" w:type="dxa"/>
            <w:shd w:val="clear" w:color="auto" w:fill="FFFFFF"/>
            <w:tcMar>
              <w:top w:w="100" w:type="dxa"/>
              <w:left w:w="140" w:type="dxa"/>
              <w:bottom w:w="100" w:type="dxa"/>
              <w:right w:w="140" w:type="dxa"/>
            </w:tcMar>
            <w:vAlign w:val="center"/>
            <w:hideMark/>
          </w:tcPr>
          <w:p w14:paraId="639FFC3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lastRenderedPageBreak/>
              <w:t>Kunming Shuncheng Shopping Center outdoor plaza</w:t>
            </w:r>
          </w:p>
        </w:tc>
        <w:tc>
          <w:tcPr>
            <w:tcW w:w="1654" w:type="dxa"/>
            <w:shd w:val="clear" w:color="auto" w:fill="FFFFFF"/>
            <w:tcMar>
              <w:top w:w="100" w:type="dxa"/>
              <w:left w:w="140" w:type="dxa"/>
              <w:bottom w:w="100" w:type="dxa"/>
              <w:right w:w="140" w:type="dxa"/>
            </w:tcMar>
            <w:vAlign w:val="center"/>
            <w:hideMark/>
          </w:tcPr>
          <w:p w14:paraId="0B9BF47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0.966</w:t>
            </w:r>
          </w:p>
        </w:tc>
        <w:tc>
          <w:tcPr>
            <w:tcW w:w="1654" w:type="dxa"/>
            <w:shd w:val="clear" w:color="auto" w:fill="FFFFFF"/>
            <w:tcMar>
              <w:top w:w="100" w:type="dxa"/>
              <w:left w:w="140" w:type="dxa"/>
              <w:bottom w:w="100" w:type="dxa"/>
              <w:right w:w="140" w:type="dxa"/>
            </w:tcMar>
            <w:vAlign w:val="center"/>
            <w:hideMark/>
          </w:tcPr>
          <w:p w14:paraId="78FD75C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¥244,000</w:t>
            </w:r>
          </w:p>
        </w:tc>
        <w:tc>
          <w:tcPr>
            <w:tcW w:w="1654" w:type="dxa"/>
            <w:shd w:val="clear" w:color="auto" w:fill="FFFFFF"/>
            <w:tcMar>
              <w:top w:w="100" w:type="dxa"/>
              <w:left w:w="140" w:type="dxa"/>
              <w:bottom w:w="100" w:type="dxa"/>
              <w:right w:w="140" w:type="dxa"/>
            </w:tcMar>
            <w:vAlign w:val="center"/>
            <w:hideMark/>
          </w:tcPr>
          <w:p w14:paraId="2E9D491D"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630A98F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For stores with outlier values (Gold Standard), special instructions are required for K-NN reference.</w:t>
            </w:r>
          </w:p>
        </w:tc>
      </w:tr>
      <w:tr w:rsidR="000F6E69" w:rsidRPr="000F6E69" w14:paraId="4D8B9980" w14:textId="77777777" w:rsidTr="00923C4E">
        <w:trPr>
          <w:trHeight w:val="540"/>
        </w:trPr>
        <w:tc>
          <w:tcPr>
            <w:tcW w:w="2081" w:type="dxa"/>
            <w:shd w:val="clear" w:color="auto" w:fill="E8ECF0"/>
            <w:tcMar>
              <w:top w:w="100" w:type="dxa"/>
              <w:left w:w="140" w:type="dxa"/>
              <w:bottom w:w="100" w:type="dxa"/>
              <w:right w:w="140" w:type="dxa"/>
            </w:tcMar>
            <w:vAlign w:val="center"/>
            <w:hideMark/>
          </w:tcPr>
          <w:p w14:paraId="4F9477A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1F, Shenyang Tiexi MixC Mall</w:t>
            </w:r>
          </w:p>
        </w:tc>
        <w:tc>
          <w:tcPr>
            <w:tcW w:w="1654" w:type="dxa"/>
            <w:shd w:val="clear" w:color="auto" w:fill="E8ECF0"/>
            <w:tcMar>
              <w:top w:w="100" w:type="dxa"/>
              <w:left w:w="140" w:type="dxa"/>
              <w:bottom w:w="100" w:type="dxa"/>
              <w:right w:w="140" w:type="dxa"/>
            </w:tcMar>
            <w:vAlign w:val="center"/>
            <w:hideMark/>
          </w:tcPr>
          <w:p w14:paraId="0DBE9E2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0.966</w:t>
            </w:r>
          </w:p>
        </w:tc>
        <w:tc>
          <w:tcPr>
            <w:tcW w:w="1654" w:type="dxa"/>
            <w:shd w:val="clear" w:color="auto" w:fill="E8ECF0"/>
            <w:tcMar>
              <w:top w:w="100" w:type="dxa"/>
              <w:left w:w="140" w:type="dxa"/>
              <w:bottom w:w="100" w:type="dxa"/>
              <w:right w:w="140" w:type="dxa"/>
            </w:tcMar>
            <w:vAlign w:val="center"/>
            <w:hideMark/>
          </w:tcPr>
          <w:p w14:paraId="64C6144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¥143,000</w:t>
            </w:r>
          </w:p>
        </w:tc>
        <w:tc>
          <w:tcPr>
            <w:tcW w:w="1654" w:type="dxa"/>
            <w:shd w:val="clear" w:color="auto" w:fill="E8ECF0"/>
            <w:tcMar>
              <w:top w:w="100" w:type="dxa"/>
              <w:left w:w="140" w:type="dxa"/>
              <w:bottom w:w="100" w:type="dxa"/>
              <w:right w:w="140" w:type="dxa"/>
            </w:tcMar>
            <w:vAlign w:val="center"/>
            <w:hideMark/>
          </w:tcPr>
          <w:p w14:paraId="1E041CD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1ED431EA"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r w:rsidR="000F6E69" w:rsidRPr="000F6E69" w14:paraId="7BC70D9F" w14:textId="77777777" w:rsidTr="00923C4E">
        <w:trPr>
          <w:trHeight w:val="780"/>
        </w:trPr>
        <w:tc>
          <w:tcPr>
            <w:tcW w:w="2081" w:type="dxa"/>
            <w:shd w:val="clear" w:color="auto" w:fill="FFFFFF"/>
            <w:tcMar>
              <w:top w:w="100" w:type="dxa"/>
              <w:left w:w="140" w:type="dxa"/>
              <w:bottom w:w="100" w:type="dxa"/>
              <w:right w:w="140" w:type="dxa"/>
            </w:tcMar>
            <w:vAlign w:val="center"/>
            <w:hideMark/>
          </w:tcPr>
          <w:p w14:paraId="7F8CA5E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Tianjin Nankai Joy City Wheat Field Plaza</w:t>
            </w:r>
          </w:p>
        </w:tc>
        <w:tc>
          <w:tcPr>
            <w:tcW w:w="1654" w:type="dxa"/>
            <w:shd w:val="clear" w:color="auto" w:fill="FFFFFF"/>
            <w:tcMar>
              <w:top w:w="100" w:type="dxa"/>
              <w:left w:w="140" w:type="dxa"/>
              <w:bottom w:w="100" w:type="dxa"/>
              <w:right w:w="140" w:type="dxa"/>
            </w:tcMar>
            <w:vAlign w:val="center"/>
            <w:hideMark/>
          </w:tcPr>
          <w:p w14:paraId="51C4958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0.973</w:t>
            </w:r>
          </w:p>
        </w:tc>
        <w:tc>
          <w:tcPr>
            <w:tcW w:w="1654" w:type="dxa"/>
            <w:shd w:val="clear" w:color="auto" w:fill="FFFFFF"/>
            <w:tcMar>
              <w:top w:w="100" w:type="dxa"/>
              <w:left w:w="140" w:type="dxa"/>
              <w:bottom w:w="100" w:type="dxa"/>
              <w:right w:w="140" w:type="dxa"/>
            </w:tcMar>
            <w:vAlign w:val="center"/>
            <w:hideMark/>
          </w:tcPr>
          <w:p w14:paraId="7DA978B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¥133,000</w:t>
            </w:r>
          </w:p>
        </w:tc>
        <w:tc>
          <w:tcPr>
            <w:tcW w:w="1654" w:type="dxa"/>
            <w:shd w:val="clear" w:color="auto" w:fill="FFFFFF"/>
            <w:tcMar>
              <w:top w:w="100" w:type="dxa"/>
              <w:left w:w="140" w:type="dxa"/>
              <w:bottom w:w="100" w:type="dxa"/>
              <w:right w:w="140" w:type="dxa"/>
            </w:tcMar>
            <w:vAlign w:val="center"/>
            <w:hideMark/>
          </w:tcPr>
          <w:p w14:paraId="6988FD6A"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476EABF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r w:rsidR="000F6E69" w:rsidRPr="000F6E69" w14:paraId="1C915D2F" w14:textId="77777777" w:rsidTr="00923C4E">
        <w:trPr>
          <w:trHeight w:val="780"/>
        </w:trPr>
        <w:tc>
          <w:tcPr>
            <w:tcW w:w="2081" w:type="dxa"/>
            <w:shd w:val="clear" w:color="auto" w:fill="E8ECF0"/>
            <w:tcMar>
              <w:top w:w="100" w:type="dxa"/>
              <w:left w:w="140" w:type="dxa"/>
              <w:bottom w:w="100" w:type="dxa"/>
              <w:right w:w="140" w:type="dxa"/>
            </w:tcMar>
            <w:vAlign w:val="center"/>
            <w:hideMark/>
          </w:tcPr>
          <w:p w14:paraId="1E627B2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Zhengzhou Zhenghong City, Gate 3, 1st Floor Atrium</w:t>
            </w:r>
          </w:p>
        </w:tc>
        <w:tc>
          <w:tcPr>
            <w:tcW w:w="1654" w:type="dxa"/>
            <w:shd w:val="clear" w:color="auto" w:fill="E8ECF0"/>
            <w:tcMar>
              <w:top w:w="100" w:type="dxa"/>
              <w:left w:w="140" w:type="dxa"/>
              <w:bottom w:w="100" w:type="dxa"/>
              <w:right w:w="140" w:type="dxa"/>
            </w:tcMar>
            <w:vAlign w:val="center"/>
            <w:hideMark/>
          </w:tcPr>
          <w:p w14:paraId="431A904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0.984</w:t>
            </w:r>
          </w:p>
        </w:tc>
        <w:tc>
          <w:tcPr>
            <w:tcW w:w="1654" w:type="dxa"/>
            <w:shd w:val="clear" w:color="auto" w:fill="E8ECF0"/>
            <w:tcMar>
              <w:top w:w="100" w:type="dxa"/>
              <w:left w:w="140" w:type="dxa"/>
              <w:bottom w:w="100" w:type="dxa"/>
              <w:right w:w="140" w:type="dxa"/>
            </w:tcMar>
            <w:vAlign w:val="center"/>
            <w:hideMark/>
          </w:tcPr>
          <w:p w14:paraId="6D1D03B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¥144,000</w:t>
            </w:r>
          </w:p>
        </w:tc>
        <w:tc>
          <w:tcPr>
            <w:tcW w:w="1654" w:type="dxa"/>
            <w:shd w:val="clear" w:color="auto" w:fill="E8ECF0"/>
            <w:tcMar>
              <w:top w:w="100" w:type="dxa"/>
              <w:left w:w="140" w:type="dxa"/>
              <w:bottom w:w="100" w:type="dxa"/>
              <w:right w:w="140" w:type="dxa"/>
            </w:tcMar>
            <w:vAlign w:val="center"/>
            <w:hideMark/>
          </w:tcPr>
          <w:p w14:paraId="0D23CE0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31A4DBC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r w:rsidR="000F6E69" w:rsidRPr="000F6E69" w14:paraId="18D67CC5" w14:textId="77777777" w:rsidTr="00923C4E">
        <w:trPr>
          <w:trHeight w:val="540"/>
        </w:trPr>
        <w:tc>
          <w:tcPr>
            <w:tcW w:w="2081" w:type="dxa"/>
            <w:shd w:val="clear" w:color="auto" w:fill="FFFFFF"/>
            <w:tcMar>
              <w:top w:w="100" w:type="dxa"/>
              <w:left w:w="140" w:type="dxa"/>
              <w:bottom w:w="100" w:type="dxa"/>
              <w:right w:w="140" w:type="dxa"/>
            </w:tcMar>
            <w:vAlign w:val="center"/>
            <w:hideMark/>
          </w:tcPr>
          <w:p w14:paraId="0FB0846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Nanjing Xinjiekou Pedestrian Street</w:t>
            </w:r>
          </w:p>
        </w:tc>
        <w:tc>
          <w:tcPr>
            <w:tcW w:w="1654" w:type="dxa"/>
            <w:shd w:val="clear" w:color="auto" w:fill="FFFFFF"/>
            <w:tcMar>
              <w:top w:w="100" w:type="dxa"/>
              <w:left w:w="140" w:type="dxa"/>
              <w:bottom w:w="100" w:type="dxa"/>
              <w:right w:w="140" w:type="dxa"/>
            </w:tcMar>
            <w:vAlign w:val="center"/>
            <w:hideMark/>
          </w:tcPr>
          <w:p w14:paraId="01D4435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0.991</w:t>
            </w:r>
          </w:p>
        </w:tc>
        <w:tc>
          <w:tcPr>
            <w:tcW w:w="1654" w:type="dxa"/>
            <w:shd w:val="clear" w:color="auto" w:fill="FFFFFF"/>
            <w:tcMar>
              <w:top w:w="100" w:type="dxa"/>
              <w:left w:w="140" w:type="dxa"/>
              <w:bottom w:w="100" w:type="dxa"/>
              <w:right w:w="140" w:type="dxa"/>
            </w:tcMar>
            <w:vAlign w:val="center"/>
            <w:hideMark/>
          </w:tcPr>
          <w:p w14:paraId="4727B42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¥131,000</w:t>
            </w:r>
          </w:p>
        </w:tc>
        <w:tc>
          <w:tcPr>
            <w:tcW w:w="1654" w:type="dxa"/>
            <w:shd w:val="clear" w:color="auto" w:fill="FFFFFF"/>
            <w:tcMar>
              <w:top w:w="100" w:type="dxa"/>
              <w:left w:w="140" w:type="dxa"/>
              <w:bottom w:w="100" w:type="dxa"/>
              <w:right w:w="140" w:type="dxa"/>
            </w:tcMar>
            <w:vAlign w:val="center"/>
            <w:hideMark/>
          </w:tcPr>
          <w:p w14:paraId="5937E0D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4FB9755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Proxy image</w:t>
            </w:r>
          </w:p>
        </w:tc>
      </w:tr>
      <w:tr w:rsidR="000F6E69" w:rsidRPr="000F6E69" w14:paraId="0E5DEA14" w14:textId="77777777" w:rsidTr="00923C4E">
        <w:trPr>
          <w:trHeight w:val="540"/>
        </w:trPr>
        <w:tc>
          <w:tcPr>
            <w:tcW w:w="2081" w:type="dxa"/>
            <w:shd w:val="clear" w:color="auto" w:fill="E8ECF0"/>
            <w:tcMar>
              <w:top w:w="100" w:type="dxa"/>
              <w:left w:w="140" w:type="dxa"/>
              <w:bottom w:w="100" w:type="dxa"/>
              <w:right w:w="140" w:type="dxa"/>
            </w:tcMar>
            <w:vAlign w:val="center"/>
            <w:hideMark/>
          </w:tcPr>
          <w:p w14:paraId="777D4AF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L1 West Hall, Dalian Parkson</w:t>
            </w:r>
          </w:p>
        </w:tc>
        <w:tc>
          <w:tcPr>
            <w:tcW w:w="1654" w:type="dxa"/>
            <w:shd w:val="clear" w:color="auto" w:fill="E8ECF0"/>
            <w:tcMar>
              <w:top w:w="100" w:type="dxa"/>
              <w:left w:w="140" w:type="dxa"/>
              <w:bottom w:w="100" w:type="dxa"/>
              <w:right w:w="140" w:type="dxa"/>
            </w:tcMar>
            <w:vAlign w:val="center"/>
            <w:hideMark/>
          </w:tcPr>
          <w:p w14:paraId="1CB19E7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0.993</w:t>
            </w:r>
          </w:p>
        </w:tc>
        <w:tc>
          <w:tcPr>
            <w:tcW w:w="1654" w:type="dxa"/>
            <w:shd w:val="clear" w:color="auto" w:fill="E8ECF0"/>
            <w:tcMar>
              <w:top w:w="100" w:type="dxa"/>
              <w:left w:w="140" w:type="dxa"/>
              <w:bottom w:w="100" w:type="dxa"/>
              <w:right w:w="140" w:type="dxa"/>
            </w:tcMar>
            <w:vAlign w:val="center"/>
            <w:hideMark/>
          </w:tcPr>
          <w:p w14:paraId="65188EF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¥118,000</w:t>
            </w:r>
          </w:p>
        </w:tc>
        <w:tc>
          <w:tcPr>
            <w:tcW w:w="1654" w:type="dxa"/>
            <w:shd w:val="clear" w:color="auto" w:fill="E8ECF0"/>
            <w:tcMar>
              <w:top w:w="100" w:type="dxa"/>
              <w:left w:w="140" w:type="dxa"/>
              <w:bottom w:w="100" w:type="dxa"/>
              <w:right w:w="140" w:type="dxa"/>
            </w:tcMar>
            <w:vAlign w:val="center"/>
            <w:hideMark/>
          </w:tcPr>
          <w:p w14:paraId="7A30CCB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3D29F9B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Based on only two weeks of operational data, the confidence level is moderate.</w:t>
            </w:r>
          </w:p>
        </w:tc>
      </w:tr>
      <w:tr w:rsidR="000F6E69" w:rsidRPr="000F6E69" w14:paraId="675B53C8" w14:textId="77777777" w:rsidTr="00923C4E">
        <w:trPr>
          <w:trHeight w:val="780"/>
        </w:trPr>
        <w:tc>
          <w:tcPr>
            <w:tcW w:w="2081" w:type="dxa"/>
            <w:shd w:val="clear" w:color="auto" w:fill="FFFFFF"/>
            <w:tcMar>
              <w:top w:w="100" w:type="dxa"/>
              <w:left w:w="140" w:type="dxa"/>
              <w:bottom w:w="100" w:type="dxa"/>
              <w:right w:w="140" w:type="dxa"/>
            </w:tcMar>
            <w:vAlign w:val="center"/>
            <w:hideMark/>
          </w:tcPr>
          <w:p w14:paraId="43E9B9C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Shanghai Xintiandi Fashion Phase I Atrium</w:t>
            </w:r>
          </w:p>
        </w:tc>
        <w:tc>
          <w:tcPr>
            <w:tcW w:w="1654" w:type="dxa"/>
            <w:shd w:val="clear" w:color="auto" w:fill="FFFFFF"/>
            <w:tcMar>
              <w:top w:w="100" w:type="dxa"/>
              <w:left w:w="140" w:type="dxa"/>
              <w:bottom w:w="100" w:type="dxa"/>
              <w:right w:w="140" w:type="dxa"/>
            </w:tcMar>
            <w:vAlign w:val="center"/>
            <w:hideMark/>
          </w:tcPr>
          <w:p w14:paraId="7888460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0.994</w:t>
            </w:r>
          </w:p>
        </w:tc>
        <w:tc>
          <w:tcPr>
            <w:tcW w:w="1654" w:type="dxa"/>
            <w:shd w:val="clear" w:color="auto" w:fill="FFFFFF"/>
            <w:tcMar>
              <w:top w:w="100" w:type="dxa"/>
              <w:left w:w="140" w:type="dxa"/>
              <w:bottom w:w="100" w:type="dxa"/>
              <w:right w:w="140" w:type="dxa"/>
            </w:tcMar>
            <w:vAlign w:val="center"/>
            <w:hideMark/>
          </w:tcPr>
          <w:p w14:paraId="1EF372B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¥788,000</w:t>
            </w:r>
          </w:p>
        </w:tc>
        <w:tc>
          <w:tcPr>
            <w:tcW w:w="1654" w:type="dxa"/>
            <w:shd w:val="clear" w:color="auto" w:fill="FFFFFF"/>
            <w:tcMar>
              <w:top w:w="100" w:type="dxa"/>
              <w:left w:w="140" w:type="dxa"/>
              <w:bottom w:w="100" w:type="dxa"/>
              <w:right w:w="140" w:type="dxa"/>
            </w:tcMar>
            <w:vAlign w:val="center"/>
            <w:hideMark/>
          </w:tcPr>
          <w:p w14:paraId="7C8530E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FFFFFF"/>
            <w:tcMar>
              <w:top w:w="100" w:type="dxa"/>
              <w:left w:w="140" w:type="dxa"/>
              <w:bottom w:w="100" w:type="dxa"/>
              <w:right w:w="140" w:type="dxa"/>
            </w:tcMar>
            <w:vAlign w:val="center"/>
            <w:hideMark/>
          </w:tcPr>
          <w:p w14:paraId="1CB1AD8A"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r w:rsidR="000F6E69" w:rsidRPr="000F6E69" w14:paraId="31A2B561" w14:textId="77777777" w:rsidTr="00923C4E">
        <w:trPr>
          <w:trHeight w:val="780"/>
        </w:trPr>
        <w:tc>
          <w:tcPr>
            <w:tcW w:w="2081" w:type="dxa"/>
            <w:shd w:val="clear" w:color="auto" w:fill="E8ECF0"/>
            <w:tcMar>
              <w:top w:w="100" w:type="dxa"/>
              <w:left w:w="140" w:type="dxa"/>
              <w:bottom w:w="100" w:type="dxa"/>
              <w:right w:w="140" w:type="dxa"/>
            </w:tcMar>
            <w:vAlign w:val="center"/>
            <w:hideMark/>
          </w:tcPr>
          <w:p w14:paraId="35AA18E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Atrium on the 1st Floor of Block A, Hangzhou Xixi Impression City</w:t>
            </w:r>
          </w:p>
        </w:tc>
        <w:tc>
          <w:tcPr>
            <w:tcW w:w="1654" w:type="dxa"/>
            <w:shd w:val="clear" w:color="auto" w:fill="E8ECF0"/>
            <w:tcMar>
              <w:top w:w="100" w:type="dxa"/>
              <w:left w:w="140" w:type="dxa"/>
              <w:bottom w:w="100" w:type="dxa"/>
              <w:right w:w="140" w:type="dxa"/>
            </w:tcMar>
            <w:vAlign w:val="center"/>
            <w:hideMark/>
          </w:tcPr>
          <w:p w14:paraId="5989B89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0.998</w:t>
            </w:r>
          </w:p>
        </w:tc>
        <w:tc>
          <w:tcPr>
            <w:tcW w:w="1654" w:type="dxa"/>
            <w:shd w:val="clear" w:color="auto" w:fill="E8ECF0"/>
            <w:tcMar>
              <w:top w:w="100" w:type="dxa"/>
              <w:left w:w="140" w:type="dxa"/>
              <w:bottom w:w="100" w:type="dxa"/>
              <w:right w:w="140" w:type="dxa"/>
            </w:tcMar>
            <w:vAlign w:val="center"/>
            <w:hideMark/>
          </w:tcPr>
          <w:p w14:paraId="137C84C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¥182,000</w:t>
            </w:r>
          </w:p>
        </w:tc>
        <w:tc>
          <w:tcPr>
            <w:tcW w:w="1654" w:type="dxa"/>
            <w:shd w:val="clear" w:color="auto" w:fill="E8ECF0"/>
            <w:tcMar>
              <w:top w:w="100" w:type="dxa"/>
              <w:left w:w="140" w:type="dxa"/>
              <w:bottom w:w="100" w:type="dxa"/>
              <w:right w:w="140" w:type="dxa"/>
            </w:tcMar>
            <w:vAlign w:val="center"/>
            <w:hideMark/>
          </w:tcPr>
          <w:p w14:paraId="2AFE980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24"/>
                <w:szCs w:val="24"/>
                <w:lang w:eastAsia="zh-CN"/>
              </w:rPr>
              <w:t>yes</w:t>
            </w:r>
          </w:p>
        </w:tc>
        <w:tc>
          <w:tcPr>
            <w:tcW w:w="3872" w:type="dxa"/>
            <w:shd w:val="clear" w:color="auto" w:fill="E8ECF0"/>
            <w:tcMar>
              <w:top w:w="100" w:type="dxa"/>
              <w:left w:w="140" w:type="dxa"/>
              <w:bottom w:w="100" w:type="dxa"/>
              <w:right w:w="140" w:type="dxa"/>
            </w:tcMar>
            <w:vAlign w:val="center"/>
            <w:hideMark/>
          </w:tcPr>
          <w:p w14:paraId="041B97F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24"/>
                <w:szCs w:val="24"/>
                <w:lang w:eastAsia="zh-CN"/>
              </w:rPr>
              <w:t>Passed</w:t>
            </w:r>
          </w:p>
        </w:tc>
      </w:tr>
    </w:tbl>
    <w:p w14:paraId="53A7372E" w14:textId="084CD847" w:rsidR="005E2FD3" w:rsidRPr="005D74E9" w:rsidRDefault="000F6E69" w:rsidP="00923C4E">
      <w:pPr>
        <w:pStyle w:val="2"/>
        <w:ind w:right="0"/>
        <w:rPr>
          <w:lang w:eastAsia="zh-CN"/>
        </w:rPr>
      </w:pPr>
      <w:bookmarkStart w:id="35" w:name="_Toc229242133"/>
      <w:r w:rsidRPr="000F6E69">
        <w:rPr>
          <w:lang w:eastAsia="zh-CN"/>
        </w:rPr>
        <w:t>Cross-Week Stability of Store Classification</w:t>
      </w:r>
      <w:bookmarkEnd w:id="35"/>
    </w:p>
    <w:p w14:paraId="7F36B617" w14:textId="1056400A" w:rsidR="000F6E69" w:rsidRPr="000F6E69" w:rsidRDefault="000F6E69" w:rsidP="00923C4E">
      <w:pPr>
        <w:pStyle w:val="3"/>
        <w:ind w:right="0"/>
        <w:rPr>
          <w:rFonts w:eastAsia="宋体"/>
          <w:lang w:eastAsia="zh-CN"/>
        </w:rPr>
      </w:pPr>
      <w:r w:rsidRPr="000F6E69">
        <w:rPr>
          <w:rFonts w:eastAsia="宋体"/>
          <w:lang w:eastAsia="zh-CN"/>
        </w:rPr>
        <w:t>Background and Objectives</w:t>
      </w:r>
    </w:p>
    <w:p w14:paraId="70F48611"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This section examines the cross-week stability and explanatory power of the store classification system. The analysis uses two core research methods: panel regression modeling and interval coverage validation. The primary objectives are to:</w:t>
      </w:r>
    </w:p>
    <w:p w14:paraId="6FC821CD"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Assess whether the store classification framework is robust and reliable;</w:t>
      </w:r>
    </w:p>
    <w:p w14:paraId="6BC59767"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Determine whether classification outcomes are distorted by short-term weekly fluctuations;</w:t>
      </w:r>
    </w:p>
    <w:p w14:paraId="164E33D8"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lastRenderedPageBreak/>
        <w:t>(3) Verify whether the system provides valid and actionable guidance for operational decision-making;</w:t>
      </w:r>
    </w:p>
    <w:p w14:paraId="5127AED3"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(4) Support evidence-based decisions for category allocation, portfolio structure management, and operational optimization.</w:t>
      </w:r>
    </w:p>
    <w:p w14:paraId="7A6AA7D2"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Store types are defined as follows:</w:t>
      </w:r>
    </w:p>
    <w:p w14:paraId="68B514F4"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Balanced stores;</w:t>
      </w:r>
    </w:p>
    <w:p w14:paraId="05F1C39D"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Apparel &amp; accessories-specialized stores;</w:t>
      </w:r>
    </w:p>
    <w:p w14:paraId="26EA11E3"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(3) Footwear-driven stores.</w:t>
      </w:r>
    </w:p>
    <w:p w14:paraId="7CBCFF9D"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The analysis draws on nine consecutive weeks of sales data, excluding promotional impacts, to validate the stability, rationality, and operational applicability of the classification system.</w:t>
      </w:r>
    </w:p>
    <w:p w14:paraId="19E47C53" w14:textId="4E43CEAB" w:rsidR="000F6E69" w:rsidRPr="000F6E69" w:rsidRDefault="000F6E69" w:rsidP="00923C4E">
      <w:pPr>
        <w:pStyle w:val="3"/>
        <w:ind w:right="0"/>
        <w:rPr>
          <w:rFonts w:eastAsia="宋体"/>
          <w:lang w:eastAsia="zh-CN"/>
        </w:rPr>
      </w:pPr>
      <w:r w:rsidRPr="000F6E69">
        <w:rPr>
          <w:rFonts w:eastAsia="宋体"/>
          <w:lang w:eastAsia="zh-CN"/>
        </w:rPr>
        <w:t>Data and Methodology</w:t>
      </w:r>
    </w:p>
    <w:p w14:paraId="6D82444E" w14:textId="11C1294A"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Data Description</w:t>
      </w:r>
    </w:p>
    <w:p w14:paraId="39836178"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The dataset consists of weekly sales proportions for footwear, apparel, and accessories categories, adjusted for promotional effects. The data cover nine consecutive weeks and include all three store-type groups. The structure is an unbalanced panel at the store-week level.</w:t>
      </w:r>
    </w:p>
    <w:p w14:paraId="003EF943" w14:textId="3A59C922"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Research Methods</w:t>
      </w:r>
    </w:p>
    <w:p w14:paraId="0AED2974"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Panel regression analysisPanel regression models are estimated with store type as the core independent variable and category proportions (footwear, apparel, accessories) as dependent variables. Cluster-robust standard errors at the store level are used to account for within-store serial correlation. Model fit and coefficient signs are used to evaluate cross-week stability and explanatory power.</w:t>
      </w:r>
    </w:p>
    <w:p w14:paraId="475BFDC4"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Interval coverage validationFor each store type, category-specific intervals are constructed as mean ± 1 standard deviation. The analysis measures the share of actual weekly observations falling within these intervals to evaluate real-world operational fit.</w:t>
      </w:r>
    </w:p>
    <w:p w14:paraId="70A9E37E" w14:textId="4ABAA281" w:rsidR="000F6E69" w:rsidRPr="000F6E69" w:rsidRDefault="000F6E69" w:rsidP="00923C4E">
      <w:pPr>
        <w:pStyle w:val="3"/>
        <w:ind w:right="0"/>
        <w:rPr>
          <w:rFonts w:eastAsia="宋体"/>
          <w:lang w:eastAsia="zh-CN"/>
        </w:rPr>
      </w:pPr>
      <w:r w:rsidRPr="000F6E69">
        <w:rPr>
          <w:rFonts w:eastAsia="宋体"/>
          <w:lang w:eastAsia="zh-CN"/>
        </w:rPr>
        <w:t>Core Empirical Results</w:t>
      </w:r>
    </w:p>
    <w:p w14:paraId="40894306" w14:textId="2186019C"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Panel Regression: Cross-Week Stability of Store Classification</w:t>
      </w:r>
    </w:p>
    <w:p w14:paraId="6CDD0688"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lastRenderedPageBreak/>
        <w:t>Overall regression results indicate that store classification is structurally consistent but exhibits limited overall explanatory power. The system explains only a small share of weekly category proportion variation.</w:t>
      </w:r>
    </w:p>
    <w:p w14:paraId="765088F0"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Footwear proportion model:Model R² = 0.198. Store classification explains 19.8% of weekly variation in footwear proportion. Coefficient magnitudes follow the expected order: highest in footwear-driven stores, followed by apparel-specialized stores, and lowest in balanced stores.</w:t>
      </w:r>
    </w:p>
    <w:p w14:paraId="0AA25102"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Apparel proportion model:Model R² = 0.227. Store classification explains 22.7% of weekly variation in apparel proportion. Coefficient signs and magnitudes align with operational expectations.</w:t>
      </w:r>
    </w:p>
    <w:p w14:paraId="100A69E9"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(3) Accessories proportion model:Model R² = 0.351, the highest among the three models. Store classification shows stronger explanatory power for accessories, consistent with category specialization patterns.</w:t>
      </w:r>
    </w:p>
    <w:p w14:paraId="7A8DBB40" w14:textId="2CF8727F"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Interval Coverage Validation</w:t>
      </w:r>
    </w:p>
    <w:p w14:paraId="2A557B84"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After reconstructing mean ± 1SD intervals based on nine weeks of data, all store types demonstrate stable coverage. Within-group weekly fluctuations are predictable, and intervals show meaningful operational value.</w:t>
      </w:r>
    </w:p>
    <w:p w14:paraId="2C7034C5"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Balanced stores:Interval coverage rates are 66.7% across footwear, apparel, and accessories. Approximately two-thirds of weekly observations fall within the expected range, indicating moderate stability.</w:t>
      </w:r>
    </w:p>
    <w:p w14:paraId="67A53DC9"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(2) Apparel &amp; accessories-specialized stores:Overall coverage rates are moderate. Footwear coverage is 57.1%, while apparel and accessories coverage rates are 64.3%. Footwear displays higher weekly volatility.</w:t>
      </w:r>
    </w:p>
    <w:p w14:paraId="49402827"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(3) Footwear-driven stores:Coverage rates are the strongest: footwear at 80.0%, apparel at 73.3%, and accessories at 93.3%. Category structure is highly stable, especially for accessories.</w:t>
      </w:r>
    </w:p>
    <w:p w14:paraId="706D4D6C" w14:textId="755551A4" w:rsidR="000F6E69" w:rsidRPr="000F6E69" w:rsidRDefault="000F6E69" w:rsidP="00923C4E">
      <w:pPr>
        <w:pStyle w:val="3"/>
        <w:ind w:right="0"/>
        <w:rPr>
          <w:rFonts w:eastAsia="宋体"/>
          <w:lang w:eastAsia="zh-CN"/>
        </w:rPr>
      </w:pPr>
      <w:r w:rsidRPr="000F6E69">
        <w:rPr>
          <w:rFonts w:eastAsia="宋体"/>
          <w:lang w:eastAsia="zh-CN"/>
        </w:rPr>
        <w:t>Overall Conclusions and Implications</w:t>
      </w:r>
    </w:p>
    <w:p w14:paraId="2C4015EE"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(1) Store classification is cross-week stable but has limited explanatory power.Coefficient signs and magnitudes align with operational definitions, confirming that classification outcomes are not driven by short-term noise. However, 65% to 80% of weekly category variation comes from sources outside store type.</w:t>
      </w:r>
    </w:p>
    <w:p w14:paraId="3196224E"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lastRenderedPageBreak/>
        <w:t>(2) Within-group fluctuations are predictable, and interval fit is acceptable.All store types maintain coverage rates above 57%, with footwear-driven stores reaching 73.3%–93.3%. While classification explanatory power is limited, within-group fluctuation ranges are well-defined and operationally useful for monitoring and category management.</w:t>
      </w:r>
    </w:p>
    <w:p w14:paraId="67AED1D1"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(3) Stability varies substantially across store types.Footwear-driven stores are the most stable and consistent with classification definitions. Balanced stores show moderate stability. Apparel-specialized stores display higher volatility and weaker structural consistency.</w:t>
      </w:r>
    </w:p>
    <w:p w14:paraId="262D2537" w14:textId="71CA95FE" w:rsidR="000F6E69" w:rsidRPr="005E2FD3" w:rsidRDefault="000F6E69" w:rsidP="00923C4E">
      <w:pPr>
        <w:pStyle w:val="a0"/>
        <w:spacing w:before="309" w:line="312" w:lineRule="auto"/>
        <w:ind w:left="311"/>
        <w:rPr>
          <w:rFonts w:eastAsia="宋体"/>
          <w:lang w:eastAsia="zh-CN"/>
        </w:rPr>
      </w:pPr>
      <w:r w:rsidRPr="000F6E69">
        <w:rPr>
          <w:rFonts w:eastAsia="宋体"/>
          <w:lang w:eastAsia="zh-CN"/>
        </w:rPr>
        <w:t>(4) Operational positioning of store classification.Store classification is a valid, reliable, and sustainable tool for characterizing structural store profiles. However, it does not provide strong explanatory or predictive power and should not be used as the sole basis for weekly operational strategy adjustments.</w:t>
      </w:r>
    </w:p>
    <w:p w14:paraId="136D7872" w14:textId="0A73A431" w:rsidR="000F6E69" w:rsidRDefault="000F6E69" w:rsidP="00923C4E">
      <w:pPr>
        <w:pStyle w:val="2"/>
        <w:ind w:right="0"/>
        <w:rPr>
          <w:lang w:eastAsia="zh-CN"/>
        </w:rPr>
      </w:pPr>
      <w:bookmarkStart w:id="36" w:name="_Toc229242134"/>
      <w:r w:rsidRPr="000F6E69">
        <w:rPr>
          <w:lang w:eastAsia="zh-CN"/>
        </w:rPr>
        <w:t>Recommended range for double-layer ratio</w:t>
      </w:r>
      <w:bookmarkEnd w:id="36"/>
    </w:p>
    <w:p w14:paraId="56DE5330" w14:textId="352A37C7" w:rsidR="000F6E69" w:rsidRPr="000F6E69" w:rsidRDefault="000F6E69" w:rsidP="00923C4E">
      <w:pPr>
        <w:pStyle w:val="3"/>
        <w:ind w:right="0"/>
        <w:rPr>
          <w:rFonts w:eastAsia="宋体"/>
          <w:lang w:eastAsia="zh-CN"/>
        </w:rPr>
      </w:pPr>
      <w:r w:rsidRPr="000F6E69">
        <w:rPr>
          <w:rFonts w:eastAsia="宋体"/>
          <w:lang w:eastAsia="zh-CN"/>
        </w:rPr>
        <w:t>xplanation of the source of the interval</w:t>
      </w:r>
    </w:p>
    <w:p w14:paraId="2A2A30B4" w14:textId="77777777"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The recommended allocation range for each tier is directly derived from the actual sales data of qualified stores within that tier, calculating the mean ± 1 standard deviation to form a "mean ± 1 SD" range. This range covers approximately 68% of historical cases. The range is a two-level nested output:</w:t>
      </w:r>
    </w:p>
    <w:p w14:paraId="2F9B422F" w14:textId="77777777" w:rsidR="000F6E69" w:rsidRPr="000F6E69" w:rsidRDefault="000F6E69" w:rsidP="00923C4E">
      <w:pPr>
        <w:pStyle w:val="a0"/>
        <w:spacing w:before="309" w:line="312" w:lineRule="auto"/>
        <w:ind w:left="311"/>
        <w:rPr>
          <w:rFonts w:eastAsia="宋体"/>
          <w:lang w:eastAsia="zh-CN"/>
        </w:rPr>
      </w:pPr>
      <w:r w:rsidRPr="000F6E69">
        <w:rPr>
          <w:rFonts w:eastAsia="宋体" w:hint="eastAsia"/>
          <w:lang w:eastAsia="zh-CN"/>
        </w:rPr>
        <w:t>•</w:t>
      </w:r>
      <w:r w:rsidRPr="000F6E69">
        <w:rPr>
          <w:rFonts w:eastAsia="宋体"/>
          <w:lang w:eastAsia="zh-CN"/>
        </w:rPr>
        <w:t xml:space="preserve"> First tier (major categories): Suggested proportion ranges for footwear Y1, apparel Y2, and accessories Y3.</w:t>
      </w:r>
    </w:p>
    <w:p w14:paraId="7246C1EA" w14:textId="77777777" w:rsidR="000F6E69" w:rsidRPr="000F6E69" w:rsidRDefault="000F6E69" w:rsidP="00923C4E">
      <w:pPr>
        <w:pStyle w:val="a0"/>
        <w:spacing w:before="309" w:line="312" w:lineRule="auto"/>
        <w:ind w:left="311"/>
        <w:rPr>
          <w:rFonts w:eastAsia="宋体"/>
          <w:lang w:eastAsia="zh-CN"/>
        </w:rPr>
      </w:pPr>
      <w:r w:rsidRPr="000F6E69">
        <w:rPr>
          <w:rFonts w:eastAsia="宋体" w:hint="eastAsia"/>
          <w:lang w:eastAsia="zh-CN"/>
        </w:rPr>
        <w:t>•</w:t>
      </w:r>
      <w:r w:rsidRPr="000F6E69">
        <w:rPr>
          <w:rFonts w:eastAsia="宋体"/>
          <w:lang w:eastAsia="zh-CN"/>
        </w:rPr>
        <w:t xml:space="preserve"> Second tier (product line): Recommended proportion range for National Team Y4, Gold Label Y5, Honor Y6, and other series Y7.</w:t>
      </w:r>
    </w:p>
    <w:p w14:paraId="0E0A8BE1" w14:textId="2FAA9CA5" w:rsidR="000F6E69" w:rsidRPr="000F6E69" w:rsidRDefault="000F6E69" w:rsidP="00923C4E">
      <w:pPr>
        <w:pStyle w:val="a0"/>
        <w:spacing w:before="309" w:line="312" w:lineRule="auto"/>
        <w:ind w:left="311"/>
        <w:rPr>
          <w:rFonts w:eastAsia="宋体"/>
          <w:lang w:eastAsia="zh-CN"/>
        </w:rPr>
      </w:pPr>
      <w:r w:rsidRPr="000F6E69">
        <w:rPr>
          <w:rFonts w:eastAsia="宋体"/>
          <w:lang w:eastAsia="zh-CN"/>
        </w:rPr>
        <w:t xml:space="preserve">How to use: First, refer to the first layer to determine the allocation of goods for major categories, and then refer to the second layer to determine the proportion of goods for specific product lines within each major category. </w:t>
      </w:r>
    </w:p>
    <w:tbl>
      <w:tblPr>
        <w:tblW w:w="10490" w:type="dxa"/>
        <w:tblLayout w:type="fixed"/>
        <w:tblCellMar>
          <w:top w:w="15" w:type="dxa"/>
          <w:left w:w="15" w:type="dxa"/>
          <w:bottom w:w="15" w:type="dxa"/>
          <w:right w:w="15" w:type="dxa"/>
        </w:tblCellMar>
        <w:tblLook w:val="04A0" w:firstRow="1" w:lastRow="0" w:firstColumn="1" w:lastColumn="0" w:noHBand="0" w:noVBand="1"/>
      </w:tblPr>
      <w:tblGrid>
        <w:gridCol w:w="1431"/>
        <w:gridCol w:w="720"/>
        <w:gridCol w:w="720"/>
        <w:gridCol w:w="720"/>
        <w:gridCol w:w="720"/>
        <w:gridCol w:w="720"/>
        <w:gridCol w:w="720"/>
        <w:gridCol w:w="720"/>
        <w:gridCol w:w="720"/>
        <w:gridCol w:w="720"/>
        <w:gridCol w:w="1020"/>
        <w:gridCol w:w="1559"/>
      </w:tblGrid>
      <w:tr w:rsidR="000F6E69" w:rsidRPr="000F6E69" w14:paraId="470D76AE" w14:textId="77777777" w:rsidTr="00A83861">
        <w:trPr>
          <w:trHeight w:val="1575"/>
        </w:trPr>
        <w:tc>
          <w:tcPr>
            <w:tcW w:w="1431"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C51528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D gear</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46D914E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Total score range</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1104FEA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First layer</w:t>
            </w:r>
          </w:p>
          <w:p w14:paraId="07A905E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Y1 Footwear</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7A538D0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First layer</w:t>
            </w:r>
          </w:p>
          <w:p w14:paraId="7257701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Y2 Clothing</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1F74BF2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First layer</w:t>
            </w:r>
          </w:p>
          <w:p w14:paraId="5CD64B6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Y3 Accessories</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417A18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Second layer</w:t>
            </w:r>
          </w:p>
          <w:p w14:paraId="399BD21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Y4 National Team</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9D6A7D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Second layer</w:t>
            </w:r>
          </w:p>
          <w:p w14:paraId="2AF2093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Y5 Gold Label</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2589DE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Second layer</w:t>
            </w:r>
          </w:p>
          <w:p w14:paraId="3CAFA59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Y6 Glory</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396FEAB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Second layer</w:t>
            </w:r>
          </w:p>
          <w:p w14:paraId="158D5BE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Y7 Other Series</w:t>
            </w:r>
          </w:p>
        </w:tc>
        <w:tc>
          <w:tcPr>
            <w:tcW w:w="7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6B0BA7C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Hang tag fulfillment rate</w:t>
            </w:r>
          </w:p>
        </w:tc>
        <w:tc>
          <w:tcPr>
            <w:tcW w:w="102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3931391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Reference sample size</w:t>
            </w:r>
          </w:p>
        </w:tc>
        <w:tc>
          <w:tcPr>
            <w:tcW w:w="1559"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3068FF0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FFFFFF"/>
                <w:sz w:val="18"/>
                <w:szCs w:val="18"/>
                <w:lang w:eastAsia="zh-CN"/>
              </w:rPr>
              <w:t>Applicable cities</w:t>
            </w:r>
          </w:p>
        </w:tc>
      </w:tr>
      <w:tr w:rsidR="000F6E69" w:rsidRPr="000F6E69" w14:paraId="0BDB8D0B" w14:textId="77777777" w:rsidTr="00A83861">
        <w:trPr>
          <w:trHeight w:val="710"/>
        </w:trPr>
        <w:tc>
          <w:tcPr>
            <w:tcW w:w="1431"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6A8ECCB2"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17"/>
                <w:szCs w:val="17"/>
                <w:lang w:eastAsia="zh-CN"/>
              </w:rPr>
              <w:lastRenderedPageBreak/>
              <w:t>High-end model (led by Honor)</w:t>
            </w:r>
          </w:p>
        </w:tc>
        <w:tc>
          <w:tcPr>
            <w:tcW w:w="72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34FC08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 2.17</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59AACAD"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43%–73%</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9DF3F5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26%–56%</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48CE86F"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Within 1%</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CBDB447"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0%–0.3%</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4B9EC5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0%–21%</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BACE32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13%–50%</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294352D"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42%–74%</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AC8D48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0.954–0.989</w:t>
            </w:r>
          </w:p>
        </w:tc>
        <w:tc>
          <w:tcPr>
            <w:tcW w:w="10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58EA02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 companies</w:t>
            </w:r>
          </w:p>
        </w:tc>
        <w:tc>
          <w:tcPr>
            <w:tcW w:w="155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7BA1DE5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First-tier/strong second-tier quality shopping malls</w:t>
            </w:r>
          </w:p>
        </w:tc>
      </w:tr>
      <w:tr w:rsidR="000F6E69" w:rsidRPr="000F6E69" w14:paraId="435367FA" w14:textId="77777777" w:rsidTr="00A83861">
        <w:trPr>
          <w:trHeight w:val="497"/>
        </w:trPr>
        <w:tc>
          <w:tcPr>
            <w:tcW w:w="1431" w:type="dxa"/>
            <w:tcBorders>
              <w:top w:val="single" w:sz="4" w:space="0" w:color="A0A9B0"/>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00BEA5F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17"/>
                <w:szCs w:val="17"/>
                <w:lang w:eastAsia="zh-CN"/>
              </w:rPr>
              <w:t>Balanced</w:t>
            </w:r>
          </w:p>
        </w:tc>
        <w:tc>
          <w:tcPr>
            <w:tcW w:w="720" w:type="dxa"/>
            <w:tcBorders>
              <w:top w:val="single" w:sz="4" w:space="0" w:color="BDC3C7"/>
              <w:left w:val="single" w:sz="4" w:space="0" w:color="A0A9B0"/>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CF15C0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1.90–2.17</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2636E7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54%–71%</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B91202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28%–46%</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98C8A8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0%–1%</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FAB6D21"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0%–0.6%</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E86702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5%–16%</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688F75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17%–36%</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F84708E"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52%–75%</w:t>
            </w:r>
          </w:p>
        </w:tc>
        <w:tc>
          <w:tcPr>
            <w:tcW w:w="7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6DEF62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0.902–1.000</w:t>
            </w:r>
          </w:p>
        </w:tc>
        <w:tc>
          <w:tcPr>
            <w:tcW w:w="102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29594F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7</w:t>
            </w:r>
          </w:p>
        </w:tc>
        <w:tc>
          <w:tcPr>
            <w:tcW w:w="155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6F8102C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Strong second-tier cities/second-tier shopping malls</w:t>
            </w:r>
          </w:p>
        </w:tc>
      </w:tr>
      <w:tr w:rsidR="000F6E69" w:rsidRPr="000F6E69" w14:paraId="51FFF7D1" w14:textId="77777777" w:rsidTr="00A83861">
        <w:trPr>
          <w:trHeight w:val="891"/>
        </w:trPr>
        <w:tc>
          <w:tcPr>
            <w:tcW w:w="1431" w:type="dxa"/>
            <w:tcBorders>
              <w:top w:val="single" w:sz="4" w:space="0" w:color="A0A9B0"/>
              <w:left w:val="single" w:sz="12" w:space="0" w:color="auto"/>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71C8AEC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b/>
                <w:bCs/>
                <w:color w:val="1A1A1A"/>
                <w:sz w:val="17"/>
                <w:szCs w:val="17"/>
                <w:lang w:eastAsia="zh-CN"/>
              </w:rPr>
              <w:t>Mass-market segment (dominated by other series)</w:t>
            </w:r>
          </w:p>
        </w:tc>
        <w:tc>
          <w:tcPr>
            <w:tcW w:w="720" w:type="dxa"/>
            <w:tcBorders>
              <w:top w:val="single" w:sz="4" w:space="0" w:color="BDC3C7"/>
              <w:left w:val="single" w:sz="4" w:space="0" w:color="A0A9B0"/>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3AE5AA50"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&lt; 1.90</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17C3848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44%–80%</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42BFCAC4"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19%–52%</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52D2A2FC"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1%–4%</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75C378F5"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0.9%–2.3%</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67043FEB"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3%–12%</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29151063"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5%–30%</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28225CAA"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56%–91%</w:t>
            </w:r>
          </w:p>
        </w:tc>
        <w:tc>
          <w:tcPr>
            <w:tcW w:w="7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4949B029"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0.956–0.991</w:t>
            </w:r>
          </w:p>
        </w:tc>
        <w:tc>
          <w:tcPr>
            <w:tcW w:w="102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2AF7FCE6"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3 companies</w:t>
            </w:r>
          </w:p>
        </w:tc>
        <w:tc>
          <w:tcPr>
            <w:tcW w:w="1559" w:type="dxa"/>
            <w:tcBorders>
              <w:top w:val="single" w:sz="4" w:space="0" w:color="BDC3C7"/>
              <w:left w:val="single" w:sz="4" w:space="0" w:color="BDC3C7"/>
              <w:bottom w:val="single" w:sz="12" w:space="0" w:color="auto"/>
              <w:right w:val="single" w:sz="12" w:space="0" w:color="auto"/>
            </w:tcBorders>
            <w:shd w:val="clear" w:color="auto" w:fill="FFFFFF"/>
            <w:tcMar>
              <w:top w:w="100" w:type="dxa"/>
              <w:left w:w="140" w:type="dxa"/>
              <w:bottom w:w="100" w:type="dxa"/>
              <w:right w:w="140" w:type="dxa"/>
            </w:tcMar>
            <w:vAlign w:val="center"/>
            <w:hideMark/>
          </w:tcPr>
          <w:p w14:paraId="06ADBB88" w14:textId="77777777" w:rsidR="000F6E69" w:rsidRPr="000F6E69" w:rsidRDefault="000F6E69" w:rsidP="00923C4E">
            <w:pPr>
              <w:widowControl/>
              <w:autoSpaceDE/>
              <w:autoSpaceDN/>
              <w:spacing w:before="40" w:after="40"/>
              <w:ind w:left="-40"/>
              <w:jc w:val="center"/>
              <w:rPr>
                <w:rFonts w:eastAsia="等线"/>
                <w:sz w:val="24"/>
                <w:szCs w:val="24"/>
                <w:lang w:eastAsia="zh-CN"/>
              </w:rPr>
            </w:pPr>
            <w:r w:rsidRPr="000F6E69">
              <w:rPr>
                <w:rFonts w:eastAsia="微软雅黑"/>
                <w:color w:val="1A1A1A"/>
                <w:sz w:val="17"/>
                <w:szCs w:val="17"/>
                <w:lang w:eastAsia="zh-CN"/>
              </w:rPr>
              <w:t>Second-tier/third-tier or pedestrian street/department store</w:t>
            </w:r>
          </w:p>
        </w:tc>
      </w:tr>
    </w:tbl>
    <w:p w14:paraId="5AB98A79" w14:textId="7F3AE71C" w:rsidR="009F059F" w:rsidRPr="009F059F" w:rsidRDefault="009F059F" w:rsidP="00923C4E">
      <w:pPr>
        <w:pStyle w:val="3"/>
        <w:ind w:right="0"/>
        <w:rPr>
          <w:rFonts w:eastAsia="宋体"/>
          <w:lang w:eastAsia="zh-CN"/>
        </w:rPr>
      </w:pPr>
      <w:r w:rsidRPr="009F059F">
        <w:rPr>
          <w:rFonts w:eastAsia="宋体"/>
          <w:lang w:eastAsia="zh-CN"/>
        </w:rPr>
        <w:t>B-type × C-type bi-level mapping</w:t>
      </w:r>
    </w:p>
    <w:p w14:paraId="0CD6C5C0" w14:textId="77777777" w:rsidR="009F059F" w:rsidRDefault="009F059F" w:rsidP="00923C4E">
      <w:pPr>
        <w:pStyle w:val="a0"/>
        <w:spacing w:before="309" w:line="312" w:lineRule="auto"/>
        <w:ind w:left="311"/>
        <w:rPr>
          <w:rFonts w:eastAsia="宋体"/>
          <w:lang w:eastAsia="zh-CN"/>
        </w:rPr>
      </w:pPr>
      <w:r w:rsidRPr="009F059F">
        <w:rPr>
          <w:rFonts w:eastAsia="宋体"/>
          <w:lang w:eastAsia="zh-CN"/>
        </w:rPr>
        <w:t>Cross-analysis of Module B (large category clustering) and Module C (product line clustering) shows that the two sets of classification dimensions are relatively independent and complementary. Shoe-driven stores (11 stores) are almost evenly distributed in Class C into Honor-dominated (5 stores) and balanced (5 stores), indicating that "high proportion of footwear" and "high proportion of Honor" are two independent dimensions, and Module C provides incremental information beyond Module B.</w:t>
      </w:r>
    </w:p>
    <w:tbl>
      <w:tblPr>
        <w:tblW w:w="0" w:type="auto"/>
        <w:tblInd w:w="-286" w:type="dxa"/>
        <w:tblLayout w:type="fixed"/>
        <w:tblCellMar>
          <w:top w:w="15" w:type="dxa"/>
          <w:left w:w="15" w:type="dxa"/>
          <w:bottom w:w="15" w:type="dxa"/>
          <w:right w:w="15" w:type="dxa"/>
        </w:tblCellMar>
        <w:tblLook w:val="04A0" w:firstRow="1" w:lastRow="0" w:firstColumn="1" w:lastColumn="0" w:noHBand="0" w:noVBand="1"/>
      </w:tblPr>
      <w:tblGrid>
        <w:gridCol w:w="993"/>
        <w:gridCol w:w="1560"/>
        <w:gridCol w:w="2126"/>
        <w:gridCol w:w="1134"/>
        <w:gridCol w:w="1276"/>
        <w:gridCol w:w="992"/>
        <w:gridCol w:w="1984"/>
      </w:tblGrid>
      <w:tr w:rsidR="009F059F" w:rsidRPr="009F059F" w14:paraId="0B222388" w14:textId="77777777" w:rsidTr="00A83861">
        <w:trPr>
          <w:trHeight w:val="795"/>
        </w:trPr>
        <w:tc>
          <w:tcPr>
            <w:tcW w:w="993"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024B12B7" w14:textId="0F8EED99" w:rsidR="009F059F" w:rsidRPr="009F059F" w:rsidRDefault="009F059F" w:rsidP="00923C4E">
            <w:pPr>
              <w:widowControl/>
              <w:autoSpaceDE/>
              <w:autoSpaceDN/>
              <w:spacing w:before="40" w:after="40"/>
              <w:ind w:left="-40"/>
              <w:jc w:val="center"/>
              <w:rPr>
                <w:rFonts w:eastAsia="等线"/>
                <w:sz w:val="24"/>
                <w:szCs w:val="24"/>
                <w:lang w:eastAsia="zh-CN"/>
              </w:rPr>
            </w:pPr>
            <w:r w:rsidRPr="000F6E69">
              <w:rPr>
                <w:rFonts w:eastAsia="宋体"/>
                <w:lang w:eastAsia="zh-CN"/>
              </w:rPr>
              <w:t xml:space="preserve"> </w:t>
            </w:r>
            <w:r w:rsidRPr="009F059F">
              <w:rPr>
                <w:rFonts w:eastAsia="微软雅黑"/>
                <w:b/>
                <w:bCs/>
                <w:color w:val="FFFFFF"/>
                <w:sz w:val="18"/>
                <w:szCs w:val="18"/>
                <w:lang w:eastAsia="zh-CN"/>
              </w:rPr>
              <w:t>Category B Classification</w:t>
            </w:r>
          </w:p>
        </w:tc>
        <w:tc>
          <w:tcPr>
            <w:tcW w:w="156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1519A04B"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Store Name</w:t>
            </w:r>
          </w:p>
        </w:tc>
        <w:tc>
          <w:tcPr>
            <w:tcW w:w="2126"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13271E5D"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C Product Line Classification</w:t>
            </w:r>
          </w:p>
        </w:tc>
        <w:tc>
          <w:tcPr>
            <w:tcW w:w="1134"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EC49A5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Y1 shoes%</w:t>
            </w:r>
          </w:p>
        </w:tc>
        <w:tc>
          <w:tcPr>
            <w:tcW w:w="1276"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3762038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Y6 Glory%</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462E188D"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Y5 Gold Standard</w:t>
            </w:r>
          </w:p>
        </w:tc>
        <w:tc>
          <w:tcPr>
            <w:tcW w:w="1984"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7170B02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FFFFFF"/>
                <w:sz w:val="18"/>
                <w:szCs w:val="18"/>
                <w:lang w:eastAsia="zh-CN"/>
              </w:rPr>
              <w:t>Remark</w:t>
            </w:r>
          </w:p>
        </w:tc>
      </w:tr>
      <w:tr w:rsidR="009F059F" w:rsidRPr="009F059F" w14:paraId="68A7F171" w14:textId="77777777" w:rsidTr="00A83861">
        <w:trPr>
          <w:trHeight w:val="30"/>
        </w:trPr>
        <w:tc>
          <w:tcPr>
            <w:tcW w:w="993"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37B9D2C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1A1A1A"/>
                <w:sz w:val="17"/>
                <w:szCs w:val="17"/>
                <w:lang w:eastAsia="zh-CN"/>
              </w:rPr>
              <w:t>Shoe-driven</w:t>
            </w:r>
          </w:p>
        </w:tc>
        <w:tc>
          <w:tcPr>
            <w:tcW w:w="1560" w:type="dxa"/>
            <w:tcBorders>
              <w:top w:val="single" w:sz="4" w:space="0" w:color="BDC3C7"/>
              <w:left w:val="single" w:sz="4" w:space="0" w:color="A0A9B0"/>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ED7E2DF"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Tianjin Nankai Joy City</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B27894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6C999BE"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62.6%</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F1BF619"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32.7%</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EBD026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4.6%</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411599F" w14:textId="5560A099"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4456C793" w14:textId="77777777" w:rsidTr="00A83861">
        <w:trPr>
          <w:trHeight w:val="303"/>
        </w:trPr>
        <w:tc>
          <w:tcPr>
            <w:tcW w:w="993" w:type="dxa"/>
            <w:tcBorders>
              <w:top w:val="single" w:sz="4" w:space="0" w:color="A0A9B0"/>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DE65D3C" w14:textId="76FDE52C"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99390D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Nanjing Xinjiekou Pedestrian Street</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D27DA2E"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CE9BCED"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63.3%</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E019C00"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33.3%</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ECA85E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5.1%</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1A803AA7" w14:textId="054DAFCA"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4A9A9E07" w14:textId="77777777" w:rsidTr="00A83861">
        <w:trPr>
          <w:trHeight w:val="30"/>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0332100" w14:textId="105D93F4"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485EB9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Beijing Huiju L1 Atrium</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0AC03F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2208A6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58.2%</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56A2DF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38.8%</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5723E71"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5.0%</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5AD22321" w14:textId="7101BAA0"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71A064D8" w14:textId="77777777" w:rsidTr="00A83861">
        <w:trPr>
          <w:trHeight w:val="209"/>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8AD41BE" w14:textId="6A6174CC"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9BFEFA4"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Shenyang Tiexi MixC Mall</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359235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DADCCB9"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72.1%</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F93A27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20.2%</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DCC46C1"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10.9%</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0C35BAA" w14:textId="37CAACDF"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6D6F7B52" w14:textId="77777777" w:rsidTr="00A83861">
        <w:trPr>
          <w:trHeight w:val="388"/>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1499560" w14:textId="7556BD07"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EF454B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Zhengzhou Zhenghong City</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E6316A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A6999D4"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73.2%</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03F2F96"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23.6%</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311519B"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3.7%</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A745F0E" w14:textId="1B9EA377"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34977B40" w14:textId="77777777" w:rsidTr="00A83861">
        <w:trPr>
          <w:trHeight w:val="374"/>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8DAE475" w14:textId="2FF1D1B1"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07B5D7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Kunming Shuncheng</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7BD1C2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Gold Standard Dominant</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CED1AE4"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58.4%</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F2D952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9.3%</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2C03B50"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29.6%</w:t>
            </w:r>
          </w:p>
        </w:tc>
        <w:tc>
          <w:tcPr>
            <w:tcW w:w="1984" w:type="dxa"/>
            <w:tcBorders>
              <w:top w:val="single" w:sz="4" w:space="0" w:color="BDC3C7"/>
              <w:left w:val="single" w:sz="4" w:space="0" w:color="BDC3C7"/>
              <w:bottom w:val="single" w:sz="4" w:space="0" w:color="BDC3C7"/>
              <w:right w:val="single" w:sz="12" w:space="0" w:color="auto"/>
            </w:tcBorders>
            <w:shd w:val="clear" w:color="auto" w:fill="FCE4D6"/>
            <w:tcMar>
              <w:top w:w="100" w:type="dxa"/>
              <w:left w:w="140" w:type="dxa"/>
              <w:bottom w:w="100" w:type="dxa"/>
              <w:right w:w="140" w:type="dxa"/>
            </w:tcMar>
            <w:vAlign w:val="center"/>
            <w:hideMark/>
          </w:tcPr>
          <w:p w14:paraId="23B01161"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C0392B"/>
                <w:sz w:val="17"/>
                <w:szCs w:val="17"/>
                <w:lang w:eastAsia="zh-CN"/>
              </w:rPr>
              <w:t>The gold standard was unusually high (29.6%), which is an outlier.</w:t>
            </w:r>
          </w:p>
        </w:tc>
      </w:tr>
      <w:tr w:rsidR="009F059F" w:rsidRPr="009F059F" w14:paraId="74CC1499" w14:textId="77777777" w:rsidTr="00A83861">
        <w:trPr>
          <w:trHeight w:val="373"/>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2601BE5" w14:textId="6B063563"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C1AEB4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Changchun Eurasia Mall</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FC0900F"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Gold Standard Dominant</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96348B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55.8%</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0E8A5D0"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30.3%</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82DEB89"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16.7%</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4B1D1D8" w14:textId="683AF8BF"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6D887658" w14:textId="77777777" w:rsidTr="00A83861">
        <w:trPr>
          <w:trHeight w:val="128"/>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43F1636" w14:textId="396592E0"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343ED5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Zhengzhou Zhenghong City</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FF5B0C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F8C5BC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73.2%</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6AA8B3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23.6%</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7AB51E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3.7%</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2713EF1" w14:textId="08C06CE7"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3FA1EF86" w14:textId="77777777" w:rsidTr="00A83861">
        <w:trPr>
          <w:trHeight w:val="30"/>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7310329" w14:textId="591E7F02"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E52F2AB"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Changsha MixC</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F345B7E"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6A6D4A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69.0%</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938E97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15.1%</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760D85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9.9%</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09593DBB" w14:textId="01FB4633"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1EE4D715" w14:textId="77777777" w:rsidTr="00A83861">
        <w:trPr>
          <w:trHeight w:val="159"/>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26EB12F" w14:textId="1FC0B72B"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B90392F"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Sanlitun, Beijing</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6EE832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7299EFF"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63.4%</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2C568D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16.7%</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A53CF8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6.7%</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C4D5C90"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Y7=0.842, weighted reference</w:t>
            </w:r>
          </w:p>
        </w:tc>
      </w:tr>
      <w:tr w:rsidR="009F059F" w:rsidRPr="009F059F" w14:paraId="1DB7113E" w14:textId="77777777" w:rsidTr="00A83861">
        <w:trPr>
          <w:trHeight w:val="41"/>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C1C0124" w14:textId="3F3FBFA5"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964AAF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Dalian Parkson</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6001E0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D8D9B6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69.4%</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C8FD7F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28.5%</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55C3FB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4.4%</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F0569C2" w14:textId="0BA7F150"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457424DD" w14:textId="77777777" w:rsidTr="00A83861">
        <w:trPr>
          <w:trHeight w:val="177"/>
        </w:trPr>
        <w:tc>
          <w:tcPr>
            <w:tcW w:w="99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31D423B" w14:textId="44E151C5"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4828894"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Shanghai Xintiandi</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EBE89F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EC0317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81.1%</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E36363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3.9%</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0CB88D1"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3.0%</w:t>
            </w:r>
          </w:p>
        </w:tc>
        <w:tc>
          <w:tcPr>
            <w:tcW w:w="1984" w:type="dxa"/>
            <w:tcBorders>
              <w:top w:val="single" w:sz="4" w:space="0" w:color="BDC3C7"/>
              <w:left w:val="single" w:sz="4" w:space="0" w:color="BDC3C7"/>
              <w:bottom w:val="single" w:sz="4" w:space="0" w:color="BDC3C7"/>
              <w:right w:val="single" w:sz="12" w:space="0" w:color="auto"/>
            </w:tcBorders>
            <w:shd w:val="clear" w:color="auto" w:fill="FCE4D6"/>
            <w:tcMar>
              <w:top w:w="100" w:type="dxa"/>
              <w:left w:w="140" w:type="dxa"/>
              <w:bottom w:w="100" w:type="dxa"/>
              <w:right w:w="140" w:type="dxa"/>
            </w:tcMar>
            <w:vAlign w:val="center"/>
            <w:hideMark/>
          </w:tcPr>
          <w:p w14:paraId="7B4C9EC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C0392B"/>
                <w:sz w:val="17"/>
                <w:szCs w:val="17"/>
                <w:lang w:eastAsia="zh-CN"/>
              </w:rPr>
              <w:t>Honor's share is extremely low (3.9%).</w:t>
            </w:r>
          </w:p>
        </w:tc>
      </w:tr>
      <w:tr w:rsidR="009F059F" w:rsidRPr="009F059F" w14:paraId="1391C98F" w14:textId="77777777" w:rsidTr="00A83861">
        <w:trPr>
          <w:trHeight w:val="201"/>
        </w:trPr>
        <w:tc>
          <w:tcPr>
            <w:tcW w:w="993"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13B713C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1A1A1A"/>
                <w:sz w:val="17"/>
                <w:szCs w:val="17"/>
                <w:lang w:eastAsia="zh-CN"/>
              </w:rPr>
              <w:t>Clothing-focused</w:t>
            </w:r>
          </w:p>
        </w:tc>
        <w:tc>
          <w:tcPr>
            <w:tcW w:w="1560" w:type="dxa"/>
            <w:tcBorders>
              <w:top w:val="single" w:sz="4" w:space="0" w:color="BDC3C7"/>
              <w:left w:val="single" w:sz="4" w:space="0" w:color="A0A9B0"/>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17E2C1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Harbin Haxi Wanda</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06EE2DA"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Honor-dominant type</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9016CF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33.5%</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6BEC455"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60.2%</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F7EC0FB"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9.1%</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2CBE1754" w14:textId="130AC5E4"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2F3DE582" w14:textId="77777777" w:rsidTr="00A83861">
        <w:trPr>
          <w:trHeight w:val="83"/>
        </w:trPr>
        <w:tc>
          <w:tcPr>
            <w:tcW w:w="993" w:type="dxa"/>
            <w:tcBorders>
              <w:top w:val="single" w:sz="4" w:space="0" w:color="A0A9B0"/>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AEE36D5" w14:textId="1F566EB5"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FBA78F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Hangzhou Xixi Impression City</w:t>
            </w:r>
          </w:p>
        </w:tc>
        <w:tc>
          <w:tcPr>
            <w:tcW w:w="212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FBEC78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Gold Standard Dominant</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4F8C02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48.3%</w:t>
            </w:r>
          </w:p>
        </w:tc>
        <w:tc>
          <w:tcPr>
            <w:tcW w:w="1276"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5EFC680"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35.3%</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A9ED06D"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18.9%</w:t>
            </w:r>
          </w:p>
        </w:tc>
        <w:tc>
          <w:tcPr>
            <w:tcW w:w="1984"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9AEBAB8" w14:textId="51E1D60B" w:rsidR="009F059F" w:rsidRPr="009F059F" w:rsidRDefault="009F059F" w:rsidP="00923C4E">
            <w:pPr>
              <w:widowControl/>
              <w:autoSpaceDE/>
              <w:autoSpaceDN/>
              <w:spacing w:before="40" w:after="40"/>
              <w:ind w:left="-40"/>
              <w:jc w:val="center"/>
              <w:rPr>
                <w:rFonts w:eastAsia="等线"/>
                <w:sz w:val="24"/>
                <w:szCs w:val="24"/>
                <w:lang w:eastAsia="zh-CN"/>
              </w:rPr>
            </w:pPr>
          </w:p>
        </w:tc>
      </w:tr>
      <w:tr w:rsidR="009F059F" w:rsidRPr="009F059F" w14:paraId="7D3B3F51" w14:textId="77777777" w:rsidTr="00A83861">
        <w:trPr>
          <w:trHeight w:val="404"/>
        </w:trPr>
        <w:tc>
          <w:tcPr>
            <w:tcW w:w="993" w:type="dxa"/>
            <w:tcBorders>
              <w:top w:val="single" w:sz="4" w:space="0" w:color="BDC3C7"/>
              <w:left w:val="single" w:sz="12" w:space="0" w:color="auto"/>
              <w:bottom w:val="single" w:sz="4" w:space="0" w:color="A0A9B0"/>
              <w:right w:val="single" w:sz="4" w:space="0" w:color="A0A9B0"/>
            </w:tcBorders>
            <w:shd w:val="clear" w:color="auto" w:fill="F4F6F8"/>
            <w:tcMar>
              <w:top w:w="100" w:type="dxa"/>
              <w:left w:w="140" w:type="dxa"/>
              <w:bottom w:w="100" w:type="dxa"/>
              <w:right w:w="140" w:type="dxa"/>
            </w:tcMar>
            <w:vAlign w:val="center"/>
            <w:hideMark/>
          </w:tcPr>
          <w:p w14:paraId="749A7CB2"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b/>
                <w:bCs/>
                <w:color w:val="1A1A1A"/>
                <w:sz w:val="17"/>
                <w:szCs w:val="17"/>
                <w:lang w:eastAsia="zh-CN"/>
              </w:rPr>
              <w:t>Balanced</w:t>
            </w:r>
          </w:p>
        </w:tc>
        <w:tc>
          <w:tcPr>
            <w:tcW w:w="1560" w:type="dxa"/>
            <w:tcBorders>
              <w:top w:val="single" w:sz="4" w:space="0" w:color="BDC3C7"/>
              <w:left w:val="single" w:sz="4" w:space="0" w:color="A0A9B0"/>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5AEBC0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Wangfujing Street, Beijing</w:t>
            </w:r>
          </w:p>
        </w:tc>
        <w:tc>
          <w:tcPr>
            <w:tcW w:w="212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B6FA8F6"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5B1D876"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45.0%</w:t>
            </w:r>
          </w:p>
        </w:tc>
        <w:tc>
          <w:tcPr>
            <w:tcW w:w="1276"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2C9DA59"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28.9%</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4CA33A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11.6%</w:t>
            </w:r>
          </w:p>
        </w:tc>
        <w:tc>
          <w:tcPr>
            <w:tcW w:w="1984"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3C2BF3F8"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Proxy image</w:t>
            </w:r>
          </w:p>
        </w:tc>
      </w:tr>
      <w:tr w:rsidR="009F059F" w:rsidRPr="009F059F" w14:paraId="707B2A5F" w14:textId="77777777" w:rsidTr="00A83861">
        <w:trPr>
          <w:trHeight w:val="145"/>
        </w:trPr>
        <w:tc>
          <w:tcPr>
            <w:tcW w:w="993" w:type="dxa"/>
            <w:tcBorders>
              <w:top w:val="single" w:sz="4" w:space="0" w:color="A0A9B0"/>
              <w:left w:val="single" w:sz="12" w:space="0" w:color="auto"/>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64F8F88A" w14:textId="5FDD37FD" w:rsidR="009F059F" w:rsidRPr="009F059F" w:rsidRDefault="009F059F" w:rsidP="00923C4E">
            <w:pPr>
              <w:widowControl/>
              <w:autoSpaceDE/>
              <w:autoSpaceDN/>
              <w:spacing w:before="40" w:after="40"/>
              <w:ind w:left="-40"/>
              <w:jc w:val="center"/>
              <w:rPr>
                <w:rFonts w:eastAsia="等线"/>
                <w:sz w:val="24"/>
                <w:szCs w:val="24"/>
                <w:lang w:eastAsia="zh-CN"/>
              </w:rPr>
            </w:pPr>
          </w:p>
        </w:tc>
        <w:tc>
          <w:tcPr>
            <w:tcW w:w="1560"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3E63B88C"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Chongqing Liberation Monument</w:t>
            </w:r>
          </w:p>
        </w:tc>
        <w:tc>
          <w:tcPr>
            <w:tcW w:w="2126"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12ABBAB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Balanced</w:t>
            </w:r>
          </w:p>
        </w:tc>
        <w:tc>
          <w:tcPr>
            <w:tcW w:w="1134"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6126A88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60.5%</w:t>
            </w:r>
          </w:p>
        </w:tc>
        <w:tc>
          <w:tcPr>
            <w:tcW w:w="1276"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231BA5F9"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19.6%</w:t>
            </w:r>
          </w:p>
        </w:tc>
        <w:tc>
          <w:tcPr>
            <w:tcW w:w="992" w:type="dxa"/>
            <w:tcBorders>
              <w:top w:val="single" w:sz="4" w:space="0" w:color="BDC3C7"/>
              <w:left w:val="single" w:sz="4" w:space="0" w:color="BDC3C7"/>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76BB0903"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8.8%</w:t>
            </w:r>
          </w:p>
        </w:tc>
        <w:tc>
          <w:tcPr>
            <w:tcW w:w="1984" w:type="dxa"/>
            <w:tcBorders>
              <w:top w:val="single" w:sz="4" w:space="0" w:color="BDC3C7"/>
              <w:left w:val="single" w:sz="4" w:space="0" w:color="BDC3C7"/>
              <w:bottom w:val="single" w:sz="12" w:space="0" w:color="auto"/>
              <w:right w:val="single" w:sz="12" w:space="0" w:color="auto"/>
            </w:tcBorders>
            <w:shd w:val="clear" w:color="auto" w:fill="FFFFFF"/>
            <w:tcMar>
              <w:top w:w="100" w:type="dxa"/>
              <w:left w:w="140" w:type="dxa"/>
              <w:bottom w:w="100" w:type="dxa"/>
              <w:right w:w="140" w:type="dxa"/>
            </w:tcMar>
            <w:vAlign w:val="center"/>
            <w:hideMark/>
          </w:tcPr>
          <w:p w14:paraId="0055A3D7" w14:textId="77777777" w:rsidR="009F059F" w:rsidRPr="009F059F" w:rsidRDefault="009F059F" w:rsidP="00923C4E">
            <w:pPr>
              <w:widowControl/>
              <w:autoSpaceDE/>
              <w:autoSpaceDN/>
              <w:spacing w:before="40" w:after="40"/>
              <w:ind w:left="-40"/>
              <w:jc w:val="center"/>
              <w:rPr>
                <w:rFonts w:eastAsia="等线"/>
                <w:sz w:val="24"/>
                <w:szCs w:val="24"/>
                <w:lang w:eastAsia="zh-CN"/>
              </w:rPr>
            </w:pPr>
            <w:r w:rsidRPr="009F059F">
              <w:rPr>
                <w:rFonts w:eastAsia="微软雅黑"/>
                <w:color w:val="1A1A1A"/>
                <w:sz w:val="17"/>
                <w:szCs w:val="17"/>
                <w:lang w:eastAsia="zh-CN"/>
              </w:rPr>
              <w:t>Proxy image</w:t>
            </w:r>
          </w:p>
        </w:tc>
      </w:tr>
    </w:tbl>
    <w:p w14:paraId="524D4E26" w14:textId="24F1623E" w:rsidR="00A82873" w:rsidRDefault="00A82873" w:rsidP="00923C4E">
      <w:pPr>
        <w:pStyle w:val="a0"/>
        <w:spacing w:before="309" w:line="312" w:lineRule="auto"/>
        <w:ind w:left="311"/>
        <w:rPr>
          <w:rFonts w:eastAsia="宋体"/>
          <w:lang w:eastAsia="zh-CN"/>
        </w:rPr>
      </w:pPr>
      <w:r w:rsidRPr="00A82873">
        <w:rPr>
          <w:rFonts w:eastAsia="宋体"/>
          <w:lang w:eastAsia="zh-CN"/>
        </w:rPr>
        <w:t>Note: In the Gold Label-dominated category, Kunming Shuncheng's Gold Label share (29.6%) is approximately 1.8 times the average of other similar stores, making it an outlier. The high Gold Label share is likely driven by operational factors such as display location and sales staff recommendations, rather than by the mall's profile. Therefore, extreme caution should be exercised when using this store data as a reference.</w:t>
      </w:r>
    </w:p>
    <w:p w14:paraId="0B280378" w14:textId="31557AFB" w:rsidR="00A82873" w:rsidRDefault="00A82873" w:rsidP="00923C4E">
      <w:pPr>
        <w:pStyle w:val="2"/>
        <w:ind w:right="0"/>
        <w:rPr>
          <w:lang w:eastAsia="zh-CN"/>
        </w:rPr>
      </w:pPr>
      <w:bookmarkStart w:id="37" w:name="_Toc229242135"/>
      <w:r w:rsidRPr="00A82873">
        <w:rPr>
          <w:lang w:eastAsia="zh-CN"/>
        </w:rPr>
        <w:t>K-NN Similar Store Search Method (Core Method)</w:t>
      </w:r>
      <w:bookmarkEnd w:id="37"/>
    </w:p>
    <w:p w14:paraId="5A8F6A2C" w14:textId="69E2F9C3" w:rsidR="005A51C6" w:rsidRPr="005A51C6" w:rsidRDefault="005A51C6" w:rsidP="00923C4E">
      <w:pPr>
        <w:pStyle w:val="3"/>
        <w:ind w:right="0"/>
        <w:rPr>
          <w:rFonts w:eastAsia="宋体"/>
          <w:lang w:eastAsia="zh-CN"/>
        </w:rPr>
      </w:pPr>
      <w:r w:rsidRPr="005A51C6">
        <w:rPr>
          <w:rFonts w:eastAsia="宋体"/>
          <w:lang w:eastAsia="zh-CN"/>
        </w:rPr>
        <w:t>Introduction of K-NN</w:t>
      </w:r>
    </w:p>
    <w:p w14:paraId="4AE8F672" w14:textId="77777777" w:rsidR="005A51C6" w:rsidRPr="005A51C6" w:rsidRDefault="005A51C6" w:rsidP="00923C4E">
      <w:pPr>
        <w:pStyle w:val="a0"/>
        <w:spacing w:before="309" w:line="312" w:lineRule="auto"/>
        <w:ind w:left="311"/>
        <w:rPr>
          <w:rFonts w:eastAsia="宋体"/>
          <w:lang w:eastAsia="zh-CN"/>
        </w:rPr>
      </w:pPr>
      <w:r w:rsidRPr="005A51C6">
        <w:rPr>
          <w:rFonts w:eastAsia="宋体"/>
          <w:lang w:eastAsia="zh-CN"/>
        </w:rPr>
        <w:t>The scoring system is essentially a crude version of "finding the most similar historical stores": it divides features into three levels: high, medium, and low, sums them using manually set weights, and then uses a ternary threshold to cut out the levels. This process has two flaws: first, all stores in the same level are referenced with equal weight, so stores that are close to each other and stores that are far away contribute the same amount; second, the boundaries of the levels are manually cut, not learned from data.</w:t>
      </w:r>
    </w:p>
    <w:p w14:paraId="664352CC" w14:textId="77777777" w:rsidR="005A51C6" w:rsidRPr="005A51C6" w:rsidRDefault="005A51C6" w:rsidP="00923C4E">
      <w:pPr>
        <w:pStyle w:val="a0"/>
        <w:spacing w:before="309" w:line="312" w:lineRule="auto"/>
        <w:ind w:left="311"/>
        <w:rPr>
          <w:rFonts w:eastAsia="宋体"/>
          <w:lang w:eastAsia="zh-CN"/>
        </w:rPr>
      </w:pPr>
      <w:r w:rsidRPr="005A51C6">
        <w:rPr>
          <w:rFonts w:eastAsia="宋体"/>
          <w:lang w:eastAsia="zh-CN"/>
        </w:rPr>
        <w:t>K-NN directly calculates the weighted Euclidean distance between the new shopping mall and each historical qualified store in a 6-dimensional feature space, finds the three closest stores, and combines their matching data by weighting the data according to the inverse of the distance. The closer the store is, the higher its weight, making the logic more rigorous and direct.</w:t>
      </w:r>
    </w:p>
    <w:p w14:paraId="3FCC3EB7" w14:textId="5BBC48F4" w:rsidR="005A51C6" w:rsidRPr="005A51C6" w:rsidRDefault="005A51C6" w:rsidP="00923C4E">
      <w:pPr>
        <w:pStyle w:val="3"/>
        <w:ind w:right="0"/>
        <w:rPr>
          <w:rFonts w:eastAsia="宋体"/>
          <w:lang w:eastAsia="zh-CN"/>
        </w:rPr>
      </w:pPr>
      <w:r w:rsidRPr="005A51C6">
        <w:rPr>
          <w:rFonts w:eastAsia="宋体"/>
          <w:lang w:eastAsia="zh-CN"/>
        </w:rPr>
        <w:t>Five-step operation process</w:t>
      </w:r>
    </w:p>
    <w:p w14:paraId="198ECDD2"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lastRenderedPageBreak/>
        <w:t>•</w:t>
      </w:r>
      <w:r w:rsidRPr="005A51C6">
        <w:rPr>
          <w:rFonts w:eastAsia="宋体"/>
          <w:lang w:eastAsia="zh-CN"/>
        </w:rPr>
        <w:t xml:space="preserve"> Step 1 (Quality Filtering): Call the list of qualified stores output by module B, and search only among stores with Y7</w:t>
      </w:r>
      <w:r w:rsidRPr="005A51C6">
        <w:rPr>
          <w:rFonts w:eastAsia="宋体" w:hint="eastAsia"/>
          <w:lang w:eastAsia="zh-CN"/>
        </w:rPr>
        <w:t>≥</w:t>
      </w:r>
      <w:r w:rsidRPr="005A51C6">
        <w:rPr>
          <w:rFonts w:eastAsia="宋体"/>
          <w:lang w:eastAsia="zh-CN"/>
        </w:rPr>
        <w:t>0.90. Currently, 14 stores have entered the candidate pool.</w:t>
      </w:r>
    </w:p>
    <w:p w14:paraId="167AB4E1"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Step 2 (Feature Standardization): Subtract the average value of qualified stores from the 6 feature values   of the new shopping mall and divide by the standard deviation to eliminate the difference in dimensions (the average daily customer flow is in the tens of thousands, while the proportion of Apple is a decimal, so directly comparing distances is meaningless).</w:t>
      </w:r>
    </w:p>
    <w:p w14:paraId="7C79C911"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Step 3 (Weighted Euclidean Distance): Calculate the distance between the new shopping mall and each qualified historical store, with the following weights: purchasing power 25%, young customers 20%, Apple's market share 20%, customer flow 15%, city tier 10%, and high-end competitors 10%.</w:t>
      </w:r>
    </w:p>
    <w:p w14:paraId="67238D41"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Step 4 (Selecting K=3 nearest neighbors): Sort by distance from smallest to largest and select the 3 nearest stores. Output confidence index (1 - nearest distance / average distance of all stores): &gt;0.7 can be used directly for reference, 0.4-0.7 is recommended for manual review, &lt;0.4 triggers a warning.</w:t>
      </w:r>
    </w:p>
    <w:p w14:paraId="23C0FE14" w14:textId="59EEEF06" w:rsidR="009F059F"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Step 5 (Proportioning Recommendations): The proportions of the 3 stores are weighted and combined by the inverse of the distance, and normalized to ensure that the sum equals 100%. The current output is the average proportion of the overall operating period. After the regular stores have been operating for 8 weeks, the proportions will be upgraded to those based on the "high-performance week" to truly answer "which proportion brought higher sales".</w:t>
      </w:r>
    </w:p>
    <w:p w14:paraId="126C431E" w14:textId="58CED03F" w:rsidR="005A51C6" w:rsidRPr="00A82873" w:rsidRDefault="005A51C6" w:rsidP="00923C4E">
      <w:pPr>
        <w:pStyle w:val="2"/>
        <w:ind w:right="0"/>
        <w:rPr>
          <w:lang w:eastAsia="zh-CN"/>
        </w:rPr>
      </w:pPr>
      <w:bookmarkStart w:id="38" w:name="_Toc229242136"/>
      <w:r w:rsidRPr="005A51C6">
        <w:rPr>
          <w:lang w:eastAsia="zh-CN"/>
        </w:rPr>
        <w:t>LOO Accuracy Verification</w:t>
      </w:r>
      <w:bookmarkEnd w:id="38"/>
    </w:p>
    <w:p w14:paraId="29C7D433" w14:textId="0ACDF61D" w:rsidR="005A51C6" w:rsidRPr="005A51C6" w:rsidRDefault="005A51C6" w:rsidP="00923C4E">
      <w:pPr>
        <w:pStyle w:val="3"/>
        <w:ind w:right="0"/>
        <w:rPr>
          <w:rFonts w:eastAsia="宋体"/>
          <w:lang w:eastAsia="zh-CN"/>
        </w:rPr>
      </w:pPr>
      <w:r w:rsidRPr="005A51C6">
        <w:rPr>
          <w:rFonts w:eastAsia="宋体"/>
          <w:lang w:eastAsia="zh-CN"/>
        </w:rPr>
        <w:t>Verification Method</w:t>
      </w:r>
    </w:p>
    <w:p w14:paraId="0D159E5C" w14:textId="77777777" w:rsidR="005A51C6" w:rsidRDefault="005A51C6" w:rsidP="00923C4E">
      <w:pPr>
        <w:pStyle w:val="a0"/>
        <w:spacing w:before="309" w:line="312" w:lineRule="auto"/>
        <w:ind w:left="311"/>
        <w:rPr>
          <w:rFonts w:eastAsia="宋体"/>
          <w:lang w:eastAsia="zh-CN"/>
        </w:rPr>
      </w:pPr>
      <w:r w:rsidRPr="005A51C6">
        <w:rPr>
          <w:rFonts w:eastAsia="宋体"/>
          <w:lang w:eastAsia="zh-CN"/>
        </w:rPr>
        <w:t>Leave-One-Out (LOO): Each time, one qualified store is removed from the historical pool. The remaining stores are used to train a K-NN model (or a scoring system). The predicted allocation ratio for the removed store is then compared with its actual allocation ratio. This process is repeated 14 times (removing each store once), and the mean absolute error (MAE) and hit rate within ±5 percentage points are calculated.</w:t>
      </w:r>
    </w:p>
    <w:tbl>
      <w:tblPr>
        <w:tblW w:w="0" w:type="auto"/>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1702"/>
        <w:gridCol w:w="992"/>
        <w:gridCol w:w="1276"/>
        <w:gridCol w:w="1134"/>
        <w:gridCol w:w="1559"/>
        <w:gridCol w:w="2977"/>
      </w:tblGrid>
      <w:tr w:rsidR="005A51C6" w:rsidRPr="005A51C6" w14:paraId="5A4CFC17" w14:textId="77777777" w:rsidTr="00A83861">
        <w:trPr>
          <w:trHeight w:val="795"/>
        </w:trPr>
        <w:tc>
          <w:tcPr>
            <w:tcW w:w="1702" w:type="dxa"/>
            <w:shd w:val="clear" w:color="auto" w:fill="C00000"/>
            <w:tcMar>
              <w:top w:w="100" w:type="dxa"/>
              <w:left w:w="140" w:type="dxa"/>
              <w:bottom w:w="100" w:type="dxa"/>
              <w:right w:w="140" w:type="dxa"/>
            </w:tcMar>
            <w:vAlign w:val="center"/>
            <w:hideMark/>
          </w:tcPr>
          <w:p w14:paraId="708C91F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Dependent variable</w:t>
            </w:r>
          </w:p>
        </w:tc>
        <w:tc>
          <w:tcPr>
            <w:tcW w:w="992" w:type="dxa"/>
            <w:shd w:val="clear" w:color="auto" w:fill="C00000"/>
            <w:tcMar>
              <w:top w:w="100" w:type="dxa"/>
              <w:left w:w="140" w:type="dxa"/>
              <w:bottom w:w="100" w:type="dxa"/>
              <w:right w:w="140" w:type="dxa"/>
            </w:tcMar>
            <w:vAlign w:val="center"/>
            <w:hideMark/>
          </w:tcPr>
          <w:p w14:paraId="5BC9E98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±5pp hit rate</w:t>
            </w:r>
          </w:p>
        </w:tc>
        <w:tc>
          <w:tcPr>
            <w:tcW w:w="1276" w:type="dxa"/>
            <w:shd w:val="clear" w:color="auto" w:fill="C00000"/>
            <w:tcMar>
              <w:top w:w="100" w:type="dxa"/>
              <w:left w:w="140" w:type="dxa"/>
              <w:bottom w:w="100" w:type="dxa"/>
              <w:right w:w="140" w:type="dxa"/>
            </w:tcMar>
            <w:vAlign w:val="center"/>
            <w:hideMark/>
          </w:tcPr>
          <w:p w14:paraId="6C10F70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K-NN</w:t>
            </w:r>
          </w:p>
          <w:p w14:paraId="61E17B3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LOO-MAE</w:t>
            </w:r>
          </w:p>
        </w:tc>
        <w:tc>
          <w:tcPr>
            <w:tcW w:w="1134" w:type="dxa"/>
            <w:shd w:val="clear" w:color="auto" w:fill="C00000"/>
            <w:tcMar>
              <w:top w:w="100" w:type="dxa"/>
              <w:left w:w="140" w:type="dxa"/>
              <w:bottom w:w="100" w:type="dxa"/>
              <w:right w:w="140" w:type="dxa"/>
            </w:tcMar>
            <w:vAlign w:val="center"/>
            <w:hideMark/>
          </w:tcPr>
          <w:p w14:paraId="2241E04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Scoring system</w:t>
            </w:r>
          </w:p>
          <w:p w14:paraId="5444D23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LOO-MAE</w:t>
            </w:r>
          </w:p>
        </w:tc>
        <w:tc>
          <w:tcPr>
            <w:tcW w:w="1559" w:type="dxa"/>
            <w:shd w:val="clear" w:color="auto" w:fill="C00000"/>
            <w:tcMar>
              <w:top w:w="100" w:type="dxa"/>
              <w:left w:w="140" w:type="dxa"/>
              <w:bottom w:w="100" w:type="dxa"/>
              <w:right w:w="140" w:type="dxa"/>
            </w:tcMar>
            <w:vAlign w:val="center"/>
            <w:hideMark/>
          </w:tcPr>
          <w:p w14:paraId="6F414F1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Method Comparison</w:t>
            </w:r>
          </w:p>
        </w:tc>
        <w:tc>
          <w:tcPr>
            <w:tcW w:w="2977" w:type="dxa"/>
            <w:shd w:val="clear" w:color="auto" w:fill="C00000"/>
            <w:tcMar>
              <w:top w:w="100" w:type="dxa"/>
              <w:left w:w="140" w:type="dxa"/>
              <w:bottom w:w="100" w:type="dxa"/>
              <w:right w:w="140" w:type="dxa"/>
            </w:tcMar>
            <w:vAlign w:val="center"/>
            <w:hideMark/>
          </w:tcPr>
          <w:p w14:paraId="3783E74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18"/>
                <w:szCs w:val="18"/>
                <w:lang w:eastAsia="zh-CN"/>
              </w:rPr>
              <w:t>Conclusion</w:t>
            </w:r>
          </w:p>
        </w:tc>
      </w:tr>
      <w:tr w:rsidR="005A51C6" w:rsidRPr="005A51C6" w14:paraId="10468342" w14:textId="77777777" w:rsidTr="00A83861">
        <w:trPr>
          <w:trHeight w:val="795"/>
        </w:trPr>
        <w:tc>
          <w:tcPr>
            <w:tcW w:w="1702" w:type="dxa"/>
            <w:shd w:val="clear" w:color="auto" w:fill="E8ECF0"/>
            <w:tcMar>
              <w:top w:w="100" w:type="dxa"/>
              <w:left w:w="140" w:type="dxa"/>
              <w:bottom w:w="100" w:type="dxa"/>
              <w:right w:w="140" w:type="dxa"/>
            </w:tcMar>
            <w:vAlign w:val="center"/>
            <w:hideMark/>
          </w:tcPr>
          <w:p w14:paraId="566FE20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lastRenderedPageBreak/>
              <w:t>Y1 Footwear percentage</w:t>
            </w:r>
          </w:p>
        </w:tc>
        <w:tc>
          <w:tcPr>
            <w:tcW w:w="992" w:type="dxa"/>
            <w:shd w:val="clear" w:color="auto" w:fill="E8ECF0"/>
            <w:tcMar>
              <w:top w:w="100" w:type="dxa"/>
              <w:left w:w="140" w:type="dxa"/>
              <w:bottom w:w="100" w:type="dxa"/>
              <w:right w:w="140" w:type="dxa"/>
            </w:tcMar>
            <w:vAlign w:val="center"/>
            <w:hideMark/>
          </w:tcPr>
          <w:p w14:paraId="1D3E56E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21%</w:t>
            </w:r>
          </w:p>
        </w:tc>
        <w:tc>
          <w:tcPr>
            <w:tcW w:w="1276" w:type="dxa"/>
            <w:shd w:val="clear" w:color="auto" w:fill="E8ECF0"/>
            <w:tcMar>
              <w:top w:w="100" w:type="dxa"/>
              <w:left w:w="140" w:type="dxa"/>
              <w:bottom w:w="100" w:type="dxa"/>
              <w:right w:w="140" w:type="dxa"/>
            </w:tcMar>
            <w:vAlign w:val="center"/>
            <w:hideMark/>
          </w:tcPr>
          <w:p w14:paraId="7B9865C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12.50%</w:t>
            </w:r>
          </w:p>
        </w:tc>
        <w:tc>
          <w:tcPr>
            <w:tcW w:w="1134" w:type="dxa"/>
            <w:shd w:val="clear" w:color="auto" w:fill="E8ECF0"/>
            <w:tcMar>
              <w:top w:w="100" w:type="dxa"/>
              <w:left w:w="140" w:type="dxa"/>
              <w:bottom w:w="100" w:type="dxa"/>
              <w:right w:w="140" w:type="dxa"/>
            </w:tcMar>
            <w:vAlign w:val="center"/>
            <w:hideMark/>
          </w:tcPr>
          <w:p w14:paraId="20868F2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12.48%</w:t>
            </w:r>
          </w:p>
        </w:tc>
        <w:tc>
          <w:tcPr>
            <w:tcW w:w="1559" w:type="dxa"/>
            <w:shd w:val="clear" w:color="auto" w:fill="E8ECF0"/>
            <w:tcMar>
              <w:top w:w="100" w:type="dxa"/>
              <w:left w:w="140" w:type="dxa"/>
              <w:bottom w:w="100" w:type="dxa"/>
              <w:right w:w="140" w:type="dxa"/>
            </w:tcMar>
            <w:vAlign w:val="center"/>
            <w:hideMark/>
          </w:tcPr>
          <w:p w14:paraId="652E22E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Balanced (slightly better score)</w:t>
            </w:r>
          </w:p>
        </w:tc>
        <w:tc>
          <w:tcPr>
            <w:tcW w:w="2977" w:type="dxa"/>
            <w:shd w:val="clear" w:color="auto" w:fill="E8ECF0"/>
            <w:tcMar>
              <w:top w:w="100" w:type="dxa"/>
              <w:left w:w="140" w:type="dxa"/>
              <w:bottom w:w="100" w:type="dxa"/>
              <w:right w:w="140" w:type="dxa"/>
            </w:tcMar>
            <w:vAlign w:val="center"/>
            <w:hideMark/>
          </w:tcPr>
          <w:p w14:paraId="35FEEFE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The two are almost identical; footwear is more constrained by its sales structure, and the predictive power of market profile features is limited.</w:t>
            </w:r>
          </w:p>
        </w:tc>
      </w:tr>
      <w:tr w:rsidR="005A51C6" w:rsidRPr="005A51C6" w14:paraId="4B1F287D" w14:textId="77777777" w:rsidTr="00A83861">
        <w:trPr>
          <w:trHeight w:val="795"/>
        </w:trPr>
        <w:tc>
          <w:tcPr>
            <w:tcW w:w="1702" w:type="dxa"/>
            <w:shd w:val="clear" w:color="auto" w:fill="FFFFFF"/>
            <w:tcMar>
              <w:top w:w="100" w:type="dxa"/>
              <w:left w:w="140" w:type="dxa"/>
              <w:bottom w:w="100" w:type="dxa"/>
              <w:right w:w="140" w:type="dxa"/>
            </w:tcMar>
            <w:vAlign w:val="center"/>
            <w:hideMark/>
          </w:tcPr>
          <w:p w14:paraId="7C2624A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Y2 Clothing Percentage</w:t>
            </w:r>
          </w:p>
        </w:tc>
        <w:tc>
          <w:tcPr>
            <w:tcW w:w="992" w:type="dxa"/>
            <w:shd w:val="clear" w:color="auto" w:fill="FFFFFF"/>
            <w:tcMar>
              <w:top w:w="100" w:type="dxa"/>
              <w:left w:w="140" w:type="dxa"/>
              <w:bottom w:w="100" w:type="dxa"/>
              <w:right w:w="140" w:type="dxa"/>
            </w:tcMar>
            <w:vAlign w:val="center"/>
            <w:hideMark/>
          </w:tcPr>
          <w:p w14:paraId="5E585AC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29%</w:t>
            </w:r>
          </w:p>
        </w:tc>
        <w:tc>
          <w:tcPr>
            <w:tcW w:w="1276" w:type="dxa"/>
            <w:shd w:val="clear" w:color="auto" w:fill="FFFFFF"/>
            <w:tcMar>
              <w:top w:w="100" w:type="dxa"/>
              <w:left w:w="140" w:type="dxa"/>
              <w:bottom w:w="100" w:type="dxa"/>
              <w:right w:w="140" w:type="dxa"/>
            </w:tcMar>
            <w:vAlign w:val="center"/>
            <w:hideMark/>
          </w:tcPr>
          <w:p w14:paraId="7E9E7A5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12.09%</w:t>
            </w:r>
          </w:p>
        </w:tc>
        <w:tc>
          <w:tcPr>
            <w:tcW w:w="1134" w:type="dxa"/>
            <w:shd w:val="clear" w:color="auto" w:fill="FFFFFF"/>
            <w:tcMar>
              <w:top w:w="100" w:type="dxa"/>
              <w:left w:w="140" w:type="dxa"/>
              <w:bottom w:w="100" w:type="dxa"/>
              <w:right w:w="140" w:type="dxa"/>
            </w:tcMar>
            <w:vAlign w:val="center"/>
            <w:hideMark/>
          </w:tcPr>
          <w:p w14:paraId="20C8992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12.18%</w:t>
            </w:r>
          </w:p>
        </w:tc>
        <w:tc>
          <w:tcPr>
            <w:tcW w:w="1559" w:type="dxa"/>
            <w:shd w:val="clear" w:color="auto" w:fill="FFFFFF"/>
            <w:tcMar>
              <w:top w:w="100" w:type="dxa"/>
              <w:left w:w="140" w:type="dxa"/>
              <w:bottom w:w="100" w:type="dxa"/>
              <w:right w:w="140" w:type="dxa"/>
            </w:tcMar>
            <w:vAlign w:val="center"/>
            <w:hideMark/>
          </w:tcPr>
          <w:p w14:paraId="4AA91C1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K-NN slightly better</w:t>
            </w:r>
          </w:p>
        </w:tc>
        <w:tc>
          <w:tcPr>
            <w:tcW w:w="2977" w:type="dxa"/>
            <w:shd w:val="clear" w:color="auto" w:fill="FFFFFF"/>
            <w:tcMar>
              <w:top w:w="100" w:type="dxa"/>
              <w:left w:w="140" w:type="dxa"/>
              <w:bottom w:w="100" w:type="dxa"/>
              <w:right w:w="140" w:type="dxa"/>
            </w:tcMar>
            <w:vAlign w:val="center"/>
            <w:hideMark/>
          </w:tcPr>
          <w:p w14:paraId="54A7F99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K-NN has captured the connection between clothing and customer similarities; the improvement, though small, is in the right direction.</w:t>
            </w:r>
          </w:p>
        </w:tc>
      </w:tr>
      <w:tr w:rsidR="005A51C6" w:rsidRPr="005A51C6" w14:paraId="31746920" w14:textId="77777777" w:rsidTr="00A83861">
        <w:trPr>
          <w:trHeight w:val="1035"/>
        </w:trPr>
        <w:tc>
          <w:tcPr>
            <w:tcW w:w="1702" w:type="dxa"/>
            <w:shd w:val="clear" w:color="auto" w:fill="E8ECF0"/>
            <w:tcMar>
              <w:top w:w="100" w:type="dxa"/>
              <w:left w:w="140" w:type="dxa"/>
              <w:bottom w:w="100" w:type="dxa"/>
              <w:right w:w="140" w:type="dxa"/>
            </w:tcMar>
            <w:vAlign w:val="center"/>
            <w:hideMark/>
          </w:tcPr>
          <w:p w14:paraId="05612F5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Y6 Honor percentage</w:t>
            </w:r>
          </w:p>
        </w:tc>
        <w:tc>
          <w:tcPr>
            <w:tcW w:w="992" w:type="dxa"/>
            <w:shd w:val="clear" w:color="auto" w:fill="E8ECF0"/>
            <w:tcMar>
              <w:top w:w="100" w:type="dxa"/>
              <w:left w:w="140" w:type="dxa"/>
              <w:bottom w:w="100" w:type="dxa"/>
              <w:right w:w="140" w:type="dxa"/>
            </w:tcMar>
            <w:vAlign w:val="center"/>
            <w:hideMark/>
          </w:tcPr>
          <w:p w14:paraId="7C60B2C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21%</w:t>
            </w:r>
          </w:p>
        </w:tc>
        <w:tc>
          <w:tcPr>
            <w:tcW w:w="1276" w:type="dxa"/>
            <w:shd w:val="clear" w:color="auto" w:fill="E8ECF0"/>
            <w:tcMar>
              <w:top w:w="100" w:type="dxa"/>
              <w:left w:w="140" w:type="dxa"/>
              <w:bottom w:w="100" w:type="dxa"/>
              <w:right w:w="140" w:type="dxa"/>
            </w:tcMar>
            <w:vAlign w:val="center"/>
            <w:hideMark/>
          </w:tcPr>
          <w:p w14:paraId="24B673C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11.54%</w:t>
            </w:r>
          </w:p>
        </w:tc>
        <w:tc>
          <w:tcPr>
            <w:tcW w:w="1134" w:type="dxa"/>
            <w:shd w:val="clear" w:color="auto" w:fill="E8ECF0"/>
            <w:tcMar>
              <w:top w:w="100" w:type="dxa"/>
              <w:left w:w="140" w:type="dxa"/>
              <w:bottom w:w="100" w:type="dxa"/>
              <w:right w:w="140" w:type="dxa"/>
            </w:tcMar>
            <w:vAlign w:val="center"/>
            <w:hideMark/>
          </w:tcPr>
          <w:p w14:paraId="06844ED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12.12%</w:t>
            </w:r>
          </w:p>
        </w:tc>
        <w:tc>
          <w:tcPr>
            <w:tcW w:w="1559" w:type="dxa"/>
            <w:shd w:val="clear" w:color="auto" w:fill="E8ECF0"/>
            <w:tcMar>
              <w:top w:w="100" w:type="dxa"/>
              <w:left w:w="140" w:type="dxa"/>
              <w:bottom w:w="100" w:type="dxa"/>
              <w:right w:w="140" w:type="dxa"/>
            </w:tcMar>
            <w:vAlign w:val="center"/>
            <w:hideMark/>
          </w:tcPr>
          <w:p w14:paraId="1CD26F9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K-NN Excellent</w:t>
            </w:r>
          </w:p>
        </w:tc>
        <w:tc>
          <w:tcPr>
            <w:tcW w:w="2977" w:type="dxa"/>
            <w:shd w:val="clear" w:color="auto" w:fill="E8ECF0"/>
            <w:tcMar>
              <w:top w:w="100" w:type="dxa"/>
              <w:left w:w="140" w:type="dxa"/>
              <w:bottom w:w="100" w:type="dxa"/>
              <w:right w:w="140" w:type="dxa"/>
            </w:tcMar>
            <w:vAlign w:val="center"/>
            <w:hideMark/>
          </w:tcPr>
          <w:p w14:paraId="5010D97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Honor's core driver (daily average passenger flow r=0.574**) is effectively captured in K-NN distance calculation, resulting in the most significant improvement.</w:t>
            </w:r>
          </w:p>
        </w:tc>
      </w:tr>
      <w:tr w:rsidR="005A51C6" w:rsidRPr="005A51C6" w14:paraId="4F5B82CF" w14:textId="77777777" w:rsidTr="00A83861">
        <w:trPr>
          <w:trHeight w:val="795"/>
        </w:trPr>
        <w:tc>
          <w:tcPr>
            <w:tcW w:w="1702" w:type="dxa"/>
            <w:shd w:val="clear" w:color="auto" w:fill="FFFFFF"/>
            <w:tcMar>
              <w:top w:w="100" w:type="dxa"/>
              <w:left w:w="140" w:type="dxa"/>
              <w:bottom w:w="100" w:type="dxa"/>
              <w:right w:w="140" w:type="dxa"/>
            </w:tcMar>
            <w:vAlign w:val="center"/>
            <w:hideMark/>
          </w:tcPr>
          <w:p w14:paraId="59F1CCD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Y5 Gold Label Percentage</w:t>
            </w:r>
          </w:p>
        </w:tc>
        <w:tc>
          <w:tcPr>
            <w:tcW w:w="992" w:type="dxa"/>
            <w:shd w:val="clear" w:color="auto" w:fill="FFFFFF"/>
            <w:tcMar>
              <w:top w:w="100" w:type="dxa"/>
              <w:left w:w="140" w:type="dxa"/>
              <w:bottom w:w="100" w:type="dxa"/>
              <w:right w:w="140" w:type="dxa"/>
            </w:tcMar>
            <w:vAlign w:val="center"/>
            <w:hideMark/>
          </w:tcPr>
          <w:p w14:paraId="2C4D04C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21%</w:t>
            </w:r>
          </w:p>
        </w:tc>
        <w:tc>
          <w:tcPr>
            <w:tcW w:w="1276" w:type="dxa"/>
            <w:shd w:val="clear" w:color="auto" w:fill="FFFFFF"/>
            <w:tcMar>
              <w:top w:w="100" w:type="dxa"/>
              <w:left w:w="140" w:type="dxa"/>
              <w:bottom w:w="100" w:type="dxa"/>
              <w:right w:w="140" w:type="dxa"/>
            </w:tcMar>
            <w:vAlign w:val="center"/>
            <w:hideMark/>
          </w:tcPr>
          <w:p w14:paraId="21BC9BD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9.11%</w:t>
            </w:r>
          </w:p>
        </w:tc>
        <w:tc>
          <w:tcPr>
            <w:tcW w:w="1134" w:type="dxa"/>
            <w:shd w:val="clear" w:color="auto" w:fill="FFFFFF"/>
            <w:tcMar>
              <w:top w:w="100" w:type="dxa"/>
              <w:left w:w="140" w:type="dxa"/>
              <w:bottom w:w="100" w:type="dxa"/>
              <w:right w:w="140" w:type="dxa"/>
            </w:tcMar>
            <w:vAlign w:val="center"/>
            <w:hideMark/>
          </w:tcPr>
          <w:p w14:paraId="5BB22E6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6.72%</w:t>
            </w:r>
          </w:p>
        </w:tc>
        <w:tc>
          <w:tcPr>
            <w:tcW w:w="1559" w:type="dxa"/>
            <w:shd w:val="clear" w:color="auto" w:fill="FFFFFF"/>
            <w:tcMar>
              <w:top w:w="100" w:type="dxa"/>
              <w:left w:w="140" w:type="dxa"/>
              <w:bottom w:w="100" w:type="dxa"/>
              <w:right w:w="140" w:type="dxa"/>
            </w:tcMar>
            <w:vAlign w:val="center"/>
            <w:hideMark/>
          </w:tcPr>
          <w:p w14:paraId="5DAB66A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The scoring system is superior</w:t>
            </w:r>
          </w:p>
        </w:tc>
        <w:tc>
          <w:tcPr>
            <w:tcW w:w="2977" w:type="dxa"/>
            <w:shd w:val="clear" w:color="auto" w:fill="FFFFFF"/>
            <w:tcMar>
              <w:top w:w="100" w:type="dxa"/>
              <w:left w:w="140" w:type="dxa"/>
              <w:bottom w:w="100" w:type="dxa"/>
              <w:right w:w="140" w:type="dxa"/>
            </w:tcMar>
            <w:vAlign w:val="center"/>
            <w:hideMark/>
          </w:tcPr>
          <w:p w14:paraId="138E262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The gold standard and all portrait features |r| &lt; 0.40, both methods have large errors, and the average score is occasionally more stable.</w:t>
            </w:r>
          </w:p>
        </w:tc>
      </w:tr>
      <w:tr w:rsidR="005A51C6" w:rsidRPr="005A51C6" w14:paraId="5A5C67F8" w14:textId="77777777" w:rsidTr="00A83861">
        <w:trPr>
          <w:trHeight w:val="795"/>
        </w:trPr>
        <w:tc>
          <w:tcPr>
            <w:tcW w:w="1702" w:type="dxa"/>
            <w:shd w:val="clear" w:color="auto" w:fill="E8ECF0"/>
            <w:tcMar>
              <w:top w:w="100" w:type="dxa"/>
              <w:left w:w="140" w:type="dxa"/>
              <w:bottom w:w="100" w:type="dxa"/>
              <w:right w:w="140" w:type="dxa"/>
            </w:tcMar>
            <w:vAlign w:val="center"/>
            <w:hideMark/>
          </w:tcPr>
          <w:p w14:paraId="04B61FB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Y3 Component Proportion</w:t>
            </w:r>
          </w:p>
        </w:tc>
        <w:tc>
          <w:tcPr>
            <w:tcW w:w="992" w:type="dxa"/>
            <w:shd w:val="clear" w:color="auto" w:fill="E8ECF0"/>
            <w:tcMar>
              <w:top w:w="100" w:type="dxa"/>
              <w:left w:w="140" w:type="dxa"/>
              <w:bottom w:w="100" w:type="dxa"/>
              <w:right w:w="140" w:type="dxa"/>
            </w:tcMar>
            <w:vAlign w:val="center"/>
            <w:hideMark/>
          </w:tcPr>
          <w:p w14:paraId="59EB3AC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100%</w:t>
            </w:r>
          </w:p>
        </w:tc>
        <w:tc>
          <w:tcPr>
            <w:tcW w:w="1276" w:type="dxa"/>
            <w:shd w:val="clear" w:color="auto" w:fill="E8ECF0"/>
            <w:tcMar>
              <w:top w:w="100" w:type="dxa"/>
              <w:left w:w="140" w:type="dxa"/>
              <w:bottom w:w="100" w:type="dxa"/>
              <w:right w:w="140" w:type="dxa"/>
            </w:tcMar>
            <w:vAlign w:val="center"/>
            <w:hideMark/>
          </w:tcPr>
          <w:p w14:paraId="303B67F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0.66%</w:t>
            </w:r>
          </w:p>
        </w:tc>
        <w:tc>
          <w:tcPr>
            <w:tcW w:w="1134" w:type="dxa"/>
            <w:shd w:val="clear" w:color="auto" w:fill="E8ECF0"/>
            <w:tcMar>
              <w:top w:w="100" w:type="dxa"/>
              <w:left w:w="140" w:type="dxa"/>
              <w:bottom w:w="100" w:type="dxa"/>
              <w:right w:w="140" w:type="dxa"/>
            </w:tcMar>
            <w:vAlign w:val="center"/>
            <w:hideMark/>
          </w:tcPr>
          <w:p w14:paraId="72116AD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0.51%</w:t>
            </w:r>
          </w:p>
        </w:tc>
        <w:tc>
          <w:tcPr>
            <w:tcW w:w="1559" w:type="dxa"/>
            <w:shd w:val="clear" w:color="auto" w:fill="E8ECF0"/>
            <w:tcMar>
              <w:top w:w="100" w:type="dxa"/>
              <w:left w:w="140" w:type="dxa"/>
              <w:bottom w:w="100" w:type="dxa"/>
              <w:right w:w="140" w:type="dxa"/>
            </w:tcMar>
            <w:vAlign w:val="center"/>
            <w:hideMark/>
          </w:tcPr>
          <w:p w14:paraId="213CA5B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Both are excellent</w:t>
            </w:r>
          </w:p>
        </w:tc>
        <w:tc>
          <w:tcPr>
            <w:tcW w:w="2977" w:type="dxa"/>
            <w:shd w:val="clear" w:color="auto" w:fill="E8ECF0"/>
            <w:tcMar>
              <w:top w:w="100" w:type="dxa"/>
              <w:left w:w="140" w:type="dxa"/>
              <w:bottom w:w="100" w:type="dxa"/>
              <w:right w:w="140" w:type="dxa"/>
            </w:tcMar>
            <w:vAlign w:val="center"/>
            <w:hideMark/>
          </w:tcPr>
          <w:p w14:paraId="2EADBDF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18"/>
                <w:szCs w:val="18"/>
                <w:lang w:eastAsia="zh-CN"/>
              </w:rPr>
              <w:t>The variance of components is extremely small (0.1%–3.6%), and any reasonable method can provide reliable predictions in this dimension.</w:t>
            </w:r>
          </w:p>
        </w:tc>
      </w:tr>
    </w:tbl>
    <w:p w14:paraId="35ED10BF" w14:textId="23A6AD3C" w:rsidR="005A51C6" w:rsidRPr="005A51C6" w:rsidRDefault="005A51C6" w:rsidP="00923C4E">
      <w:pPr>
        <w:pStyle w:val="3"/>
        <w:ind w:right="0"/>
        <w:rPr>
          <w:rFonts w:eastAsia="宋体"/>
          <w:lang w:eastAsia="zh-CN"/>
        </w:rPr>
      </w:pPr>
      <w:r w:rsidRPr="005A51C6">
        <w:rPr>
          <w:rFonts w:eastAsia="宋体"/>
          <w:lang w:eastAsia="zh-CN"/>
        </w:rPr>
        <w:t>Conclusion</w:t>
      </w:r>
    </w:p>
    <w:p w14:paraId="62A83E5C" w14:textId="77777777" w:rsidR="005A51C6" w:rsidRPr="005A51C6" w:rsidRDefault="005A51C6" w:rsidP="00923C4E">
      <w:pPr>
        <w:pStyle w:val="a0"/>
        <w:spacing w:before="309" w:line="312" w:lineRule="auto"/>
        <w:ind w:left="311"/>
        <w:rPr>
          <w:rFonts w:eastAsia="宋体"/>
          <w:lang w:eastAsia="zh-CN"/>
        </w:rPr>
      </w:pPr>
      <w:r w:rsidRPr="005A51C6">
        <w:rPr>
          <w:rFonts w:eastAsia="宋体"/>
          <w:lang w:eastAsia="zh-CN"/>
        </w:rPr>
        <w:t>Compared to when K-NN lagged behind across the board when Y7</w:t>
      </w:r>
      <w:r w:rsidRPr="005A51C6">
        <w:rPr>
          <w:rFonts w:eastAsia="宋体" w:hint="eastAsia"/>
          <w:lang w:eastAsia="zh-CN"/>
        </w:rPr>
        <w:t>≥</w:t>
      </w:r>
      <w:r w:rsidRPr="005A51C6">
        <w:rPr>
          <w:rFonts w:eastAsia="宋体"/>
          <w:lang w:eastAsia="zh-CN"/>
        </w:rPr>
        <w:t>0.95, after adjusting to Y7</w:t>
      </w:r>
      <w:r w:rsidRPr="005A51C6">
        <w:rPr>
          <w:rFonts w:eastAsia="宋体" w:hint="eastAsia"/>
          <w:lang w:eastAsia="zh-CN"/>
        </w:rPr>
        <w:t>≥</w:t>
      </w:r>
      <w:r w:rsidRPr="005A51C6">
        <w:rPr>
          <w:rFonts w:eastAsia="宋体"/>
          <w:lang w:eastAsia="zh-CN"/>
        </w:rPr>
        <w:t>0.90, K-NN has surpassed the scoring system in both apparel and honor dimensions, validating the judgment that "the number of qualified store samples is the key to K-NN's performance." Once regular store data accumulates to n</w:t>
      </w:r>
      <w:r w:rsidRPr="005A51C6">
        <w:rPr>
          <w:rFonts w:eastAsia="宋体" w:hint="eastAsia"/>
          <w:lang w:eastAsia="zh-CN"/>
        </w:rPr>
        <w:t>≥</w:t>
      </w:r>
      <w:r w:rsidRPr="005A51C6">
        <w:rPr>
          <w:rFonts w:eastAsia="宋体"/>
          <w:lang w:eastAsia="zh-CN"/>
        </w:rPr>
        <w:t>30, K-NN's advantages will become apparent in even more dimensions.</w:t>
      </w:r>
    </w:p>
    <w:p w14:paraId="71408C54" w14:textId="77777777" w:rsidR="005A51C6" w:rsidRDefault="005A51C6" w:rsidP="00923C4E">
      <w:pPr>
        <w:pStyle w:val="a0"/>
        <w:spacing w:before="309" w:line="312" w:lineRule="auto"/>
        <w:ind w:left="311"/>
        <w:rPr>
          <w:rFonts w:eastAsia="宋体"/>
          <w:lang w:eastAsia="zh-CN"/>
        </w:rPr>
      </w:pPr>
      <w:r w:rsidRPr="005A51C6">
        <w:rPr>
          <w:rFonts w:eastAsia="宋体"/>
          <w:lang w:eastAsia="zh-CN"/>
        </w:rPr>
        <w:t>The fundamental reason for the high prediction error of gold standard (Y5) (K-NN 9.11%, score 6.72%) is not a methodological problem, but that the gold standard itself has extremely low correlation with all portrait features. Any method based on portrait features can hardly accurately predict the proportion of gold standard.</w:t>
      </w:r>
    </w:p>
    <w:p w14:paraId="466E726A" w14:textId="7DD7F549" w:rsidR="005A51C6" w:rsidRDefault="005A51C6" w:rsidP="00923C4E">
      <w:pPr>
        <w:pStyle w:val="2"/>
        <w:ind w:right="0"/>
        <w:rPr>
          <w:lang w:eastAsia="zh-CN"/>
        </w:rPr>
      </w:pPr>
      <w:bookmarkStart w:id="39" w:name="_Toc229242137"/>
      <w:r w:rsidRPr="005A51C6">
        <w:rPr>
          <w:lang w:eastAsia="zh-CN"/>
        </w:rPr>
        <w:t>Validation of the Importance of Random Forest Features</w:t>
      </w:r>
      <w:bookmarkEnd w:id="39"/>
    </w:p>
    <w:p w14:paraId="12BD66C1" w14:textId="375C5893" w:rsidR="005A51C6" w:rsidRPr="005A51C6" w:rsidRDefault="005A51C6" w:rsidP="00923C4E">
      <w:pPr>
        <w:pStyle w:val="3"/>
        <w:ind w:right="0"/>
        <w:rPr>
          <w:rFonts w:eastAsia="宋体"/>
          <w:lang w:eastAsia="zh-CN"/>
        </w:rPr>
      </w:pPr>
      <w:r w:rsidRPr="005A51C6">
        <w:rPr>
          <w:rFonts w:eastAsia="宋体"/>
          <w:lang w:eastAsia="zh-CN"/>
        </w:rPr>
        <w:t>Verification Objective</w:t>
      </w:r>
    </w:p>
    <w:p w14:paraId="331F47D6" w14:textId="77777777" w:rsidR="005A51C6" w:rsidRDefault="005A51C6" w:rsidP="00923C4E">
      <w:pPr>
        <w:pStyle w:val="a0"/>
        <w:spacing w:before="309" w:line="312" w:lineRule="auto"/>
        <w:ind w:left="311"/>
        <w:rPr>
          <w:rFonts w:eastAsia="宋体"/>
          <w:lang w:eastAsia="zh-CN"/>
        </w:rPr>
      </w:pPr>
      <w:r w:rsidRPr="005A51C6">
        <w:rPr>
          <w:rFonts w:eastAsia="宋体"/>
          <w:lang w:eastAsia="zh-CN"/>
        </w:rPr>
        <w:t xml:space="preserve">Random Forest (RF) is a validation tool independent of the scorecard weight design: it models six category variables (Y1-Y6) separately, extracts the importance ranking of each profile feature in the random forest, compares it with the scorecard weight allocation, and verifies whether the </w:t>
      </w:r>
      <w:r w:rsidRPr="005A51C6">
        <w:rPr>
          <w:rFonts w:eastAsia="宋体"/>
          <w:lang w:eastAsia="zh-CN"/>
        </w:rPr>
        <w:lastRenderedPageBreak/>
        <w:t>direction of the weight design is reasonable.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43"/>
        <w:gridCol w:w="993"/>
        <w:gridCol w:w="850"/>
        <w:gridCol w:w="851"/>
        <w:gridCol w:w="992"/>
        <w:gridCol w:w="850"/>
        <w:gridCol w:w="993"/>
        <w:gridCol w:w="850"/>
        <w:gridCol w:w="1699"/>
      </w:tblGrid>
      <w:tr w:rsidR="005A51C6" w:rsidRPr="005A51C6" w14:paraId="2B7829BF" w14:textId="77777777" w:rsidTr="00A83861">
        <w:trPr>
          <w:trHeight w:val="795"/>
        </w:trPr>
        <w:tc>
          <w:tcPr>
            <w:tcW w:w="1843"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653B3D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feature</w:t>
            </w:r>
          </w:p>
        </w:tc>
        <w:tc>
          <w:tcPr>
            <w:tcW w:w="993"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742671D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Scorecard weighting</w:t>
            </w:r>
          </w:p>
        </w:tc>
        <w:tc>
          <w:tcPr>
            <w:tcW w:w="85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01EAADF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Y1 Footwear</w:t>
            </w:r>
          </w:p>
        </w:tc>
        <w:tc>
          <w:tcPr>
            <w:tcW w:w="851"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32164B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Y2 Clothing</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321242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Y3 Accessories</w:t>
            </w:r>
          </w:p>
        </w:tc>
        <w:tc>
          <w:tcPr>
            <w:tcW w:w="85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3975106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Y6 Glory</w:t>
            </w:r>
          </w:p>
        </w:tc>
        <w:tc>
          <w:tcPr>
            <w:tcW w:w="993"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B036BF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Y4 National Team</w:t>
            </w:r>
          </w:p>
        </w:tc>
        <w:tc>
          <w:tcPr>
            <w:tcW w:w="85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2D523BE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Y5 Gold Label</w:t>
            </w:r>
          </w:p>
        </w:tc>
        <w:tc>
          <w:tcPr>
            <w:tcW w:w="1699"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46CFC2F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Consistency with weights</w:t>
            </w:r>
          </w:p>
        </w:tc>
      </w:tr>
      <w:tr w:rsidR="005A51C6" w:rsidRPr="005A51C6" w14:paraId="5B0409F2"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BE642F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Consumer spending power index</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BA357D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25%</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46CCA3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0.162</w:t>
            </w:r>
          </w:p>
        </w:tc>
        <w:tc>
          <w:tcPr>
            <w:tcW w:w="851"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C9658E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0.173</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EDE57B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0.170</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2D8A6C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0.210</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C8223B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0.228</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79FEE2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0.155</w:t>
            </w:r>
          </w:p>
        </w:tc>
        <w:tc>
          <w:tcPr>
            <w:tcW w:w="1699"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1D80387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ascii="Segoe UI Symbol" w:eastAsia="微软雅黑" w:hAnsi="Segoe UI Symbol" w:cs="Segoe UI Symbol"/>
                <w:color w:val="1A1A1A"/>
                <w:sz w:val="24"/>
                <w:szCs w:val="24"/>
                <w:lang w:eastAsia="zh-CN"/>
              </w:rPr>
              <w:t>✓</w:t>
            </w:r>
            <w:r w:rsidRPr="005A51C6">
              <w:rPr>
                <w:rFonts w:eastAsia="微软雅黑"/>
                <w:color w:val="1A1A1A"/>
                <w:sz w:val="24"/>
                <w:szCs w:val="24"/>
                <w:lang w:eastAsia="zh-CN"/>
              </w:rPr>
              <w:t xml:space="preserve"> Same direction</w:t>
            </w:r>
          </w:p>
        </w:tc>
      </w:tr>
      <w:tr w:rsidR="005A51C6" w:rsidRPr="005A51C6" w14:paraId="2A5A4398"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4FE706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Young Customer Index</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02A803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20%</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986DB8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0.176</w:t>
            </w:r>
          </w:p>
        </w:tc>
        <w:tc>
          <w:tcPr>
            <w:tcW w:w="851"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59FF65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0.175</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4BA924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0.271</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48B188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0.177</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739696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0.246</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08D9D9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0.238</w:t>
            </w:r>
          </w:p>
        </w:tc>
        <w:tc>
          <w:tcPr>
            <w:tcW w:w="169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43E459E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ascii="Segoe UI Symbol" w:eastAsia="微软雅黑" w:hAnsi="Segoe UI Symbol" w:cs="Segoe UI Symbol"/>
                <w:color w:val="1A1A1A"/>
                <w:sz w:val="24"/>
                <w:szCs w:val="24"/>
                <w:lang w:eastAsia="zh-CN"/>
              </w:rPr>
              <w:t>✓</w:t>
            </w:r>
            <w:r w:rsidRPr="005A51C6">
              <w:rPr>
                <w:rFonts w:eastAsia="微软雅黑"/>
                <w:color w:val="1A1A1A"/>
                <w:sz w:val="24"/>
                <w:szCs w:val="24"/>
                <w:lang w:eastAsia="zh-CN"/>
              </w:rPr>
              <w:t xml:space="preserve"> Same direction</w:t>
            </w:r>
          </w:p>
        </w:tc>
      </w:tr>
      <w:tr w:rsidR="005A51C6" w:rsidRPr="005A51C6" w14:paraId="196E286E"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3DFF30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Apple phone market share</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17B91C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20%</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C94ACF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0.173</w:t>
            </w:r>
          </w:p>
        </w:tc>
        <w:tc>
          <w:tcPr>
            <w:tcW w:w="851"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EBCCE5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0.169</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C437E3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0.182</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44E1C2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0.183</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39B277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0.239</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244C5A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0.219</w:t>
            </w:r>
          </w:p>
        </w:tc>
        <w:tc>
          <w:tcPr>
            <w:tcW w:w="1699"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535FB34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ascii="Segoe UI Symbol" w:eastAsia="微软雅黑" w:hAnsi="Segoe UI Symbol" w:cs="Segoe UI Symbol"/>
                <w:color w:val="1A1A1A"/>
                <w:sz w:val="24"/>
                <w:szCs w:val="24"/>
                <w:lang w:eastAsia="zh-CN"/>
              </w:rPr>
              <w:t>✓</w:t>
            </w:r>
            <w:r w:rsidRPr="005A51C6">
              <w:rPr>
                <w:rFonts w:eastAsia="微软雅黑"/>
                <w:color w:val="1A1A1A"/>
                <w:sz w:val="24"/>
                <w:szCs w:val="24"/>
                <w:lang w:eastAsia="zh-CN"/>
              </w:rPr>
              <w:t xml:space="preserve"> Same direction</w:t>
            </w:r>
          </w:p>
        </w:tc>
      </w:tr>
      <w:tr w:rsidR="005A51C6" w:rsidRPr="005A51C6" w14:paraId="36F0ABD0"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211B1D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Daily passenger flow</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BDF7F0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15%</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81A3E0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0.240</w:t>
            </w:r>
          </w:p>
        </w:tc>
        <w:tc>
          <w:tcPr>
            <w:tcW w:w="851"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1C9D1B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0.246</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67FC84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0.109</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F33215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0.271</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793B0E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0.100</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7F61F6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0.183</w:t>
            </w:r>
          </w:p>
        </w:tc>
        <w:tc>
          <w:tcPr>
            <w:tcW w:w="169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281E8C1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ascii="Segoe UI Symbol" w:eastAsia="微软雅黑" w:hAnsi="Segoe UI Symbol" w:cs="Segoe UI Symbol"/>
                <w:color w:val="1A1A1A"/>
                <w:sz w:val="24"/>
                <w:szCs w:val="24"/>
                <w:lang w:eastAsia="zh-CN"/>
              </w:rPr>
              <w:t>✓</w:t>
            </w:r>
            <w:r w:rsidRPr="005A51C6">
              <w:rPr>
                <w:rFonts w:eastAsia="微软雅黑"/>
                <w:color w:val="1A1A1A"/>
                <w:sz w:val="24"/>
                <w:szCs w:val="24"/>
                <w:lang w:eastAsia="zh-CN"/>
              </w:rPr>
              <w:t xml:space="preserve"> Same direction</w:t>
            </w:r>
          </w:p>
        </w:tc>
      </w:tr>
      <w:tr w:rsidR="005A51C6" w:rsidRPr="005A51C6" w14:paraId="396F1727"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9FC2E8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City Line</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A9163A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10%</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6A803F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0.089</w:t>
            </w:r>
          </w:p>
        </w:tc>
        <w:tc>
          <w:tcPr>
            <w:tcW w:w="851"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6ADB4F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0.097</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1050A9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0.056</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197494B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0.079</w:t>
            </w:r>
          </w:p>
        </w:tc>
        <w:tc>
          <w:tcPr>
            <w:tcW w:w="993"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87A9B2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0.106</w:t>
            </w:r>
          </w:p>
        </w:tc>
        <w:tc>
          <w:tcPr>
            <w:tcW w:w="85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29F237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0.175</w:t>
            </w:r>
          </w:p>
        </w:tc>
        <w:tc>
          <w:tcPr>
            <w:tcW w:w="1699"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2E20BFE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 Partially consistent</w:t>
            </w:r>
          </w:p>
        </w:tc>
      </w:tr>
      <w:tr w:rsidR="005A51C6" w:rsidRPr="005A51C6" w14:paraId="3365B576" w14:textId="77777777" w:rsidTr="00A83861">
        <w:trPr>
          <w:trHeight w:val="780"/>
        </w:trPr>
        <w:tc>
          <w:tcPr>
            <w:tcW w:w="1843"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5D804E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High-end competitors exist</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B41655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10%</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6DA916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0.160</w:t>
            </w:r>
          </w:p>
        </w:tc>
        <w:tc>
          <w:tcPr>
            <w:tcW w:w="851"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A08F68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0.140</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4E7932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0.212</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304484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0.080</w:t>
            </w:r>
          </w:p>
        </w:tc>
        <w:tc>
          <w:tcPr>
            <w:tcW w:w="993"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654DBB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0.082</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07D460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0.029</w:t>
            </w:r>
          </w:p>
        </w:tc>
        <w:tc>
          <w:tcPr>
            <w:tcW w:w="1699"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10F573B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 Partially consistent</w:t>
            </w:r>
          </w:p>
        </w:tc>
      </w:tr>
      <w:tr w:rsidR="005A51C6" w:rsidRPr="005A51C6" w14:paraId="0182D4C2" w14:textId="77777777" w:rsidTr="00A83861">
        <w:trPr>
          <w:trHeight w:val="780"/>
        </w:trPr>
        <w:tc>
          <w:tcPr>
            <w:tcW w:w="1843" w:type="dxa"/>
            <w:tcBorders>
              <w:top w:val="single" w:sz="4" w:space="0" w:color="BDC3C7"/>
              <w:left w:val="single" w:sz="12" w:space="0" w:color="auto"/>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5FEF324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LOO-R² (Reference)</w:t>
            </w:r>
          </w:p>
        </w:tc>
        <w:tc>
          <w:tcPr>
            <w:tcW w:w="993"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7667BEE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w:t>
            </w:r>
          </w:p>
        </w:tc>
        <w:tc>
          <w:tcPr>
            <w:tcW w:w="850"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0513953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−0.29</w:t>
            </w:r>
          </w:p>
        </w:tc>
        <w:tc>
          <w:tcPr>
            <w:tcW w:w="851"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5B5004A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−0.32</w:t>
            </w:r>
          </w:p>
        </w:tc>
        <w:tc>
          <w:tcPr>
            <w:tcW w:w="992"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27CFFBF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−0.07</w:t>
            </w:r>
          </w:p>
        </w:tc>
        <w:tc>
          <w:tcPr>
            <w:tcW w:w="850"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71024FD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−0.17</w:t>
            </w:r>
          </w:p>
        </w:tc>
        <w:tc>
          <w:tcPr>
            <w:tcW w:w="993"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00BE5A9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2E75B6"/>
                <w:sz w:val="24"/>
                <w:szCs w:val="24"/>
                <w:lang w:eastAsia="zh-CN"/>
              </w:rPr>
              <w:t>+0.07</w:t>
            </w:r>
          </w:p>
        </w:tc>
        <w:tc>
          <w:tcPr>
            <w:tcW w:w="850" w:type="dxa"/>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21A5A75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−0.42</w:t>
            </w:r>
          </w:p>
        </w:tc>
        <w:tc>
          <w:tcPr>
            <w:tcW w:w="1699" w:type="dxa"/>
            <w:tcBorders>
              <w:top w:val="single" w:sz="4" w:space="0" w:color="BDC3C7"/>
              <w:left w:val="single" w:sz="4" w:space="0" w:color="A0A9B0"/>
              <w:bottom w:val="single" w:sz="12" w:space="0" w:color="auto"/>
              <w:right w:val="single" w:sz="12" w:space="0" w:color="auto"/>
            </w:tcBorders>
            <w:shd w:val="clear" w:color="auto" w:fill="F4F6F8"/>
            <w:tcMar>
              <w:top w:w="100" w:type="dxa"/>
              <w:left w:w="140" w:type="dxa"/>
              <w:bottom w:w="100" w:type="dxa"/>
              <w:right w:w="140" w:type="dxa"/>
            </w:tcMar>
            <w:vAlign w:val="center"/>
            <w:hideMark/>
          </w:tcPr>
          <w:p w14:paraId="6B10E08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The only positive case in the national team</w:t>
            </w:r>
          </w:p>
        </w:tc>
      </w:tr>
    </w:tbl>
    <w:p w14:paraId="56E1A224" w14:textId="63FE6D88" w:rsidR="005A51C6" w:rsidRPr="005A51C6" w:rsidRDefault="005A51C6" w:rsidP="00923C4E">
      <w:pPr>
        <w:pStyle w:val="3"/>
        <w:ind w:right="0"/>
        <w:rPr>
          <w:rFonts w:eastAsia="宋体"/>
          <w:lang w:eastAsia="zh-CN"/>
        </w:rPr>
      </w:pPr>
      <w:r w:rsidRPr="005A51C6">
        <w:rPr>
          <w:rFonts w:eastAsia="宋体"/>
          <w:lang w:eastAsia="zh-CN"/>
        </w:rPr>
        <w:t>Key Conclusions</w:t>
      </w:r>
    </w:p>
    <w:p w14:paraId="29162369"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The importance ranking of the first 4 features (spending power, young customers, Apple's share, and average daily customer flow) is consistent with the weight direction of the scorecard (</w:t>
      </w:r>
      <w:r w:rsidRPr="005A51C6">
        <w:rPr>
          <w:rFonts w:ascii="Segoe UI Symbol" w:eastAsia="宋体" w:hAnsi="Segoe UI Symbol" w:cs="Segoe UI Symbol"/>
          <w:lang w:eastAsia="zh-CN"/>
        </w:rPr>
        <w:t>✓</w:t>
      </w:r>
      <w:r w:rsidRPr="005A51C6">
        <w:rPr>
          <w:rFonts w:eastAsia="宋体"/>
          <w:lang w:eastAsia="zh-CN"/>
        </w:rPr>
        <w:t>), and the weight framework is reasonable.</w:t>
      </w:r>
    </w:p>
    <w:p w14:paraId="51592EF0" w14:textId="77777777" w:rsidR="005A51C6" w:rsidRPr="005A51C6" w:rsidRDefault="005A51C6" w:rsidP="00923C4E">
      <w:pPr>
        <w:pStyle w:val="a0"/>
        <w:spacing w:before="309" w:line="312" w:lineRule="auto"/>
        <w:ind w:left="311"/>
        <w:rPr>
          <w:rFonts w:eastAsia="宋体"/>
          <w:lang w:eastAsia="zh-CN"/>
        </w:rPr>
      </w:pPr>
      <w:r w:rsidRPr="005A51C6">
        <w:rPr>
          <w:rFonts w:eastAsia="宋体" w:hint="eastAsia"/>
          <w:lang w:eastAsia="zh-CN"/>
        </w:rPr>
        <w:t>•</w:t>
      </w:r>
      <w:r w:rsidRPr="005A51C6">
        <w:rPr>
          <w:rFonts w:eastAsia="宋体"/>
          <w:lang w:eastAsia="zh-CN"/>
        </w:rPr>
        <w:t xml:space="preserve"> The national team (Y4) is the only variable among the 6 categories with LOO-R²&gt;0 (+0.07), indicating that its profile characteristics are slightly more predictable than other categories; however, the national team itself has extremely small variance (0%–2.4%), and its business reference value is limited.</w:t>
      </w:r>
    </w:p>
    <w:p w14:paraId="54E696A0" w14:textId="0F5514FF" w:rsidR="005A51C6" w:rsidRDefault="005A51C6" w:rsidP="00923C4E">
      <w:pPr>
        <w:pStyle w:val="a0"/>
        <w:spacing w:before="309" w:line="312" w:lineRule="auto"/>
        <w:ind w:left="311"/>
        <w:rPr>
          <w:rFonts w:eastAsia="宋体"/>
          <w:lang w:eastAsia="zh-CN"/>
        </w:rPr>
      </w:pPr>
      <w:r w:rsidRPr="005A51C6">
        <w:rPr>
          <w:rFonts w:eastAsia="宋体" w:hint="eastAsia"/>
          <w:lang w:eastAsia="zh-CN"/>
        </w:rPr>
        <w:lastRenderedPageBreak/>
        <w:t>•</w:t>
      </w:r>
      <w:r w:rsidRPr="005A51C6">
        <w:rPr>
          <w:rFonts w:eastAsia="宋体"/>
          <w:lang w:eastAsia="zh-CN"/>
        </w:rPr>
        <w:t xml:space="preserve"> The fact that the RF LOO-R² values   for all Y variables are negative or close to zero indicates that, under the current condition of n=15, the profile features cannot support accurate point prediction. The value of RF in this tool is limited to "feature importance ranking," not point prediction.</w:t>
      </w:r>
    </w:p>
    <w:p w14:paraId="2A6A10D4" w14:textId="77777777" w:rsidR="005A51C6" w:rsidRDefault="005A51C6" w:rsidP="00923C4E">
      <w:pPr>
        <w:pStyle w:val="2"/>
        <w:ind w:right="0"/>
        <w:rPr>
          <w:lang w:eastAsia="zh-CN"/>
        </w:rPr>
      </w:pPr>
      <w:bookmarkStart w:id="40" w:name="_Toc229242138"/>
      <w:r w:rsidRPr="005A51C6">
        <w:rPr>
          <w:lang w:eastAsia="zh-CN"/>
        </w:rPr>
        <w:t>GBM Parts Percentage Prediction</w:t>
      </w:r>
      <w:bookmarkEnd w:id="40"/>
    </w:p>
    <w:p w14:paraId="42DA12DC" w14:textId="77777777" w:rsidR="005A51C6" w:rsidRDefault="005A51C6" w:rsidP="00923C4E">
      <w:pPr>
        <w:pStyle w:val="a0"/>
        <w:spacing w:before="309" w:line="312" w:lineRule="auto"/>
        <w:ind w:left="311"/>
        <w:rPr>
          <w:rFonts w:eastAsia="宋体"/>
          <w:lang w:eastAsia="zh-CN"/>
        </w:rPr>
      </w:pPr>
      <w:r w:rsidRPr="005A51C6">
        <w:rPr>
          <w:rFonts w:eastAsia="宋体"/>
          <w:lang w:eastAsia="zh-CN"/>
        </w:rPr>
        <w:t>The proportion of accessories (Y3) had the smallest variance (0.1%–3.6%) among the 15 stores, making it the only point predictor variable among the 6 categories recommended for magnitude reference. Gradient Boosting Machine (GBM) was used for modeling, and the optimal parameters were determined through grid search (n_estimators=50, learning_rate=0.05, max_depth=1, shallow tree design to prevent overfitting).</w:t>
      </w:r>
    </w:p>
    <w:tbl>
      <w:tblPr>
        <w:tblW w:w="10349" w:type="dxa"/>
        <w:tblInd w:w="-144" w:type="dxa"/>
        <w:tblLayout w:type="fixed"/>
        <w:tblCellMar>
          <w:top w:w="15" w:type="dxa"/>
          <w:left w:w="15" w:type="dxa"/>
          <w:bottom w:w="15" w:type="dxa"/>
          <w:right w:w="15" w:type="dxa"/>
        </w:tblCellMar>
        <w:tblLook w:val="04A0" w:firstRow="1" w:lastRow="0" w:firstColumn="1" w:lastColumn="0" w:noHBand="0" w:noVBand="1"/>
      </w:tblPr>
      <w:tblGrid>
        <w:gridCol w:w="2127"/>
        <w:gridCol w:w="992"/>
        <w:gridCol w:w="1560"/>
        <w:gridCol w:w="1275"/>
        <w:gridCol w:w="1134"/>
        <w:gridCol w:w="3261"/>
      </w:tblGrid>
      <w:tr w:rsidR="005A51C6" w:rsidRPr="005A51C6" w14:paraId="79C3B0FD" w14:textId="77777777" w:rsidTr="0092012C">
        <w:trPr>
          <w:trHeight w:val="795"/>
        </w:trPr>
        <w:tc>
          <w:tcPr>
            <w:tcW w:w="2127" w:type="dxa"/>
            <w:tcBorders>
              <w:top w:val="single" w:sz="12" w:space="0" w:color="auto"/>
              <w:left w:val="single" w:sz="12" w:space="0" w:color="auto"/>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67F324C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Store Name</w:t>
            </w:r>
          </w:p>
        </w:tc>
        <w:tc>
          <w:tcPr>
            <w:tcW w:w="992"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75D7FCC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D gear</w:t>
            </w:r>
          </w:p>
        </w:tc>
        <w:tc>
          <w:tcPr>
            <w:tcW w:w="1560"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7A09477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Y3 accessories actual value</w:t>
            </w:r>
          </w:p>
        </w:tc>
        <w:tc>
          <w:tcPr>
            <w:tcW w:w="1275"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5108878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GBM Predicted Value</w:t>
            </w:r>
          </w:p>
        </w:tc>
        <w:tc>
          <w:tcPr>
            <w:tcW w:w="1134" w:type="dxa"/>
            <w:tcBorders>
              <w:top w:val="single" w:sz="12" w:space="0" w:color="auto"/>
              <w:left w:val="single" w:sz="4" w:space="0" w:color="BDC3C7"/>
              <w:bottom w:val="single" w:sz="4" w:space="0" w:color="BDC3C7"/>
              <w:right w:val="single" w:sz="4" w:space="0" w:color="BDC3C7"/>
            </w:tcBorders>
            <w:shd w:val="clear" w:color="auto" w:fill="C00000"/>
            <w:tcMar>
              <w:top w:w="100" w:type="dxa"/>
              <w:left w:w="140" w:type="dxa"/>
              <w:bottom w:w="100" w:type="dxa"/>
              <w:right w:w="140" w:type="dxa"/>
            </w:tcMar>
            <w:vAlign w:val="center"/>
            <w:hideMark/>
          </w:tcPr>
          <w:p w14:paraId="4F43853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LOO error</w:t>
            </w:r>
          </w:p>
        </w:tc>
        <w:tc>
          <w:tcPr>
            <w:tcW w:w="3261" w:type="dxa"/>
            <w:tcBorders>
              <w:top w:val="single" w:sz="12" w:space="0" w:color="auto"/>
              <w:left w:val="single" w:sz="4" w:space="0" w:color="BDC3C7"/>
              <w:bottom w:val="single" w:sz="4" w:space="0" w:color="BDC3C7"/>
              <w:right w:val="single" w:sz="12" w:space="0" w:color="auto"/>
            </w:tcBorders>
            <w:shd w:val="clear" w:color="auto" w:fill="C00000"/>
            <w:tcMar>
              <w:top w:w="100" w:type="dxa"/>
              <w:left w:w="140" w:type="dxa"/>
              <w:bottom w:w="100" w:type="dxa"/>
              <w:right w:w="140" w:type="dxa"/>
            </w:tcMar>
            <w:vAlign w:val="center"/>
            <w:hideMark/>
          </w:tcPr>
          <w:p w14:paraId="6C5AFDB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FFFFFF"/>
                <w:sz w:val="24"/>
                <w:szCs w:val="24"/>
                <w:lang w:eastAsia="zh-CN"/>
              </w:rPr>
              <w:t>Remark</w:t>
            </w:r>
          </w:p>
        </w:tc>
      </w:tr>
      <w:tr w:rsidR="005A51C6" w:rsidRPr="005A51C6" w14:paraId="16E083D8"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369C89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Shanghai Xintiandi</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C40BA8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Popular</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A414C1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1.03%</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611409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1.70%</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EE87F3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+0.67pp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1865DD1E" w14:textId="5DC46CA0"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32584098"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E2EB4E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Sanlitun, Beijing</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0E008E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DC20B6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0.89%</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83BB8C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0.97%</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62C354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+0.08pp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3905E613" w14:textId="53881A01"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781C14CF"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EB2CAF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Wangfujing Street, Beijing</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C20D44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Popular</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27C4EF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3.59%</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5EECCF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1.33%</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53950FB"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−2.26pp</w:t>
            </w:r>
          </w:p>
        </w:tc>
        <w:tc>
          <w:tcPr>
            <w:tcW w:w="3261" w:type="dxa"/>
            <w:tcBorders>
              <w:top w:val="single" w:sz="4" w:space="0" w:color="BDC3C7"/>
              <w:left w:val="single" w:sz="4" w:space="0" w:color="BDC3C7"/>
              <w:bottom w:val="single" w:sz="4" w:space="0" w:color="BDC3C7"/>
              <w:right w:val="single" w:sz="12" w:space="0" w:color="auto"/>
            </w:tcBorders>
            <w:shd w:val="clear" w:color="auto" w:fill="FCE4D6"/>
            <w:tcMar>
              <w:top w:w="100" w:type="dxa"/>
              <w:left w:w="140" w:type="dxa"/>
              <w:bottom w:w="100" w:type="dxa"/>
              <w:right w:w="140" w:type="dxa"/>
            </w:tcMar>
            <w:vAlign w:val="center"/>
            <w:hideMark/>
          </w:tcPr>
          <w:p w14:paraId="62E4A1B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C0392B"/>
                <w:sz w:val="24"/>
                <w:szCs w:val="24"/>
                <w:lang w:eastAsia="zh-CN"/>
              </w:rPr>
              <w:t>The proxies used for profiling have a large margin of error.</w:t>
            </w:r>
          </w:p>
        </w:tc>
      </w:tr>
      <w:tr w:rsidR="005A51C6" w:rsidRPr="005A51C6" w14:paraId="34A2FC06"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8573FA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Beijing Huiju L1 Atrium</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63216F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AA853D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0.14%</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6A4D22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0.77%</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C1E9F1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+0.63pp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DCA4AC3" w14:textId="275A7713"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6C73DB61"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BAB3C3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Nanjing Xinjiekou Pedestrian Street</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331A8C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High-end</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324A6F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0.67%</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02564C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1.60%</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59848C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+0.94pp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1E2E2CA8" w14:textId="5496DE28"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75F88321"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3B41AD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Harbin Haxi Wanda L1 Atrium</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F7674A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High-end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E6646F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0.92%</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4BD6E2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0.98%</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238F5F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+0.06pp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5E40C5FE" w14:textId="3AD57E98"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68D89061"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9CB825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L1 West Hall, Dalian Parkson</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F555A3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873CD4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0.53%</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D97AF4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0.81%</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F2B37D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+0.28pp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80AFEAA" w14:textId="2B6673CC"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0812E892"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727C42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Tianjin Nankai Joy City Wheat Field Plaza</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B9D3A7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High-end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9D83AA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0.79%</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74EC93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0.49%</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748A5E2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−0.30pp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7B4B052F" w14:textId="14752623"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6C61FFF9"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870CC5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lastRenderedPageBreak/>
              <w:t>Kunming Shuncheng Shopping Center outdoor plaza</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A5BA18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High-end</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2851CC2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0.68%</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510FE7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0.69%</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7FE9AA1"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+0.01pp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5D7F014E" w14:textId="6D44DC10"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1579DF8E"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6A5F03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Atrium on the 1st Floor of Building A, Hangzhou Xixi Impression City</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6FD321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5A777A7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0.85%</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34A2067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0.74%</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6DED7E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−0.11pp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6E0D7622" w14:textId="05BB395E"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2B095C55"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F81FEF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1F, Shenyang Tiexi MixC Mall</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91EFBE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4B3CE4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0.20%</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30FD3417"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0.83%</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CC4161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+0.63pp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09916CD8" w14:textId="7A947FD2"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4AF569CA"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127F5C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Zhengzhou Zhenghong City, Gate 3, 1st Floor Atrium</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150BD4E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High-end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01F2F84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0.46%</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12AD61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0.63%</w:t>
            </w:r>
          </w:p>
        </w:tc>
        <w:tc>
          <w:tcPr>
            <w:tcW w:w="1134"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365041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+0.17pp</w:t>
            </w:r>
          </w:p>
        </w:tc>
        <w:tc>
          <w:tcPr>
            <w:tcW w:w="3261" w:type="dxa"/>
            <w:tcBorders>
              <w:top w:val="single" w:sz="4" w:space="0" w:color="BDC3C7"/>
              <w:left w:val="single" w:sz="4" w:space="0" w:color="BDC3C7"/>
              <w:bottom w:val="single" w:sz="4" w:space="0" w:color="BDC3C7"/>
              <w:right w:val="single" w:sz="12" w:space="0" w:color="auto"/>
            </w:tcBorders>
            <w:shd w:val="clear" w:color="auto" w:fill="FFFFFF"/>
            <w:tcMar>
              <w:top w:w="100" w:type="dxa"/>
              <w:left w:w="140" w:type="dxa"/>
              <w:bottom w:w="100" w:type="dxa"/>
              <w:right w:w="140" w:type="dxa"/>
            </w:tcMar>
            <w:vAlign w:val="center"/>
            <w:hideMark/>
          </w:tcPr>
          <w:p w14:paraId="155A798A" w14:textId="2DF88FBB"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7DC0A246"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3E84F3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Chongqing Liberation Monument</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2349D5E"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Popular</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7786008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2.55%</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AD0268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0.72%</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4E629B8D"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−1.83pp</w:t>
            </w:r>
          </w:p>
        </w:tc>
        <w:tc>
          <w:tcPr>
            <w:tcW w:w="3261" w:type="dxa"/>
            <w:tcBorders>
              <w:top w:val="single" w:sz="4" w:space="0" w:color="BDC3C7"/>
              <w:left w:val="single" w:sz="4" w:space="0" w:color="BDC3C7"/>
              <w:bottom w:val="single" w:sz="4" w:space="0" w:color="BDC3C7"/>
              <w:right w:val="single" w:sz="12" w:space="0" w:color="auto"/>
            </w:tcBorders>
            <w:shd w:val="clear" w:color="auto" w:fill="FCE4D6"/>
            <w:tcMar>
              <w:top w:w="100" w:type="dxa"/>
              <w:left w:w="140" w:type="dxa"/>
              <w:bottom w:w="100" w:type="dxa"/>
              <w:right w:w="140" w:type="dxa"/>
            </w:tcMar>
            <w:vAlign w:val="center"/>
            <w:hideMark/>
          </w:tcPr>
          <w:p w14:paraId="37F644F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C0392B"/>
                <w:sz w:val="24"/>
                <w:szCs w:val="24"/>
                <w:lang w:eastAsia="zh-CN"/>
              </w:rPr>
              <w:t>The proxies used for profiling have a large margin of error.</w:t>
            </w:r>
          </w:p>
        </w:tc>
      </w:tr>
      <w:tr w:rsidR="005A51C6" w:rsidRPr="005A51C6" w14:paraId="5BFC7B08" w14:textId="77777777" w:rsidTr="0092012C">
        <w:trPr>
          <w:trHeight w:val="1020"/>
        </w:trPr>
        <w:tc>
          <w:tcPr>
            <w:tcW w:w="2127" w:type="dxa"/>
            <w:tcBorders>
              <w:top w:val="single" w:sz="4" w:space="0" w:color="BDC3C7"/>
              <w:left w:val="single" w:sz="12" w:space="0" w:color="auto"/>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21E62D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Changchun Eurasia Shopping Mall, Gate 10, Atrium</w:t>
            </w:r>
          </w:p>
        </w:tc>
        <w:tc>
          <w:tcPr>
            <w:tcW w:w="992"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42C3E033"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6F7CE08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0.63%</w:t>
            </w:r>
          </w:p>
        </w:tc>
        <w:tc>
          <w:tcPr>
            <w:tcW w:w="1275" w:type="dxa"/>
            <w:tcBorders>
              <w:top w:val="single" w:sz="4" w:space="0" w:color="BDC3C7"/>
              <w:left w:val="single" w:sz="4" w:space="0" w:color="BDC3C7"/>
              <w:bottom w:val="single" w:sz="4" w:space="0" w:color="BDC3C7"/>
              <w:right w:val="single" w:sz="4" w:space="0" w:color="BDC3C7"/>
            </w:tcBorders>
            <w:shd w:val="clear" w:color="auto" w:fill="FFFFFF"/>
            <w:tcMar>
              <w:top w:w="100" w:type="dxa"/>
              <w:left w:w="140" w:type="dxa"/>
              <w:bottom w:w="100" w:type="dxa"/>
              <w:right w:w="140" w:type="dxa"/>
            </w:tcMar>
            <w:vAlign w:val="center"/>
            <w:hideMark/>
          </w:tcPr>
          <w:p w14:paraId="24BEEA12"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2.57%</w:t>
            </w:r>
          </w:p>
        </w:tc>
        <w:tc>
          <w:tcPr>
            <w:tcW w:w="1134" w:type="dxa"/>
            <w:tcBorders>
              <w:top w:val="single" w:sz="4" w:space="0" w:color="BDC3C7"/>
              <w:left w:val="single" w:sz="4" w:space="0" w:color="BDC3C7"/>
              <w:bottom w:val="single" w:sz="4" w:space="0" w:color="BDC3C7"/>
              <w:right w:val="single" w:sz="4" w:space="0" w:color="BDC3C7"/>
            </w:tcBorders>
            <w:shd w:val="clear" w:color="auto" w:fill="FCE4D6"/>
            <w:tcMar>
              <w:top w:w="100" w:type="dxa"/>
              <w:left w:w="140" w:type="dxa"/>
              <w:bottom w:w="100" w:type="dxa"/>
              <w:right w:w="140" w:type="dxa"/>
            </w:tcMar>
            <w:vAlign w:val="center"/>
            <w:hideMark/>
          </w:tcPr>
          <w:p w14:paraId="4B26899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C0392B"/>
                <w:sz w:val="24"/>
                <w:szCs w:val="24"/>
                <w:lang w:eastAsia="zh-CN"/>
              </w:rPr>
              <w:t>+1.95pp</w:t>
            </w:r>
          </w:p>
        </w:tc>
        <w:tc>
          <w:tcPr>
            <w:tcW w:w="3261" w:type="dxa"/>
            <w:tcBorders>
              <w:top w:val="single" w:sz="4" w:space="0" w:color="BDC3C7"/>
              <w:left w:val="single" w:sz="4" w:space="0" w:color="BDC3C7"/>
              <w:bottom w:val="single" w:sz="4" w:space="0" w:color="BDC3C7"/>
              <w:right w:val="single" w:sz="12" w:space="0" w:color="auto"/>
            </w:tcBorders>
            <w:shd w:val="clear" w:color="auto" w:fill="FCE4D6"/>
            <w:tcMar>
              <w:top w:w="100" w:type="dxa"/>
              <w:left w:w="140" w:type="dxa"/>
              <w:bottom w:w="100" w:type="dxa"/>
              <w:right w:w="140" w:type="dxa"/>
            </w:tcMar>
            <w:vAlign w:val="center"/>
            <w:hideMark/>
          </w:tcPr>
          <w:p w14:paraId="2078F930"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C0392B"/>
                <w:sz w:val="24"/>
                <w:szCs w:val="24"/>
                <w:lang w:eastAsia="zh-CN"/>
              </w:rPr>
              <w:t>The proxies used for profiling have a large margin of error.</w:t>
            </w:r>
          </w:p>
        </w:tc>
      </w:tr>
      <w:tr w:rsidR="005A51C6" w:rsidRPr="005A51C6" w14:paraId="25B45885" w14:textId="77777777" w:rsidTr="0092012C">
        <w:trPr>
          <w:trHeight w:val="780"/>
        </w:trPr>
        <w:tc>
          <w:tcPr>
            <w:tcW w:w="2127" w:type="dxa"/>
            <w:tcBorders>
              <w:top w:val="single" w:sz="4" w:space="0" w:color="BDC3C7"/>
              <w:left w:val="single" w:sz="12" w:space="0" w:color="auto"/>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008BE86"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Changsha MixC L1 Atrium</w:t>
            </w:r>
          </w:p>
        </w:tc>
        <w:tc>
          <w:tcPr>
            <w:tcW w:w="992"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A81BB4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Balanced</w:t>
            </w:r>
          </w:p>
        </w:tc>
        <w:tc>
          <w:tcPr>
            <w:tcW w:w="1560"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0DFA46CC"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1.27%</w:t>
            </w:r>
          </w:p>
        </w:tc>
        <w:tc>
          <w:tcPr>
            <w:tcW w:w="1275"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557AC378"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0.64%</w:t>
            </w:r>
          </w:p>
        </w:tc>
        <w:tc>
          <w:tcPr>
            <w:tcW w:w="1134" w:type="dxa"/>
            <w:tcBorders>
              <w:top w:val="single" w:sz="4" w:space="0" w:color="BDC3C7"/>
              <w:left w:val="single" w:sz="4" w:space="0" w:color="BDC3C7"/>
              <w:bottom w:val="single" w:sz="4" w:space="0" w:color="BDC3C7"/>
              <w:right w:val="single" w:sz="4" w:space="0" w:color="BDC3C7"/>
            </w:tcBorders>
            <w:shd w:val="clear" w:color="auto" w:fill="E8ECF0"/>
            <w:tcMar>
              <w:top w:w="100" w:type="dxa"/>
              <w:left w:w="140" w:type="dxa"/>
              <w:bottom w:w="100" w:type="dxa"/>
              <w:right w:w="140" w:type="dxa"/>
            </w:tcMar>
            <w:vAlign w:val="center"/>
            <w:hideMark/>
          </w:tcPr>
          <w:p w14:paraId="61A9B7BF"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−0.63pp</w:t>
            </w:r>
          </w:p>
        </w:tc>
        <w:tc>
          <w:tcPr>
            <w:tcW w:w="3261" w:type="dxa"/>
            <w:tcBorders>
              <w:top w:val="single" w:sz="4" w:space="0" w:color="BDC3C7"/>
              <w:left w:val="single" w:sz="4" w:space="0" w:color="BDC3C7"/>
              <w:bottom w:val="single" w:sz="4" w:space="0" w:color="BDC3C7"/>
              <w:right w:val="single" w:sz="12" w:space="0" w:color="auto"/>
            </w:tcBorders>
            <w:shd w:val="clear" w:color="auto" w:fill="E8ECF0"/>
            <w:tcMar>
              <w:top w:w="100" w:type="dxa"/>
              <w:left w:w="140" w:type="dxa"/>
              <w:bottom w:w="100" w:type="dxa"/>
              <w:right w:w="140" w:type="dxa"/>
            </w:tcMar>
            <w:vAlign w:val="center"/>
            <w:hideMark/>
          </w:tcPr>
          <w:p w14:paraId="46FAFC78" w14:textId="33AEB6E6" w:rsidR="005A51C6" w:rsidRPr="005A51C6" w:rsidRDefault="005A51C6" w:rsidP="00923C4E">
            <w:pPr>
              <w:widowControl/>
              <w:autoSpaceDE/>
              <w:autoSpaceDN/>
              <w:spacing w:before="40" w:after="40"/>
              <w:ind w:left="-40"/>
              <w:jc w:val="center"/>
              <w:rPr>
                <w:rFonts w:eastAsia="等线"/>
                <w:sz w:val="24"/>
                <w:szCs w:val="24"/>
                <w:lang w:eastAsia="zh-CN"/>
              </w:rPr>
            </w:pPr>
          </w:p>
        </w:tc>
      </w:tr>
      <w:tr w:rsidR="005A51C6" w:rsidRPr="005A51C6" w14:paraId="45A069B4" w14:textId="77777777" w:rsidTr="0092012C">
        <w:trPr>
          <w:trHeight w:val="1245"/>
        </w:trPr>
        <w:tc>
          <w:tcPr>
            <w:tcW w:w="2127" w:type="dxa"/>
            <w:tcBorders>
              <w:top w:val="single" w:sz="4" w:space="0" w:color="BDC3C7"/>
              <w:left w:val="single" w:sz="12" w:space="0" w:color="auto"/>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12B4A064"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Model Summary</w:t>
            </w:r>
          </w:p>
        </w:tc>
        <w:tc>
          <w:tcPr>
            <w:tcW w:w="2552" w:type="dxa"/>
            <w:gridSpan w:val="2"/>
            <w:tcBorders>
              <w:top w:val="single" w:sz="4" w:space="0" w:color="BDC3C7"/>
              <w:left w:val="single" w:sz="4" w:space="0" w:color="A0A9B0"/>
              <w:bottom w:val="single" w:sz="12" w:space="0" w:color="auto"/>
              <w:right w:val="single" w:sz="4" w:space="0" w:color="A0A9B0"/>
            </w:tcBorders>
            <w:shd w:val="clear" w:color="auto" w:fill="F4F6F8"/>
            <w:tcMar>
              <w:top w:w="100" w:type="dxa"/>
              <w:left w:w="140" w:type="dxa"/>
              <w:bottom w:w="100" w:type="dxa"/>
              <w:right w:w="140" w:type="dxa"/>
            </w:tcMar>
            <w:vAlign w:val="center"/>
            <w:hideMark/>
          </w:tcPr>
          <w:p w14:paraId="3679C70A"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color w:val="1A1A1A"/>
                <w:sz w:val="24"/>
                <w:szCs w:val="24"/>
                <w:lang w:eastAsia="zh-CN"/>
              </w:rPr>
              <w:t>Parameters: n_est=50, lr=0.05, depth=1</w:t>
            </w:r>
          </w:p>
        </w:tc>
        <w:tc>
          <w:tcPr>
            <w:tcW w:w="1275" w:type="dxa"/>
            <w:tcBorders>
              <w:top w:val="single" w:sz="4" w:space="0" w:color="BDC3C7"/>
              <w:left w:val="single" w:sz="4" w:space="0" w:color="A0A9B0"/>
              <w:bottom w:val="single" w:sz="12" w:space="0" w:color="auto"/>
              <w:right w:val="single" w:sz="4" w:space="0" w:color="BDC3C7"/>
            </w:tcBorders>
            <w:shd w:val="clear" w:color="auto" w:fill="FFFFFF"/>
            <w:tcMar>
              <w:top w:w="100" w:type="dxa"/>
              <w:left w:w="140" w:type="dxa"/>
              <w:bottom w:w="100" w:type="dxa"/>
              <w:right w:w="140" w:type="dxa"/>
            </w:tcMar>
            <w:vAlign w:val="center"/>
            <w:hideMark/>
          </w:tcPr>
          <w:p w14:paraId="78D592A3" w14:textId="50AB77B6" w:rsidR="005A51C6" w:rsidRPr="005A51C6" w:rsidRDefault="005A51C6" w:rsidP="00923C4E">
            <w:pPr>
              <w:widowControl/>
              <w:autoSpaceDE/>
              <w:autoSpaceDN/>
              <w:spacing w:before="40" w:after="40"/>
              <w:ind w:left="-40"/>
              <w:jc w:val="center"/>
              <w:rPr>
                <w:rFonts w:eastAsia="等线"/>
                <w:sz w:val="24"/>
                <w:szCs w:val="24"/>
                <w:lang w:eastAsia="zh-CN"/>
              </w:rPr>
            </w:pPr>
          </w:p>
        </w:tc>
        <w:tc>
          <w:tcPr>
            <w:tcW w:w="4395" w:type="dxa"/>
            <w:gridSpan w:val="2"/>
            <w:tcBorders>
              <w:top w:val="single" w:sz="4" w:space="0" w:color="BDC3C7"/>
              <w:left w:val="single" w:sz="4" w:space="0" w:color="BDC3C7"/>
              <w:bottom w:val="single" w:sz="12" w:space="0" w:color="auto"/>
              <w:right w:val="single" w:sz="12" w:space="0" w:color="auto"/>
            </w:tcBorders>
            <w:shd w:val="clear" w:color="auto" w:fill="F4F6F8"/>
            <w:tcMar>
              <w:top w:w="100" w:type="dxa"/>
              <w:left w:w="140" w:type="dxa"/>
              <w:bottom w:w="100" w:type="dxa"/>
              <w:right w:w="140" w:type="dxa"/>
            </w:tcMar>
            <w:vAlign w:val="center"/>
            <w:hideMark/>
          </w:tcPr>
          <w:p w14:paraId="34676669"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LOO-MAE = 0.70pp</w:t>
            </w:r>
          </w:p>
          <w:p w14:paraId="7DD092E5" w14:textId="77777777" w:rsidR="005A51C6" w:rsidRPr="005A51C6" w:rsidRDefault="005A51C6" w:rsidP="00923C4E">
            <w:pPr>
              <w:widowControl/>
              <w:autoSpaceDE/>
              <w:autoSpaceDN/>
              <w:spacing w:before="40" w:after="40"/>
              <w:ind w:left="-40"/>
              <w:jc w:val="center"/>
              <w:rPr>
                <w:rFonts w:eastAsia="等线"/>
                <w:sz w:val="24"/>
                <w:szCs w:val="24"/>
                <w:lang w:eastAsia="zh-CN"/>
              </w:rPr>
            </w:pPr>
            <w:r w:rsidRPr="005A51C6">
              <w:rPr>
                <w:rFonts w:eastAsia="微软雅黑"/>
                <w:b/>
                <w:bCs/>
                <w:color w:val="1A1A1A"/>
                <w:sz w:val="24"/>
                <w:szCs w:val="24"/>
                <w:lang w:eastAsia="zh-CN"/>
              </w:rPr>
              <w:t>LOO-RMSE = 1.00pp</w:t>
            </w:r>
          </w:p>
        </w:tc>
      </w:tr>
    </w:tbl>
    <w:p w14:paraId="2688EBD0" w14:textId="77777777" w:rsidR="005A51C6" w:rsidRPr="005A51C6" w:rsidRDefault="005A51C6" w:rsidP="00923C4E">
      <w:pPr>
        <w:pStyle w:val="a0"/>
        <w:spacing w:before="309" w:line="312" w:lineRule="auto"/>
        <w:ind w:left="311"/>
        <w:rPr>
          <w:rFonts w:eastAsia="宋体"/>
          <w:lang w:eastAsia="zh-CN"/>
        </w:rPr>
      </w:pPr>
      <w:r w:rsidRPr="005A51C6">
        <w:rPr>
          <w:rFonts w:eastAsia="宋体"/>
          <w:lang w:eastAsia="zh-CN"/>
        </w:rPr>
        <w:t>Importance of GBM features: The purchasing power index contributes the most (0.521), followed by high-end competitors (0.220) and the young customer index (0.142), which is consistent with business intuition—the stronger the purchasing power of the business district, the higher the acceptance of accessory products by consumers.</w:t>
      </w:r>
    </w:p>
    <w:p w14:paraId="2F54BC2C" w14:textId="6DCB55A3" w:rsidR="005A51C6" w:rsidRPr="005A51C6" w:rsidRDefault="005A51C6" w:rsidP="00923C4E">
      <w:pPr>
        <w:pStyle w:val="a0"/>
        <w:spacing w:before="309" w:line="312" w:lineRule="auto"/>
        <w:ind w:left="311"/>
        <w:rPr>
          <w:rFonts w:eastAsia="宋体"/>
          <w:lang w:eastAsia="zh-CN"/>
        </w:rPr>
      </w:pPr>
      <w:r w:rsidRPr="005A51C6">
        <w:rPr>
          <w:rFonts w:eastAsia="宋体"/>
          <w:lang w:eastAsia="zh-CN"/>
        </w:rPr>
        <w:t>Note: The three stores with larger errors (Beijing Wangfujing -2.26pp, Chongqing Jiefangbei -1.83pp, and Changchun Eurasia +1.95pp) are all stores with agent profiles, which confirms the significant impact of profile data accuracy on prediction results.</w:t>
      </w:r>
    </w:p>
    <w:p w14:paraId="6940A7B4" w14:textId="14BDF673" w:rsidR="00103AAF" w:rsidRDefault="00103AAF" w:rsidP="00923C4E">
      <w:pPr>
        <w:pStyle w:val="2"/>
        <w:ind w:right="0"/>
        <w:rPr>
          <w:lang w:eastAsia="zh-CN"/>
        </w:rPr>
      </w:pPr>
      <w:bookmarkStart w:id="41" w:name="_Toc229242139"/>
      <w:r w:rsidRPr="00103AAF">
        <w:rPr>
          <w:lang w:eastAsia="zh-CN"/>
        </w:rPr>
        <w:t>Decision Matrix (6 Combinations of Shopping Mall Signals)</w:t>
      </w:r>
      <w:bookmarkEnd w:id="41"/>
    </w:p>
    <w:p w14:paraId="5C4BF3D1" w14:textId="5248F75B" w:rsidR="00103AAF" w:rsidRDefault="00103AAF" w:rsidP="00923C4E">
      <w:pPr>
        <w:pStyle w:val="a0"/>
        <w:spacing w:before="309" w:line="312" w:lineRule="auto"/>
        <w:ind w:left="311"/>
        <w:rPr>
          <w:rFonts w:eastAsia="宋体"/>
          <w:lang w:eastAsia="zh-CN"/>
        </w:rPr>
      </w:pPr>
      <w:r w:rsidRPr="00103AAF">
        <w:rPr>
          <w:rFonts w:eastAsia="宋体"/>
          <w:lang w:eastAsia="zh-CN"/>
        </w:rPr>
        <w:lastRenderedPageBreak/>
        <w:t>The following matrix provides corresponding D-level and specific allocation action suggestions for 6 typical shopping mall signal combinations, for the operations team to make quick decisions.</w:t>
      </w:r>
    </w:p>
    <w:tbl>
      <w:tblPr>
        <w:tblW w:w="10915" w:type="dxa"/>
        <w:tblInd w:w="-427" w:type="dxa"/>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709"/>
        <w:gridCol w:w="1134"/>
        <w:gridCol w:w="1134"/>
        <w:gridCol w:w="992"/>
        <w:gridCol w:w="709"/>
        <w:gridCol w:w="709"/>
        <w:gridCol w:w="709"/>
        <w:gridCol w:w="708"/>
        <w:gridCol w:w="709"/>
        <w:gridCol w:w="709"/>
        <w:gridCol w:w="2693"/>
      </w:tblGrid>
      <w:tr w:rsidR="00103AAF" w:rsidRPr="0092012C" w14:paraId="2C2EF99E" w14:textId="77777777" w:rsidTr="0092012C">
        <w:trPr>
          <w:trHeight w:val="1035"/>
        </w:trPr>
        <w:tc>
          <w:tcPr>
            <w:tcW w:w="709" w:type="dxa"/>
            <w:shd w:val="clear" w:color="auto" w:fill="C00000"/>
            <w:tcMar>
              <w:top w:w="100" w:type="dxa"/>
              <w:left w:w="140" w:type="dxa"/>
              <w:bottom w:w="100" w:type="dxa"/>
              <w:right w:w="140" w:type="dxa"/>
            </w:tcMar>
            <w:vAlign w:val="center"/>
            <w:hideMark/>
          </w:tcPr>
          <w:p w14:paraId="7B232651" w14:textId="7B6F41F4"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Number</w:t>
            </w:r>
          </w:p>
        </w:tc>
        <w:tc>
          <w:tcPr>
            <w:tcW w:w="1134" w:type="dxa"/>
            <w:shd w:val="clear" w:color="auto" w:fill="C00000"/>
            <w:tcMar>
              <w:top w:w="100" w:type="dxa"/>
              <w:left w:w="140" w:type="dxa"/>
              <w:bottom w:w="100" w:type="dxa"/>
              <w:right w:w="140" w:type="dxa"/>
            </w:tcMar>
            <w:vAlign w:val="center"/>
            <w:hideMark/>
          </w:tcPr>
          <w:p w14:paraId="0E81DC80"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Signal Combination</w:t>
            </w:r>
          </w:p>
        </w:tc>
        <w:tc>
          <w:tcPr>
            <w:tcW w:w="1134" w:type="dxa"/>
            <w:shd w:val="clear" w:color="auto" w:fill="C00000"/>
            <w:tcMar>
              <w:top w:w="100" w:type="dxa"/>
              <w:left w:w="140" w:type="dxa"/>
              <w:bottom w:w="100" w:type="dxa"/>
              <w:right w:w="140" w:type="dxa"/>
            </w:tcMar>
            <w:vAlign w:val="center"/>
            <w:hideMark/>
          </w:tcPr>
          <w:p w14:paraId="26F4E3B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Judgment conditions</w:t>
            </w:r>
          </w:p>
        </w:tc>
        <w:tc>
          <w:tcPr>
            <w:tcW w:w="992" w:type="dxa"/>
            <w:shd w:val="clear" w:color="auto" w:fill="C00000"/>
            <w:tcMar>
              <w:top w:w="100" w:type="dxa"/>
              <w:left w:w="140" w:type="dxa"/>
              <w:bottom w:w="100" w:type="dxa"/>
              <w:right w:w="140" w:type="dxa"/>
            </w:tcMar>
            <w:vAlign w:val="center"/>
            <w:hideMark/>
          </w:tcPr>
          <w:p w14:paraId="1BD05BFD"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Corresponding to D gear</w:t>
            </w:r>
          </w:p>
        </w:tc>
        <w:tc>
          <w:tcPr>
            <w:tcW w:w="709" w:type="dxa"/>
            <w:shd w:val="clear" w:color="auto" w:fill="C00000"/>
            <w:tcMar>
              <w:top w:w="100" w:type="dxa"/>
              <w:left w:w="140" w:type="dxa"/>
              <w:bottom w:w="100" w:type="dxa"/>
              <w:right w:w="140" w:type="dxa"/>
            </w:tcMar>
            <w:vAlign w:val="center"/>
            <w:hideMark/>
          </w:tcPr>
          <w:p w14:paraId="2365CC7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Y1 Footwear</w:t>
            </w:r>
          </w:p>
        </w:tc>
        <w:tc>
          <w:tcPr>
            <w:tcW w:w="709" w:type="dxa"/>
            <w:shd w:val="clear" w:color="auto" w:fill="C00000"/>
            <w:tcMar>
              <w:top w:w="100" w:type="dxa"/>
              <w:left w:w="140" w:type="dxa"/>
              <w:bottom w:w="100" w:type="dxa"/>
              <w:right w:w="140" w:type="dxa"/>
            </w:tcMar>
            <w:vAlign w:val="center"/>
            <w:hideMark/>
          </w:tcPr>
          <w:p w14:paraId="13616C4A"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Y2 Clothing</w:t>
            </w:r>
          </w:p>
        </w:tc>
        <w:tc>
          <w:tcPr>
            <w:tcW w:w="709" w:type="dxa"/>
            <w:shd w:val="clear" w:color="auto" w:fill="C00000"/>
            <w:tcMar>
              <w:top w:w="100" w:type="dxa"/>
              <w:left w:w="140" w:type="dxa"/>
              <w:bottom w:w="100" w:type="dxa"/>
              <w:right w:w="140" w:type="dxa"/>
            </w:tcMar>
            <w:vAlign w:val="center"/>
            <w:hideMark/>
          </w:tcPr>
          <w:p w14:paraId="1B8406D0"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Y3 Accessories</w:t>
            </w:r>
          </w:p>
        </w:tc>
        <w:tc>
          <w:tcPr>
            <w:tcW w:w="708" w:type="dxa"/>
            <w:shd w:val="clear" w:color="auto" w:fill="C00000"/>
            <w:tcMar>
              <w:top w:w="100" w:type="dxa"/>
              <w:left w:w="140" w:type="dxa"/>
              <w:bottom w:w="100" w:type="dxa"/>
              <w:right w:w="140" w:type="dxa"/>
            </w:tcMar>
            <w:vAlign w:val="center"/>
            <w:hideMark/>
          </w:tcPr>
          <w:p w14:paraId="33060852"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Y4 National Team</w:t>
            </w:r>
          </w:p>
        </w:tc>
        <w:tc>
          <w:tcPr>
            <w:tcW w:w="709" w:type="dxa"/>
            <w:shd w:val="clear" w:color="auto" w:fill="C00000"/>
            <w:tcMar>
              <w:top w:w="100" w:type="dxa"/>
              <w:left w:w="140" w:type="dxa"/>
              <w:bottom w:w="100" w:type="dxa"/>
              <w:right w:w="140" w:type="dxa"/>
            </w:tcMar>
            <w:vAlign w:val="center"/>
            <w:hideMark/>
          </w:tcPr>
          <w:p w14:paraId="0979F27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Y5 Gold Label</w:t>
            </w:r>
          </w:p>
        </w:tc>
        <w:tc>
          <w:tcPr>
            <w:tcW w:w="709" w:type="dxa"/>
            <w:shd w:val="clear" w:color="auto" w:fill="C00000"/>
            <w:tcMar>
              <w:top w:w="100" w:type="dxa"/>
              <w:left w:w="140" w:type="dxa"/>
              <w:bottom w:w="100" w:type="dxa"/>
              <w:right w:w="140" w:type="dxa"/>
            </w:tcMar>
            <w:vAlign w:val="center"/>
            <w:hideMark/>
          </w:tcPr>
          <w:p w14:paraId="26571C9E"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Y6 Glory</w:t>
            </w:r>
          </w:p>
        </w:tc>
        <w:tc>
          <w:tcPr>
            <w:tcW w:w="2693" w:type="dxa"/>
            <w:shd w:val="clear" w:color="auto" w:fill="C00000"/>
            <w:tcMar>
              <w:top w:w="100" w:type="dxa"/>
              <w:left w:w="140" w:type="dxa"/>
              <w:bottom w:w="100" w:type="dxa"/>
              <w:right w:w="140" w:type="dxa"/>
            </w:tcMar>
            <w:vAlign w:val="center"/>
            <w:hideMark/>
          </w:tcPr>
          <w:p w14:paraId="76F1900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FFFFFF"/>
                <w:sz w:val="21"/>
                <w:szCs w:val="21"/>
                <w:lang w:eastAsia="zh-CN"/>
              </w:rPr>
              <w:t>Product Selection Action Suggestions</w:t>
            </w:r>
          </w:p>
        </w:tc>
      </w:tr>
      <w:tr w:rsidR="00103AAF" w:rsidRPr="0092012C" w14:paraId="54E86407" w14:textId="77777777" w:rsidTr="0092012C">
        <w:trPr>
          <w:trHeight w:val="1377"/>
        </w:trPr>
        <w:tc>
          <w:tcPr>
            <w:tcW w:w="709" w:type="dxa"/>
            <w:shd w:val="clear" w:color="auto" w:fill="E8ECF0"/>
            <w:tcMar>
              <w:top w:w="100" w:type="dxa"/>
              <w:left w:w="140" w:type="dxa"/>
              <w:bottom w:w="100" w:type="dxa"/>
              <w:right w:w="140" w:type="dxa"/>
            </w:tcMar>
            <w:vAlign w:val="center"/>
            <w:hideMark/>
          </w:tcPr>
          <w:p w14:paraId="212AE829"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t>①</w:t>
            </w:r>
          </w:p>
        </w:tc>
        <w:tc>
          <w:tcPr>
            <w:tcW w:w="1134" w:type="dxa"/>
            <w:shd w:val="clear" w:color="auto" w:fill="E8ECF0"/>
            <w:tcMar>
              <w:top w:w="100" w:type="dxa"/>
              <w:left w:w="140" w:type="dxa"/>
              <w:bottom w:w="100" w:type="dxa"/>
              <w:right w:w="140" w:type="dxa"/>
            </w:tcMar>
            <w:vAlign w:val="center"/>
            <w:hideMark/>
          </w:tcPr>
          <w:p w14:paraId="0619247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High spending power + young customer base</w:t>
            </w:r>
          </w:p>
        </w:tc>
        <w:tc>
          <w:tcPr>
            <w:tcW w:w="1134" w:type="dxa"/>
            <w:shd w:val="clear" w:color="auto" w:fill="E8ECF0"/>
            <w:tcMar>
              <w:top w:w="100" w:type="dxa"/>
              <w:left w:w="140" w:type="dxa"/>
              <w:bottom w:w="100" w:type="dxa"/>
              <w:right w:w="140" w:type="dxa"/>
            </w:tcMar>
            <w:vAlign w:val="center"/>
            <w:hideMark/>
          </w:tcPr>
          <w:p w14:paraId="0D99C71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Spending power ≥ 2.144 and young customers ≥ 0.657</w:t>
            </w:r>
          </w:p>
        </w:tc>
        <w:tc>
          <w:tcPr>
            <w:tcW w:w="992" w:type="dxa"/>
            <w:shd w:val="clear" w:color="auto" w:fill="E8ECF0"/>
            <w:tcMar>
              <w:top w:w="100" w:type="dxa"/>
              <w:left w:w="140" w:type="dxa"/>
              <w:bottom w:w="100" w:type="dxa"/>
              <w:right w:w="140" w:type="dxa"/>
            </w:tcMar>
            <w:vAlign w:val="center"/>
            <w:hideMark/>
          </w:tcPr>
          <w:p w14:paraId="5F76DA7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High-end</w:t>
            </w:r>
          </w:p>
        </w:tc>
        <w:tc>
          <w:tcPr>
            <w:tcW w:w="709" w:type="dxa"/>
            <w:shd w:val="clear" w:color="auto" w:fill="E8ECF0"/>
            <w:tcMar>
              <w:top w:w="100" w:type="dxa"/>
              <w:left w:w="140" w:type="dxa"/>
              <w:bottom w:w="100" w:type="dxa"/>
              <w:right w:w="140" w:type="dxa"/>
            </w:tcMar>
            <w:vAlign w:val="center"/>
            <w:hideMark/>
          </w:tcPr>
          <w:p w14:paraId="6DA7509B"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45%–60%</w:t>
            </w:r>
          </w:p>
        </w:tc>
        <w:tc>
          <w:tcPr>
            <w:tcW w:w="709" w:type="dxa"/>
            <w:shd w:val="clear" w:color="auto" w:fill="E8ECF0"/>
            <w:tcMar>
              <w:top w:w="100" w:type="dxa"/>
              <w:left w:w="140" w:type="dxa"/>
              <w:bottom w:w="100" w:type="dxa"/>
              <w:right w:w="140" w:type="dxa"/>
            </w:tcMar>
            <w:vAlign w:val="center"/>
            <w:hideMark/>
          </w:tcPr>
          <w:p w14:paraId="46CC3A8D"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30%–45%</w:t>
            </w:r>
          </w:p>
        </w:tc>
        <w:tc>
          <w:tcPr>
            <w:tcW w:w="709" w:type="dxa"/>
            <w:shd w:val="clear" w:color="auto" w:fill="E8ECF0"/>
            <w:tcMar>
              <w:top w:w="100" w:type="dxa"/>
              <w:left w:w="140" w:type="dxa"/>
              <w:bottom w:w="100" w:type="dxa"/>
              <w:right w:w="140" w:type="dxa"/>
            </w:tcMar>
            <w:vAlign w:val="center"/>
            <w:hideMark/>
          </w:tcPr>
          <w:p w14:paraId="23EF10F6"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5%–15%</w:t>
            </w:r>
          </w:p>
        </w:tc>
        <w:tc>
          <w:tcPr>
            <w:tcW w:w="708" w:type="dxa"/>
            <w:shd w:val="clear" w:color="auto" w:fill="E8ECF0"/>
            <w:tcMar>
              <w:top w:w="100" w:type="dxa"/>
              <w:left w:w="140" w:type="dxa"/>
              <w:bottom w:w="100" w:type="dxa"/>
              <w:right w:w="140" w:type="dxa"/>
            </w:tcMar>
            <w:vAlign w:val="center"/>
            <w:hideMark/>
          </w:tcPr>
          <w:p w14:paraId="256A69C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0%</w:t>
            </w:r>
          </w:p>
        </w:tc>
        <w:tc>
          <w:tcPr>
            <w:tcW w:w="709" w:type="dxa"/>
            <w:shd w:val="clear" w:color="auto" w:fill="E8ECF0"/>
            <w:tcMar>
              <w:top w:w="100" w:type="dxa"/>
              <w:left w:w="140" w:type="dxa"/>
              <w:bottom w:w="100" w:type="dxa"/>
              <w:right w:w="140" w:type="dxa"/>
            </w:tcMar>
            <w:vAlign w:val="center"/>
            <w:hideMark/>
          </w:tcPr>
          <w:p w14:paraId="7E6820B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15%–25%</w:t>
            </w:r>
          </w:p>
        </w:tc>
        <w:tc>
          <w:tcPr>
            <w:tcW w:w="709" w:type="dxa"/>
            <w:shd w:val="clear" w:color="auto" w:fill="E8ECF0"/>
            <w:tcMar>
              <w:top w:w="100" w:type="dxa"/>
              <w:left w:w="140" w:type="dxa"/>
              <w:bottom w:w="100" w:type="dxa"/>
              <w:right w:w="140" w:type="dxa"/>
            </w:tcMar>
            <w:vAlign w:val="center"/>
            <w:hideMark/>
          </w:tcPr>
          <w:p w14:paraId="7BBD4774"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 30%</w:t>
            </w:r>
          </w:p>
        </w:tc>
        <w:tc>
          <w:tcPr>
            <w:tcW w:w="2693" w:type="dxa"/>
            <w:shd w:val="clear" w:color="auto" w:fill="E8ECF0"/>
            <w:tcMar>
              <w:top w:w="100" w:type="dxa"/>
              <w:left w:w="140" w:type="dxa"/>
              <w:bottom w:w="100" w:type="dxa"/>
              <w:right w:w="140" w:type="dxa"/>
            </w:tcMar>
            <w:vAlign w:val="center"/>
            <w:hideMark/>
          </w:tcPr>
          <w:p w14:paraId="276B27F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Focus on displaying Honor's high-end footwear; the 30-44 age group, a mature customer base and Huawei users, has a positive correlation with Honor, so apparel can be increased; gold-label jackets should be highlighted; national team products should account for ≤1% of the display.</w:t>
            </w:r>
          </w:p>
        </w:tc>
      </w:tr>
      <w:tr w:rsidR="00103AAF" w:rsidRPr="0092012C" w14:paraId="7DA36571" w14:textId="77777777" w:rsidTr="0092012C">
        <w:trPr>
          <w:trHeight w:val="1307"/>
        </w:trPr>
        <w:tc>
          <w:tcPr>
            <w:tcW w:w="709" w:type="dxa"/>
            <w:shd w:val="clear" w:color="auto" w:fill="FFFFFF"/>
            <w:tcMar>
              <w:top w:w="100" w:type="dxa"/>
              <w:left w:w="140" w:type="dxa"/>
              <w:bottom w:w="100" w:type="dxa"/>
              <w:right w:w="140" w:type="dxa"/>
            </w:tcMar>
            <w:vAlign w:val="center"/>
            <w:hideMark/>
          </w:tcPr>
          <w:p w14:paraId="725236B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t>②</w:t>
            </w:r>
          </w:p>
        </w:tc>
        <w:tc>
          <w:tcPr>
            <w:tcW w:w="1134" w:type="dxa"/>
            <w:shd w:val="clear" w:color="auto" w:fill="FFFFFF"/>
            <w:tcMar>
              <w:top w:w="100" w:type="dxa"/>
              <w:left w:w="140" w:type="dxa"/>
              <w:bottom w:w="100" w:type="dxa"/>
              <w:right w:w="140" w:type="dxa"/>
            </w:tcMar>
            <w:vAlign w:val="center"/>
            <w:hideMark/>
          </w:tcPr>
          <w:p w14:paraId="5709B99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High spending power + high-end competitive environment</w:t>
            </w:r>
          </w:p>
        </w:tc>
        <w:tc>
          <w:tcPr>
            <w:tcW w:w="1134" w:type="dxa"/>
            <w:shd w:val="clear" w:color="auto" w:fill="FFFFFF"/>
            <w:tcMar>
              <w:top w:w="100" w:type="dxa"/>
              <w:left w:w="140" w:type="dxa"/>
              <w:bottom w:w="100" w:type="dxa"/>
              <w:right w:w="140" w:type="dxa"/>
            </w:tcMar>
            <w:vAlign w:val="center"/>
            <w:hideMark/>
          </w:tcPr>
          <w:p w14:paraId="2B227941"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Consumer spending power ≥ 2.144 and owns Arc'teryx/KOLON, etc.</w:t>
            </w:r>
          </w:p>
        </w:tc>
        <w:tc>
          <w:tcPr>
            <w:tcW w:w="992" w:type="dxa"/>
            <w:shd w:val="clear" w:color="auto" w:fill="FFFFFF"/>
            <w:tcMar>
              <w:top w:w="100" w:type="dxa"/>
              <w:left w:w="140" w:type="dxa"/>
              <w:bottom w:w="100" w:type="dxa"/>
              <w:right w:w="140" w:type="dxa"/>
            </w:tcMar>
            <w:vAlign w:val="center"/>
            <w:hideMark/>
          </w:tcPr>
          <w:p w14:paraId="6492757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High-end</w:t>
            </w:r>
          </w:p>
        </w:tc>
        <w:tc>
          <w:tcPr>
            <w:tcW w:w="709" w:type="dxa"/>
            <w:shd w:val="clear" w:color="auto" w:fill="FFFFFF"/>
            <w:tcMar>
              <w:top w:w="100" w:type="dxa"/>
              <w:left w:w="140" w:type="dxa"/>
              <w:bottom w:w="100" w:type="dxa"/>
              <w:right w:w="140" w:type="dxa"/>
            </w:tcMar>
            <w:vAlign w:val="center"/>
            <w:hideMark/>
          </w:tcPr>
          <w:p w14:paraId="61B09784"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40%–55%</w:t>
            </w:r>
          </w:p>
        </w:tc>
        <w:tc>
          <w:tcPr>
            <w:tcW w:w="709" w:type="dxa"/>
            <w:shd w:val="clear" w:color="auto" w:fill="FFFFFF"/>
            <w:tcMar>
              <w:top w:w="100" w:type="dxa"/>
              <w:left w:w="140" w:type="dxa"/>
              <w:bottom w:w="100" w:type="dxa"/>
              <w:right w:w="140" w:type="dxa"/>
            </w:tcMar>
            <w:vAlign w:val="center"/>
            <w:hideMark/>
          </w:tcPr>
          <w:p w14:paraId="4EB17B8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35%–50%</w:t>
            </w:r>
          </w:p>
        </w:tc>
        <w:tc>
          <w:tcPr>
            <w:tcW w:w="709" w:type="dxa"/>
            <w:shd w:val="clear" w:color="auto" w:fill="FFFFFF"/>
            <w:tcMar>
              <w:top w:w="100" w:type="dxa"/>
              <w:left w:w="140" w:type="dxa"/>
              <w:bottom w:w="100" w:type="dxa"/>
              <w:right w:w="140" w:type="dxa"/>
            </w:tcMar>
            <w:vAlign w:val="center"/>
            <w:hideMark/>
          </w:tcPr>
          <w:p w14:paraId="09DC6B9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5%–15%</w:t>
            </w:r>
          </w:p>
        </w:tc>
        <w:tc>
          <w:tcPr>
            <w:tcW w:w="708" w:type="dxa"/>
            <w:shd w:val="clear" w:color="auto" w:fill="FFFFFF"/>
            <w:tcMar>
              <w:top w:w="100" w:type="dxa"/>
              <w:left w:w="140" w:type="dxa"/>
              <w:bottom w:w="100" w:type="dxa"/>
              <w:right w:w="140" w:type="dxa"/>
            </w:tcMar>
            <w:vAlign w:val="center"/>
            <w:hideMark/>
          </w:tcPr>
          <w:p w14:paraId="68195F1E"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0%</w:t>
            </w:r>
          </w:p>
        </w:tc>
        <w:tc>
          <w:tcPr>
            <w:tcW w:w="709" w:type="dxa"/>
            <w:shd w:val="clear" w:color="auto" w:fill="FFFFFF"/>
            <w:tcMar>
              <w:top w:w="100" w:type="dxa"/>
              <w:left w:w="140" w:type="dxa"/>
              <w:bottom w:w="100" w:type="dxa"/>
              <w:right w:w="140" w:type="dxa"/>
            </w:tcMar>
            <w:vAlign w:val="center"/>
            <w:hideMark/>
          </w:tcPr>
          <w:p w14:paraId="3062F01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20%–30%</w:t>
            </w:r>
          </w:p>
        </w:tc>
        <w:tc>
          <w:tcPr>
            <w:tcW w:w="709" w:type="dxa"/>
            <w:shd w:val="clear" w:color="auto" w:fill="FFFFFF"/>
            <w:tcMar>
              <w:top w:w="100" w:type="dxa"/>
              <w:left w:w="140" w:type="dxa"/>
              <w:bottom w:w="100" w:type="dxa"/>
              <w:right w:w="140" w:type="dxa"/>
            </w:tcMar>
            <w:vAlign w:val="center"/>
            <w:hideMark/>
          </w:tcPr>
          <w:p w14:paraId="5EA29027"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 35%</w:t>
            </w:r>
          </w:p>
        </w:tc>
        <w:tc>
          <w:tcPr>
            <w:tcW w:w="2693" w:type="dxa"/>
            <w:shd w:val="clear" w:color="auto" w:fill="FFFFFF"/>
            <w:tcMar>
              <w:top w:w="100" w:type="dxa"/>
              <w:left w:w="140" w:type="dxa"/>
              <w:bottom w:w="100" w:type="dxa"/>
              <w:right w:w="140" w:type="dxa"/>
            </w:tcMar>
            <w:vAlign w:val="center"/>
            <w:hideMark/>
          </w:tcPr>
          <w:p w14:paraId="1D811F8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Gold Label differentiates itself (in the outdoor lightweight category); Honor emphasizes its technological image; leveraging the environment of high-end competitors enhances the overall store image.</w:t>
            </w:r>
          </w:p>
        </w:tc>
      </w:tr>
      <w:tr w:rsidR="00103AAF" w:rsidRPr="0092012C" w14:paraId="0DA7972B" w14:textId="77777777" w:rsidTr="0092012C">
        <w:trPr>
          <w:trHeight w:val="1061"/>
        </w:trPr>
        <w:tc>
          <w:tcPr>
            <w:tcW w:w="709" w:type="dxa"/>
            <w:shd w:val="clear" w:color="auto" w:fill="E8ECF0"/>
            <w:tcMar>
              <w:top w:w="100" w:type="dxa"/>
              <w:left w:w="140" w:type="dxa"/>
              <w:bottom w:w="100" w:type="dxa"/>
              <w:right w:w="140" w:type="dxa"/>
            </w:tcMar>
            <w:vAlign w:val="center"/>
            <w:hideMark/>
          </w:tcPr>
          <w:p w14:paraId="0077935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t>③</w:t>
            </w:r>
          </w:p>
        </w:tc>
        <w:tc>
          <w:tcPr>
            <w:tcW w:w="1134" w:type="dxa"/>
            <w:shd w:val="clear" w:color="auto" w:fill="E8ECF0"/>
            <w:tcMar>
              <w:top w:w="100" w:type="dxa"/>
              <w:left w:w="140" w:type="dxa"/>
              <w:bottom w:w="100" w:type="dxa"/>
              <w:right w:w="140" w:type="dxa"/>
            </w:tcMar>
            <w:vAlign w:val="center"/>
            <w:hideMark/>
          </w:tcPr>
          <w:p w14:paraId="065D459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Medium spending power + high customer traffic</w:t>
            </w:r>
          </w:p>
        </w:tc>
        <w:tc>
          <w:tcPr>
            <w:tcW w:w="1134" w:type="dxa"/>
            <w:shd w:val="clear" w:color="auto" w:fill="E8ECF0"/>
            <w:tcMar>
              <w:top w:w="100" w:type="dxa"/>
              <w:left w:w="140" w:type="dxa"/>
              <w:bottom w:w="100" w:type="dxa"/>
              <w:right w:w="140" w:type="dxa"/>
            </w:tcMar>
            <w:vAlign w:val="center"/>
            <w:hideMark/>
          </w:tcPr>
          <w:p w14:paraId="43441796"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1.929 ≤ spending power &lt; 2.144 and customer flow ≥ 51,543</w:t>
            </w:r>
          </w:p>
        </w:tc>
        <w:tc>
          <w:tcPr>
            <w:tcW w:w="992" w:type="dxa"/>
            <w:shd w:val="clear" w:color="auto" w:fill="E8ECF0"/>
            <w:tcMar>
              <w:top w:w="100" w:type="dxa"/>
              <w:left w:w="140" w:type="dxa"/>
              <w:bottom w:w="100" w:type="dxa"/>
              <w:right w:w="140" w:type="dxa"/>
            </w:tcMar>
            <w:vAlign w:val="center"/>
            <w:hideMark/>
          </w:tcPr>
          <w:p w14:paraId="2649B762"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Balanced</w:t>
            </w:r>
          </w:p>
        </w:tc>
        <w:tc>
          <w:tcPr>
            <w:tcW w:w="709" w:type="dxa"/>
            <w:shd w:val="clear" w:color="auto" w:fill="E8ECF0"/>
            <w:tcMar>
              <w:top w:w="100" w:type="dxa"/>
              <w:left w:w="140" w:type="dxa"/>
              <w:bottom w:w="100" w:type="dxa"/>
              <w:right w:w="140" w:type="dxa"/>
            </w:tcMar>
            <w:vAlign w:val="center"/>
            <w:hideMark/>
          </w:tcPr>
          <w:p w14:paraId="750CF5AD"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50%–65%</w:t>
            </w:r>
          </w:p>
        </w:tc>
        <w:tc>
          <w:tcPr>
            <w:tcW w:w="709" w:type="dxa"/>
            <w:shd w:val="clear" w:color="auto" w:fill="E8ECF0"/>
            <w:tcMar>
              <w:top w:w="100" w:type="dxa"/>
              <w:left w:w="140" w:type="dxa"/>
              <w:bottom w:w="100" w:type="dxa"/>
              <w:right w:w="140" w:type="dxa"/>
            </w:tcMar>
            <w:vAlign w:val="center"/>
            <w:hideMark/>
          </w:tcPr>
          <w:p w14:paraId="0D39EE34"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28%–42%</w:t>
            </w:r>
          </w:p>
        </w:tc>
        <w:tc>
          <w:tcPr>
            <w:tcW w:w="709" w:type="dxa"/>
            <w:shd w:val="clear" w:color="auto" w:fill="E8ECF0"/>
            <w:tcMar>
              <w:top w:w="100" w:type="dxa"/>
              <w:left w:w="140" w:type="dxa"/>
              <w:bottom w:w="100" w:type="dxa"/>
              <w:right w:w="140" w:type="dxa"/>
            </w:tcMar>
            <w:vAlign w:val="center"/>
            <w:hideMark/>
          </w:tcPr>
          <w:p w14:paraId="0273FA37"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3%–10%</w:t>
            </w:r>
          </w:p>
        </w:tc>
        <w:tc>
          <w:tcPr>
            <w:tcW w:w="708" w:type="dxa"/>
            <w:shd w:val="clear" w:color="auto" w:fill="E8ECF0"/>
            <w:tcMar>
              <w:top w:w="100" w:type="dxa"/>
              <w:left w:w="140" w:type="dxa"/>
              <w:bottom w:w="100" w:type="dxa"/>
              <w:right w:w="140" w:type="dxa"/>
            </w:tcMar>
            <w:vAlign w:val="center"/>
            <w:hideMark/>
          </w:tcPr>
          <w:p w14:paraId="3652C1B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0%</w:t>
            </w:r>
          </w:p>
        </w:tc>
        <w:tc>
          <w:tcPr>
            <w:tcW w:w="709" w:type="dxa"/>
            <w:shd w:val="clear" w:color="auto" w:fill="E8ECF0"/>
            <w:tcMar>
              <w:top w:w="100" w:type="dxa"/>
              <w:left w:w="140" w:type="dxa"/>
              <w:bottom w:w="100" w:type="dxa"/>
              <w:right w:w="140" w:type="dxa"/>
            </w:tcMar>
            <w:vAlign w:val="center"/>
            <w:hideMark/>
          </w:tcPr>
          <w:p w14:paraId="1FDF142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8%–18%</w:t>
            </w:r>
          </w:p>
        </w:tc>
        <w:tc>
          <w:tcPr>
            <w:tcW w:w="709" w:type="dxa"/>
            <w:shd w:val="clear" w:color="auto" w:fill="E8ECF0"/>
            <w:tcMar>
              <w:top w:w="100" w:type="dxa"/>
              <w:left w:w="140" w:type="dxa"/>
              <w:bottom w:w="100" w:type="dxa"/>
              <w:right w:w="140" w:type="dxa"/>
            </w:tcMar>
            <w:vAlign w:val="center"/>
            <w:hideMark/>
          </w:tcPr>
          <w:p w14:paraId="4C14F841"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25%–40%</w:t>
            </w:r>
          </w:p>
        </w:tc>
        <w:tc>
          <w:tcPr>
            <w:tcW w:w="2693" w:type="dxa"/>
            <w:shd w:val="clear" w:color="auto" w:fill="E8ECF0"/>
            <w:tcMar>
              <w:top w:w="100" w:type="dxa"/>
              <w:left w:w="140" w:type="dxa"/>
              <w:bottom w:w="100" w:type="dxa"/>
              <w:right w:w="140" w:type="dxa"/>
            </w:tcMar>
            <w:vAlign w:val="center"/>
            <w:hideMark/>
          </w:tcPr>
          <w:p w14:paraId="5B84B884"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Footwear should be the primary focus for attracting customers; distribution should be balanced across the three main product lines; apparel can be increased appropriately to coincide with holiday promotions.</w:t>
            </w:r>
          </w:p>
        </w:tc>
      </w:tr>
      <w:tr w:rsidR="00103AAF" w:rsidRPr="0092012C" w14:paraId="5537B7E1" w14:textId="77777777" w:rsidTr="0092012C">
        <w:trPr>
          <w:trHeight w:val="957"/>
        </w:trPr>
        <w:tc>
          <w:tcPr>
            <w:tcW w:w="709" w:type="dxa"/>
            <w:shd w:val="clear" w:color="auto" w:fill="FFFFFF"/>
            <w:tcMar>
              <w:top w:w="100" w:type="dxa"/>
              <w:left w:w="140" w:type="dxa"/>
              <w:bottom w:w="100" w:type="dxa"/>
              <w:right w:w="140" w:type="dxa"/>
            </w:tcMar>
            <w:vAlign w:val="center"/>
            <w:hideMark/>
          </w:tcPr>
          <w:p w14:paraId="715EFFB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t>④</w:t>
            </w:r>
          </w:p>
        </w:tc>
        <w:tc>
          <w:tcPr>
            <w:tcW w:w="1134" w:type="dxa"/>
            <w:shd w:val="clear" w:color="auto" w:fill="FFFFFF"/>
            <w:tcMar>
              <w:top w:w="100" w:type="dxa"/>
              <w:left w:w="140" w:type="dxa"/>
              <w:bottom w:w="100" w:type="dxa"/>
              <w:right w:w="140" w:type="dxa"/>
            </w:tcMar>
            <w:vAlign w:val="center"/>
            <w:hideMark/>
          </w:tcPr>
          <w:p w14:paraId="64853166"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Low spending power + mass customer base</w:t>
            </w:r>
          </w:p>
        </w:tc>
        <w:tc>
          <w:tcPr>
            <w:tcW w:w="1134" w:type="dxa"/>
            <w:shd w:val="clear" w:color="auto" w:fill="FFFFFF"/>
            <w:tcMar>
              <w:top w:w="100" w:type="dxa"/>
              <w:left w:w="140" w:type="dxa"/>
              <w:bottom w:w="100" w:type="dxa"/>
              <w:right w:w="140" w:type="dxa"/>
            </w:tcMar>
            <w:vAlign w:val="center"/>
            <w:hideMark/>
          </w:tcPr>
          <w:p w14:paraId="64C5041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Consumer spending power &lt; 1.929 and Apple's market share &lt; 10%.</w:t>
            </w:r>
          </w:p>
        </w:tc>
        <w:tc>
          <w:tcPr>
            <w:tcW w:w="992" w:type="dxa"/>
            <w:shd w:val="clear" w:color="auto" w:fill="FFFFFF"/>
            <w:tcMar>
              <w:top w:w="100" w:type="dxa"/>
              <w:left w:w="140" w:type="dxa"/>
              <w:bottom w:w="100" w:type="dxa"/>
              <w:right w:w="140" w:type="dxa"/>
            </w:tcMar>
            <w:vAlign w:val="center"/>
            <w:hideMark/>
          </w:tcPr>
          <w:p w14:paraId="753C12F1"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Popular</w:t>
            </w:r>
          </w:p>
        </w:tc>
        <w:tc>
          <w:tcPr>
            <w:tcW w:w="709" w:type="dxa"/>
            <w:shd w:val="clear" w:color="auto" w:fill="FFFFFF"/>
            <w:tcMar>
              <w:top w:w="100" w:type="dxa"/>
              <w:left w:w="140" w:type="dxa"/>
              <w:bottom w:w="100" w:type="dxa"/>
              <w:right w:w="140" w:type="dxa"/>
            </w:tcMar>
            <w:vAlign w:val="center"/>
            <w:hideMark/>
          </w:tcPr>
          <w:p w14:paraId="1CAFA72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60%–75%</w:t>
            </w:r>
          </w:p>
        </w:tc>
        <w:tc>
          <w:tcPr>
            <w:tcW w:w="709" w:type="dxa"/>
            <w:shd w:val="clear" w:color="auto" w:fill="FFFFFF"/>
            <w:tcMar>
              <w:top w:w="100" w:type="dxa"/>
              <w:left w:w="140" w:type="dxa"/>
              <w:bottom w:w="100" w:type="dxa"/>
              <w:right w:w="140" w:type="dxa"/>
            </w:tcMar>
            <w:vAlign w:val="center"/>
            <w:hideMark/>
          </w:tcPr>
          <w:p w14:paraId="19AC69E6"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22%–38%</w:t>
            </w:r>
          </w:p>
        </w:tc>
        <w:tc>
          <w:tcPr>
            <w:tcW w:w="709" w:type="dxa"/>
            <w:shd w:val="clear" w:color="auto" w:fill="FFFFFF"/>
            <w:tcMar>
              <w:top w:w="100" w:type="dxa"/>
              <w:left w:w="140" w:type="dxa"/>
              <w:bottom w:w="100" w:type="dxa"/>
              <w:right w:w="140" w:type="dxa"/>
            </w:tcMar>
            <w:vAlign w:val="center"/>
            <w:hideMark/>
          </w:tcPr>
          <w:p w14:paraId="0667512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2%–8%</w:t>
            </w:r>
          </w:p>
        </w:tc>
        <w:tc>
          <w:tcPr>
            <w:tcW w:w="708" w:type="dxa"/>
            <w:shd w:val="clear" w:color="auto" w:fill="FFFFFF"/>
            <w:tcMar>
              <w:top w:w="100" w:type="dxa"/>
              <w:left w:w="140" w:type="dxa"/>
              <w:bottom w:w="100" w:type="dxa"/>
              <w:right w:w="140" w:type="dxa"/>
            </w:tcMar>
            <w:vAlign w:val="center"/>
            <w:hideMark/>
          </w:tcPr>
          <w:p w14:paraId="44A132A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&lt;2%</w:t>
            </w:r>
          </w:p>
        </w:tc>
        <w:tc>
          <w:tcPr>
            <w:tcW w:w="709" w:type="dxa"/>
            <w:shd w:val="clear" w:color="auto" w:fill="FFFFFF"/>
            <w:tcMar>
              <w:top w:w="100" w:type="dxa"/>
              <w:left w:w="140" w:type="dxa"/>
              <w:bottom w:w="100" w:type="dxa"/>
              <w:right w:w="140" w:type="dxa"/>
            </w:tcMar>
            <w:vAlign w:val="center"/>
            <w:hideMark/>
          </w:tcPr>
          <w:p w14:paraId="77207F8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5%–12%</w:t>
            </w:r>
          </w:p>
        </w:tc>
        <w:tc>
          <w:tcPr>
            <w:tcW w:w="709" w:type="dxa"/>
            <w:shd w:val="clear" w:color="auto" w:fill="FFFFFF"/>
            <w:tcMar>
              <w:top w:w="100" w:type="dxa"/>
              <w:left w:w="140" w:type="dxa"/>
              <w:bottom w:w="100" w:type="dxa"/>
              <w:right w:w="140" w:type="dxa"/>
            </w:tcMar>
            <w:vAlign w:val="center"/>
            <w:hideMark/>
          </w:tcPr>
          <w:p w14:paraId="34C8BECD"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15%–30%</w:t>
            </w:r>
          </w:p>
        </w:tc>
        <w:tc>
          <w:tcPr>
            <w:tcW w:w="2693" w:type="dxa"/>
            <w:shd w:val="clear" w:color="auto" w:fill="FFFFFF"/>
            <w:tcMar>
              <w:top w:w="100" w:type="dxa"/>
              <w:left w:w="140" w:type="dxa"/>
              <w:bottom w:w="100" w:type="dxa"/>
              <w:right w:w="140" w:type="dxa"/>
            </w:tcMar>
            <w:vAlign w:val="center"/>
            <w:hideMark/>
          </w:tcPr>
          <w:p w14:paraId="144C7BD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Other series of running training products are the main focus; the proportion of gold label products is strictly controlled; the national team determines the frequency of exposure based on the city tier.</w:t>
            </w:r>
          </w:p>
        </w:tc>
      </w:tr>
      <w:tr w:rsidR="00103AAF" w:rsidRPr="0092012C" w14:paraId="3F50793B" w14:textId="77777777" w:rsidTr="0092012C">
        <w:trPr>
          <w:trHeight w:val="1980"/>
        </w:trPr>
        <w:tc>
          <w:tcPr>
            <w:tcW w:w="709" w:type="dxa"/>
            <w:shd w:val="clear" w:color="auto" w:fill="E8ECF0"/>
            <w:tcMar>
              <w:top w:w="100" w:type="dxa"/>
              <w:left w:w="140" w:type="dxa"/>
              <w:bottom w:w="100" w:type="dxa"/>
              <w:right w:w="140" w:type="dxa"/>
            </w:tcMar>
            <w:vAlign w:val="center"/>
            <w:hideMark/>
          </w:tcPr>
          <w:p w14:paraId="5596053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lastRenderedPageBreak/>
              <w:t>⑤</w:t>
            </w:r>
          </w:p>
        </w:tc>
        <w:tc>
          <w:tcPr>
            <w:tcW w:w="1134" w:type="dxa"/>
            <w:shd w:val="clear" w:color="auto" w:fill="E8ECF0"/>
            <w:tcMar>
              <w:top w:w="100" w:type="dxa"/>
              <w:left w:w="140" w:type="dxa"/>
              <w:bottom w:w="100" w:type="dxa"/>
              <w:right w:w="140" w:type="dxa"/>
            </w:tcMar>
            <w:vAlign w:val="center"/>
            <w:hideMark/>
          </w:tcPr>
          <w:p w14:paraId="7753A81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Strong second-tier cities + mature customer base</w:t>
            </w:r>
          </w:p>
        </w:tc>
        <w:tc>
          <w:tcPr>
            <w:tcW w:w="1134" w:type="dxa"/>
            <w:shd w:val="clear" w:color="auto" w:fill="E8ECF0"/>
            <w:tcMar>
              <w:top w:w="100" w:type="dxa"/>
              <w:left w:w="140" w:type="dxa"/>
              <w:bottom w:w="100" w:type="dxa"/>
              <w:right w:w="140" w:type="dxa"/>
            </w:tcMar>
            <w:vAlign w:val="center"/>
            <w:hideMark/>
          </w:tcPr>
          <w:p w14:paraId="5F6527CA"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The city tier is 3, and the proportion of people aged 30-44 is high.</w:t>
            </w:r>
          </w:p>
        </w:tc>
        <w:tc>
          <w:tcPr>
            <w:tcW w:w="992" w:type="dxa"/>
            <w:shd w:val="clear" w:color="auto" w:fill="E8ECF0"/>
            <w:tcMar>
              <w:top w:w="100" w:type="dxa"/>
              <w:left w:w="140" w:type="dxa"/>
              <w:bottom w:w="100" w:type="dxa"/>
              <w:right w:w="140" w:type="dxa"/>
            </w:tcMar>
            <w:vAlign w:val="center"/>
            <w:hideMark/>
          </w:tcPr>
          <w:p w14:paraId="46B466B2"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Balanced</w:t>
            </w:r>
          </w:p>
        </w:tc>
        <w:tc>
          <w:tcPr>
            <w:tcW w:w="709" w:type="dxa"/>
            <w:shd w:val="clear" w:color="auto" w:fill="E8ECF0"/>
            <w:tcMar>
              <w:top w:w="100" w:type="dxa"/>
              <w:left w:w="140" w:type="dxa"/>
              <w:bottom w:w="100" w:type="dxa"/>
              <w:right w:w="140" w:type="dxa"/>
            </w:tcMar>
            <w:vAlign w:val="center"/>
            <w:hideMark/>
          </w:tcPr>
          <w:p w14:paraId="11D48D3D"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50%–65%</w:t>
            </w:r>
          </w:p>
        </w:tc>
        <w:tc>
          <w:tcPr>
            <w:tcW w:w="709" w:type="dxa"/>
            <w:shd w:val="clear" w:color="auto" w:fill="E8ECF0"/>
            <w:tcMar>
              <w:top w:w="100" w:type="dxa"/>
              <w:left w:w="140" w:type="dxa"/>
              <w:bottom w:w="100" w:type="dxa"/>
              <w:right w:w="140" w:type="dxa"/>
            </w:tcMar>
            <w:vAlign w:val="center"/>
            <w:hideMark/>
          </w:tcPr>
          <w:p w14:paraId="223B1715"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28%–42%</w:t>
            </w:r>
          </w:p>
        </w:tc>
        <w:tc>
          <w:tcPr>
            <w:tcW w:w="709" w:type="dxa"/>
            <w:shd w:val="clear" w:color="auto" w:fill="E8ECF0"/>
            <w:tcMar>
              <w:top w:w="100" w:type="dxa"/>
              <w:left w:w="140" w:type="dxa"/>
              <w:bottom w:w="100" w:type="dxa"/>
              <w:right w:w="140" w:type="dxa"/>
            </w:tcMar>
            <w:vAlign w:val="center"/>
            <w:hideMark/>
          </w:tcPr>
          <w:p w14:paraId="4FF143C4"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5%–12%</w:t>
            </w:r>
          </w:p>
        </w:tc>
        <w:tc>
          <w:tcPr>
            <w:tcW w:w="708" w:type="dxa"/>
            <w:shd w:val="clear" w:color="auto" w:fill="E8ECF0"/>
            <w:tcMar>
              <w:top w:w="100" w:type="dxa"/>
              <w:left w:w="140" w:type="dxa"/>
              <w:bottom w:w="100" w:type="dxa"/>
              <w:right w:w="140" w:type="dxa"/>
            </w:tcMar>
            <w:vAlign w:val="center"/>
            <w:hideMark/>
          </w:tcPr>
          <w:p w14:paraId="75C18673"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0%</w:t>
            </w:r>
          </w:p>
        </w:tc>
        <w:tc>
          <w:tcPr>
            <w:tcW w:w="709" w:type="dxa"/>
            <w:shd w:val="clear" w:color="auto" w:fill="E8ECF0"/>
            <w:tcMar>
              <w:top w:w="100" w:type="dxa"/>
              <w:left w:w="140" w:type="dxa"/>
              <w:bottom w:w="100" w:type="dxa"/>
              <w:right w:w="140" w:type="dxa"/>
            </w:tcMar>
            <w:vAlign w:val="center"/>
            <w:hideMark/>
          </w:tcPr>
          <w:p w14:paraId="1C4FD839"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10%–20%</w:t>
            </w:r>
          </w:p>
        </w:tc>
        <w:tc>
          <w:tcPr>
            <w:tcW w:w="709" w:type="dxa"/>
            <w:shd w:val="clear" w:color="auto" w:fill="E8ECF0"/>
            <w:tcMar>
              <w:top w:w="100" w:type="dxa"/>
              <w:left w:w="140" w:type="dxa"/>
              <w:bottom w:w="100" w:type="dxa"/>
              <w:right w:w="140" w:type="dxa"/>
            </w:tcMar>
            <w:vAlign w:val="center"/>
            <w:hideMark/>
          </w:tcPr>
          <w:p w14:paraId="3E26D2A8"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25%–40%</w:t>
            </w:r>
          </w:p>
        </w:tc>
        <w:tc>
          <w:tcPr>
            <w:tcW w:w="2693" w:type="dxa"/>
            <w:shd w:val="clear" w:color="auto" w:fill="E8ECF0"/>
            <w:tcMar>
              <w:top w:w="100" w:type="dxa"/>
              <w:left w:w="140" w:type="dxa"/>
              <w:bottom w:w="100" w:type="dxa"/>
              <w:right w:w="140" w:type="dxa"/>
            </w:tcMar>
            <w:vAlign w:val="center"/>
            <w:hideMark/>
          </w:tcPr>
          <w:p w14:paraId="726C4999"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The target customer group is mature, aged 30-44, with a target value of r=0.625**; the apparel focuses on lifestyle styles such as hoodies and sweatpants; the gold label allows for limited-time small-batch testing.</w:t>
            </w:r>
          </w:p>
        </w:tc>
      </w:tr>
      <w:tr w:rsidR="00103AAF" w:rsidRPr="0092012C" w14:paraId="663B2425" w14:textId="77777777" w:rsidTr="0092012C">
        <w:trPr>
          <w:trHeight w:val="1500"/>
        </w:trPr>
        <w:tc>
          <w:tcPr>
            <w:tcW w:w="709" w:type="dxa"/>
            <w:shd w:val="clear" w:color="auto" w:fill="FFFFFF"/>
            <w:tcMar>
              <w:top w:w="100" w:type="dxa"/>
              <w:left w:w="140" w:type="dxa"/>
              <w:bottom w:w="100" w:type="dxa"/>
              <w:right w:w="140" w:type="dxa"/>
            </w:tcMar>
            <w:vAlign w:val="center"/>
            <w:hideMark/>
          </w:tcPr>
          <w:p w14:paraId="0D478FA6"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ascii="Cambria Math" w:eastAsia="微软雅黑" w:hAnsi="Cambria Math" w:cs="Cambria Math"/>
                <w:color w:val="1A1A1A"/>
                <w:sz w:val="21"/>
                <w:szCs w:val="21"/>
                <w:lang w:eastAsia="zh-CN"/>
              </w:rPr>
              <w:t>⑥</w:t>
            </w:r>
          </w:p>
        </w:tc>
        <w:tc>
          <w:tcPr>
            <w:tcW w:w="1134" w:type="dxa"/>
            <w:shd w:val="clear" w:color="auto" w:fill="FFFFFF"/>
            <w:tcMar>
              <w:top w:w="100" w:type="dxa"/>
              <w:left w:w="140" w:type="dxa"/>
              <w:bottom w:w="100" w:type="dxa"/>
              <w:right w:w="140" w:type="dxa"/>
            </w:tcMar>
            <w:vAlign w:val="center"/>
            <w:hideMark/>
          </w:tcPr>
          <w:p w14:paraId="0D5E8429"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Second and third-tier cities + low competition density</w:t>
            </w:r>
          </w:p>
        </w:tc>
        <w:tc>
          <w:tcPr>
            <w:tcW w:w="1134" w:type="dxa"/>
            <w:shd w:val="clear" w:color="auto" w:fill="FFFFFF"/>
            <w:tcMar>
              <w:top w:w="100" w:type="dxa"/>
              <w:left w:w="140" w:type="dxa"/>
              <w:bottom w:w="100" w:type="dxa"/>
              <w:right w:w="140" w:type="dxa"/>
            </w:tcMar>
            <w:vAlign w:val="center"/>
            <w:hideMark/>
          </w:tcPr>
          <w:p w14:paraId="7E00DCDA"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City-level cities ≤ 2 and no high-end competitors.</w:t>
            </w:r>
          </w:p>
        </w:tc>
        <w:tc>
          <w:tcPr>
            <w:tcW w:w="992" w:type="dxa"/>
            <w:shd w:val="clear" w:color="auto" w:fill="FFFFFF"/>
            <w:tcMar>
              <w:top w:w="100" w:type="dxa"/>
              <w:left w:w="140" w:type="dxa"/>
              <w:bottom w:w="100" w:type="dxa"/>
              <w:right w:w="140" w:type="dxa"/>
            </w:tcMar>
            <w:vAlign w:val="center"/>
            <w:hideMark/>
          </w:tcPr>
          <w:p w14:paraId="02258DB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b/>
                <w:bCs/>
                <w:color w:val="1A1A1A"/>
                <w:sz w:val="21"/>
                <w:szCs w:val="21"/>
                <w:lang w:eastAsia="zh-CN"/>
              </w:rPr>
              <w:t>Popular</w:t>
            </w:r>
          </w:p>
        </w:tc>
        <w:tc>
          <w:tcPr>
            <w:tcW w:w="709" w:type="dxa"/>
            <w:shd w:val="clear" w:color="auto" w:fill="FFFFFF"/>
            <w:tcMar>
              <w:top w:w="100" w:type="dxa"/>
              <w:left w:w="140" w:type="dxa"/>
              <w:bottom w:w="100" w:type="dxa"/>
              <w:right w:w="140" w:type="dxa"/>
            </w:tcMar>
            <w:vAlign w:val="center"/>
            <w:hideMark/>
          </w:tcPr>
          <w:p w14:paraId="75BB268E"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62%–78%</w:t>
            </w:r>
          </w:p>
        </w:tc>
        <w:tc>
          <w:tcPr>
            <w:tcW w:w="709" w:type="dxa"/>
            <w:shd w:val="clear" w:color="auto" w:fill="FFFFFF"/>
            <w:tcMar>
              <w:top w:w="100" w:type="dxa"/>
              <w:left w:w="140" w:type="dxa"/>
              <w:bottom w:w="100" w:type="dxa"/>
              <w:right w:w="140" w:type="dxa"/>
            </w:tcMar>
            <w:vAlign w:val="center"/>
            <w:hideMark/>
          </w:tcPr>
          <w:p w14:paraId="27C31DCF"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20%–35%</w:t>
            </w:r>
          </w:p>
        </w:tc>
        <w:tc>
          <w:tcPr>
            <w:tcW w:w="709" w:type="dxa"/>
            <w:shd w:val="clear" w:color="auto" w:fill="FFFFFF"/>
            <w:tcMar>
              <w:top w:w="100" w:type="dxa"/>
              <w:left w:w="140" w:type="dxa"/>
              <w:bottom w:w="100" w:type="dxa"/>
              <w:right w:w="140" w:type="dxa"/>
            </w:tcMar>
            <w:vAlign w:val="center"/>
            <w:hideMark/>
          </w:tcPr>
          <w:p w14:paraId="035B614C"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2%–8%</w:t>
            </w:r>
          </w:p>
        </w:tc>
        <w:tc>
          <w:tcPr>
            <w:tcW w:w="708" w:type="dxa"/>
            <w:shd w:val="clear" w:color="auto" w:fill="FFFFFF"/>
            <w:tcMar>
              <w:top w:w="100" w:type="dxa"/>
              <w:left w:w="140" w:type="dxa"/>
              <w:bottom w:w="100" w:type="dxa"/>
              <w:right w:w="140" w:type="dxa"/>
            </w:tcMar>
            <w:vAlign w:val="center"/>
            <w:hideMark/>
          </w:tcPr>
          <w:p w14:paraId="63B064F1"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&lt;1%</w:t>
            </w:r>
          </w:p>
        </w:tc>
        <w:tc>
          <w:tcPr>
            <w:tcW w:w="709" w:type="dxa"/>
            <w:shd w:val="clear" w:color="auto" w:fill="FFFFFF"/>
            <w:tcMar>
              <w:top w:w="100" w:type="dxa"/>
              <w:left w:w="140" w:type="dxa"/>
              <w:bottom w:w="100" w:type="dxa"/>
              <w:right w:w="140" w:type="dxa"/>
            </w:tcMar>
            <w:vAlign w:val="center"/>
            <w:hideMark/>
          </w:tcPr>
          <w:p w14:paraId="011D6492"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3%–10%</w:t>
            </w:r>
          </w:p>
        </w:tc>
        <w:tc>
          <w:tcPr>
            <w:tcW w:w="709" w:type="dxa"/>
            <w:shd w:val="clear" w:color="auto" w:fill="FFFFFF"/>
            <w:tcMar>
              <w:top w:w="100" w:type="dxa"/>
              <w:left w:w="140" w:type="dxa"/>
              <w:bottom w:w="100" w:type="dxa"/>
              <w:right w:w="140" w:type="dxa"/>
            </w:tcMar>
            <w:vAlign w:val="center"/>
            <w:hideMark/>
          </w:tcPr>
          <w:p w14:paraId="5FA7E18B"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15%–30%</w:t>
            </w:r>
          </w:p>
        </w:tc>
        <w:tc>
          <w:tcPr>
            <w:tcW w:w="2693" w:type="dxa"/>
            <w:shd w:val="clear" w:color="auto" w:fill="FFFFFF"/>
            <w:tcMar>
              <w:top w:w="100" w:type="dxa"/>
              <w:left w:w="140" w:type="dxa"/>
              <w:bottom w:w="100" w:type="dxa"/>
              <w:right w:w="140" w:type="dxa"/>
            </w:tcMar>
            <w:vAlign w:val="center"/>
            <w:hideMark/>
          </w:tcPr>
          <w:p w14:paraId="46848DA7" w14:textId="77777777" w:rsidR="00103AAF" w:rsidRPr="0092012C" w:rsidRDefault="00103AAF" w:rsidP="00923C4E">
            <w:pPr>
              <w:widowControl/>
              <w:autoSpaceDE/>
              <w:autoSpaceDN/>
              <w:spacing w:before="40" w:after="40"/>
              <w:ind w:left="-40"/>
              <w:jc w:val="center"/>
              <w:rPr>
                <w:rFonts w:eastAsia="等线"/>
                <w:sz w:val="21"/>
                <w:szCs w:val="21"/>
                <w:lang w:eastAsia="zh-CN"/>
              </w:rPr>
            </w:pPr>
            <w:r w:rsidRPr="0092012C">
              <w:rPr>
                <w:rFonts w:eastAsia="微软雅黑"/>
                <w:color w:val="1A1A1A"/>
                <w:sz w:val="21"/>
                <w:szCs w:val="21"/>
                <w:lang w:eastAsia="zh-CN"/>
              </w:rPr>
              <w:t>Basic running training products establish local brand awareness; a minimum percentage of products equipped with Gold Label certification serves as a signal of brand upgrade.</w:t>
            </w:r>
          </w:p>
        </w:tc>
      </w:tr>
    </w:tbl>
    <w:p w14:paraId="26EC2C6F" w14:textId="4FB168A3" w:rsidR="00103AAF" w:rsidRPr="00103AAF" w:rsidRDefault="00103AAF" w:rsidP="00923C4E">
      <w:pPr>
        <w:pStyle w:val="2"/>
        <w:ind w:right="0"/>
        <w:rPr>
          <w:lang w:eastAsia="zh-CN"/>
        </w:rPr>
      </w:pPr>
      <w:bookmarkStart w:id="42" w:name="_Toc229242140"/>
      <w:r w:rsidRPr="00103AAF">
        <w:rPr>
          <w:lang w:eastAsia="zh-CN"/>
        </w:rPr>
        <w:t>Limitations</w:t>
      </w:r>
      <w:bookmarkEnd w:id="42"/>
    </w:p>
    <w:tbl>
      <w:tblPr>
        <w:tblW w:w="10205" w:type="dxa"/>
        <w:tblBorders>
          <w:top w:val="single" w:sz="12" w:space="0" w:color="auto"/>
          <w:left w:val="single" w:sz="12" w:space="0" w:color="auto"/>
          <w:bottom w:val="single" w:sz="12" w:space="0" w:color="auto"/>
          <w:right w:val="single" w:sz="12" w:space="0" w:color="auto"/>
          <w:insideH w:val="single" w:sz="4" w:space="0" w:color="BDC3C7"/>
          <w:insideV w:val="single" w:sz="4" w:space="0" w:color="BDC3C7"/>
        </w:tblBorders>
        <w:tblLayout w:type="fixed"/>
        <w:tblCellMar>
          <w:top w:w="15" w:type="dxa"/>
          <w:left w:w="15" w:type="dxa"/>
          <w:bottom w:w="15" w:type="dxa"/>
          <w:right w:w="15" w:type="dxa"/>
        </w:tblCellMar>
        <w:tblLook w:val="04A0" w:firstRow="1" w:lastRow="0" w:firstColumn="1" w:lastColumn="0" w:noHBand="0" w:noVBand="1"/>
      </w:tblPr>
      <w:tblGrid>
        <w:gridCol w:w="2267"/>
        <w:gridCol w:w="3944"/>
        <w:gridCol w:w="3994"/>
      </w:tblGrid>
      <w:tr w:rsidR="00103AAF" w:rsidRPr="00103AAF" w14:paraId="3D4A7417" w14:textId="77777777" w:rsidTr="0092012C">
        <w:trPr>
          <w:trHeight w:val="795"/>
        </w:trPr>
        <w:tc>
          <w:tcPr>
            <w:tcW w:w="2267" w:type="dxa"/>
            <w:shd w:val="clear" w:color="auto" w:fill="C00000"/>
            <w:tcMar>
              <w:top w:w="100" w:type="dxa"/>
              <w:left w:w="140" w:type="dxa"/>
              <w:bottom w:w="100" w:type="dxa"/>
              <w:right w:w="140" w:type="dxa"/>
            </w:tcMar>
            <w:vAlign w:val="center"/>
            <w:hideMark/>
          </w:tcPr>
          <w:p w14:paraId="16C48EA3"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FFFFFF"/>
                <w:sz w:val="24"/>
                <w:szCs w:val="24"/>
                <w:lang w:eastAsia="zh-CN"/>
              </w:rPr>
              <w:t>Limitations</w:t>
            </w:r>
          </w:p>
        </w:tc>
        <w:tc>
          <w:tcPr>
            <w:tcW w:w="3944" w:type="dxa"/>
            <w:shd w:val="clear" w:color="auto" w:fill="C00000"/>
            <w:tcMar>
              <w:top w:w="100" w:type="dxa"/>
              <w:left w:w="140" w:type="dxa"/>
              <w:bottom w:w="100" w:type="dxa"/>
              <w:right w:w="140" w:type="dxa"/>
            </w:tcMar>
            <w:vAlign w:val="center"/>
            <w:hideMark/>
          </w:tcPr>
          <w:p w14:paraId="0DA0CA66"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FFFFFF"/>
                <w:sz w:val="24"/>
                <w:szCs w:val="24"/>
                <w:lang w:eastAsia="zh-CN"/>
              </w:rPr>
              <w:t>Detailed Explanation</w:t>
            </w:r>
          </w:p>
        </w:tc>
        <w:tc>
          <w:tcPr>
            <w:tcW w:w="3994" w:type="dxa"/>
            <w:shd w:val="clear" w:color="auto" w:fill="C00000"/>
            <w:tcMar>
              <w:top w:w="100" w:type="dxa"/>
              <w:left w:w="140" w:type="dxa"/>
              <w:bottom w:w="100" w:type="dxa"/>
              <w:right w:w="140" w:type="dxa"/>
            </w:tcMar>
            <w:vAlign w:val="center"/>
            <w:hideMark/>
          </w:tcPr>
          <w:p w14:paraId="6C8173F5"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FFFFFF"/>
                <w:sz w:val="24"/>
                <w:szCs w:val="24"/>
                <w:lang w:eastAsia="zh-CN"/>
              </w:rPr>
              <w:t>Recommended response</w:t>
            </w:r>
          </w:p>
        </w:tc>
      </w:tr>
      <w:tr w:rsidR="00103AAF" w:rsidRPr="00103AAF" w14:paraId="7D40D7F7" w14:textId="77777777" w:rsidTr="0092012C">
        <w:trPr>
          <w:trHeight w:val="795"/>
        </w:trPr>
        <w:tc>
          <w:tcPr>
            <w:tcW w:w="2267" w:type="dxa"/>
            <w:shd w:val="clear" w:color="auto" w:fill="E8ECF0"/>
            <w:tcMar>
              <w:top w:w="100" w:type="dxa"/>
              <w:left w:w="140" w:type="dxa"/>
              <w:bottom w:w="100" w:type="dxa"/>
              <w:right w:w="140" w:type="dxa"/>
            </w:tcMar>
            <w:vAlign w:val="center"/>
            <w:hideMark/>
          </w:tcPr>
          <w:p w14:paraId="6C547A62"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t>Sample size limit</w:t>
            </w:r>
          </w:p>
        </w:tc>
        <w:tc>
          <w:tcPr>
            <w:tcW w:w="3944" w:type="dxa"/>
            <w:shd w:val="clear" w:color="auto" w:fill="E8ECF0"/>
            <w:tcMar>
              <w:top w:w="100" w:type="dxa"/>
              <w:left w:w="140" w:type="dxa"/>
              <w:bottom w:w="100" w:type="dxa"/>
              <w:right w:w="140" w:type="dxa"/>
            </w:tcMar>
            <w:vAlign w:val="center"/>
            <w:hideMark/>
          </w:tcPr>
          <w:p w14:paraId="7FE7EE3E"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With n=15, only 2 companies qualified for the balanced type and 2 for the specialized clothing type, resulting in limited statistical confidence for all ratio intervals.</w:t>
            </w:r>
          </w:p>
        </w:tc>
        <w:tc>
          <w:tcPr>
            <w:tcW w:w="3994" w:type="dxa"/>
            <w:shd w:val="clear" w:color="auto" w:fill="E8ECF0"/>
            <w:tcMar>
              <w:top w:w="100" w:type="dxa"/>
              <w:left w:w="140" w:type="dxa"/>
              <w:bottom w:w="100" w:type="dxa"/>
              <w:right w:w="140" w:type="dxa"/>
            </w:tcMar>
            <w:vAlign w:val="center"/>
            <w:hideMark/>
          </w:tcPr>
          <w:p w14:paraId="7FABCF68"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conclusion is positioned as a "descriptive grading reference" rather than a precise prediction; it will be re-validated after the number of regular stores (n≥30) reaches a certain level.</w:t>
            </w:r>
          </w:p>
        </w:tc>
      </w:tr>
      <w:tr w:rsidR="00103AAF" w:rsidRPr="00103AAF" w14:paraId="4FD0C453" w14:textId="77777777" w:rsidTr="0092012C">
        <w:trPr>
          <w:trHeight w:val="311"/>
        </w:trPr>
        <w:tc>
          <w:tcPr>
            <w:tcW w:w="2267" w:type="dxa"/>
            <w:shd w:val="clear" w:color="auto" w:fill="FFFFFF"/>
            <w:tcMar>
              <w:top w:w="100" w:type="dxa"/>
              <w:left w:w="140" w:type="dxa"/>
              <w:bottom w:w="100" w:type="dxa"/>
              <w:right w:w="140" w:type="dxa"/>
            </w:tcMar>
            <w:vAlign w:val="center"/>
            <w:hideMark/>
          </w:tcPr>
          <w:p w14:paraId="3BAA236E"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t>Gold Standard Prediction Difficult</w:t>
            </w:r>
          </w:p>
        </w:tc>
        <w:tc>
          <w:tcPr>
            <w:tcW w:w="3944" w:type="dxa"/>
            <w:shd w:val="clear" w:color="auto" w:fill="FFFFFF"/>
            <w:tcMar>
              <w:top w:w="100" w:type="dxa"/>
              <w:left w:w="140" w:type="dxa"/>
              <w:bottom w:w="100" w:type="dxa"/>
              <w:right w:w="140" w:type="dxa"/>
            </w:tcMar>
            <w:vAlign w:val="center"/>
            <w:hideMark/>
          </w:tcPr>
          <w:p w14:paraId="091E00D1"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Spearman|r| for the gold label and all six profile features is &lt;0.40, and the RF LOO-R² is −0.425. The driving factors for the gold label (display location/salesperson recommendation/local competitor promotions) cannot be captured in the current dataset.</w:t>
            </w:r>
          </w:p>
        </w:tc>
        <w:tc>
          <w:tcPr>
            <w:tcW w:w="3994" w:type="dxa"/>
            <w:shd w:val="clear" w:color="auto" w:fill="FFFFFF"/>
            <w:tcMar>
              <w:top w:w="100" w:type="dxa"/>
              <w:left w:w="140" w:type="dxa"/>
              <w:bottom w:w="100" w:type="dxa"/>
              <w:right w:w="140" w:type="dxa"/>
            </w:tcMar>
            <w:vAlign w:val="center"/>
            <w:hideMark/>
          </w:tcPr>
          <w:p w14:paraId="5F11FAD6"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recommended gold standard ratio has the lowest confidence level; after opening, it should be dynamically adjusted based on actual sales data.</w:t>
            </w:r>
          </w:p>
        </w:tc>
      </w:tr>
      <w:tr w:rsidR="00103AAF" w:rsidRPr="00103AAF" w14:paraId="0FB1BF8E" w14:textId="77777777" w:rsidTr="0092012C">
        <w:trPr>
          <w:trHeight w:val="1035"/>
        </w:trPr>
        <w:tc>
          <w:tcPr>
            <w:tcW w:w="2267" w:type="dxa"/>
            <w:shd w:val="clear" w:color="auto" w:fill="E8ECF0"/>
            <w:tcMar>
              <w:top w:w="100" w:type="dxa"/>
              <w:left w:w="140" w:type="dxa"/>
              <w:bottom w:w="100" w:type="dxa"/>
              <w:right w:w="140" w:type="dxa"/>
            </w:tcMar>
            <w:vAlign w:val="center"/>
            <w:hideMark/>
          </w:tcPr>
          <w:p w14:paraId="1708832A"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t>Portrait agency stores</w:t>
            </w:r>
          </w:p>
        </w:tc>
        <w:tc>
          <w:tcPr>
            <w:tcW w:w="3944" w:type="dxa"/>
            <w:shd w:val="clear" w:color="auto" w:fill="E8ECF0"/>
            <w:tcMar>
              <w:top w:w="100" w:type="dxa"/>
              <w:left w:w="140" w:type="dxa"/>
              <w:bottom w:w="100" w:type="dxa"/>
              <w:right w:w="140" w:type="dxa"/>
            </w:tcMar>
            <w:vAlign w:val="center"/>
            <w:hideMark/>
          </w:tcPr>
          <w:p w14:paraId="3C9CA206"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Four shopping malls in Nanjing, Chongqing, Changchun, and Beijing's Wangfujing area used local agent profiles, but the accuracy of features such as purchasing power is limited, and the scorecard scores may be underestimated.</w:t>
            </w:r>
          </w:p>
        </w:tc>
        <w:tc>
          <w:tcPr>
            <w:tcW w:w="3994" w:type="dxa"/>
            <w:shd w:val="clear" w:color="auto" w:fill="E8ECF0"/>
            <w:tcMar>
              <w:top w:w="100" w:type="dxa"/>
              <w:left w:w="140" w:type="dxa"/>
              <w:bottom w:w="100" w:type="dxa"/>
              <w:right w:w="140" w:type="dxa"/>
            </w:tcMar>
            <w:vAlign w:val="center"/>
            <w:hideMark/>
          </w:tcPr>
          <w:p w14:paraId="600089C2"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K-NN reference results for these four stores are too conservative; it is recommended to obtain more accurate profiles and re-evaluate them.</w:t>
            </w:r>
          </w:p>
        </w:tc>
      </w:tr>
      <w:tr w:rsidR="00103AAF" w:rsidRPr="00103AAF" w14:paraId="44BD80F0" w14:textId="77777777" w:rsidTr="0092012C">
        <w:trPr>
          <w:trHeight w:val="795"/>
        </w:trPr>
        <w:tc>
          <w:tcPr>
            <w:tcW w:w="2267" w:type="dxa"/>
            <w:shd w:val="clear" w:color="auto" w:fill="FFFFFF"/>
            <w:tcMar>
              <w:top w:w="100" w:type="dxa"/>
              <w:left w:w="140" w:type="dxa"/>
              <w:bottom w:w="100" w:type="dxa"/>
              <w:right w:w="140" w:type="dxa"/>
            </w:tcMar>
            <w:vAlign w:val="center"/>
            <w:hideMark/>
          </w:tcPr>
          <w:p w14:paraId="310E6987"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t>Seasonal deviation</w:t>
            </w:r>
          </w:p>
        </w:tc>
        <w:tc>
          <w:tcPr>
            <w:tcW w:w="3944" w:type="dxa"/>
            <w:shd w:val="clear" w:color="auto" w:fill="FFFFFF"/>
            <w:tcMar>
              <w:top w:w="100" w:type="dxa"/>
              <w:left w:w="140" w:type="dxa"/>
              <w:bottom w:w="100" w:type="dxa"/>
              <w:right w:w="140" w:type="dxa"/>
            </w:tcMar>
            <w:vAlign w:val="center"/>
            <w:hideMark/>
          </w:tcPr>
          <w:p w14:paraId="10F329B3"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data is from the winter/spring season of Q1 2026, showing that the footwear and apparel pairing is significantly driven by seasonality.</w:t>
            </w:r>
          </w:p>
        </w:tc>
        <w:tc>
          <w:tcPr>
            <w:tcW w:w="3994" w:type="dxa"/>
            <w:shd w:val="clear" w:color="auto" w:fill="FFFFFF"/>
            <w:tcMar>
              <w:top w:w="100" w:type="dxa"/>
              <w:left w:w="140" w:type="dxa"/>
              <w:bottom w:w="100" w:type="dxa"/>
              <w:right w:w="140" w:type="dxa"/>
            </w:tcMar>
            <w:vAlign w:val="center"/>
            <w:hideMark/>
          </w:tcPr>
          <w:p w14:paraId="5B9380B5"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recommended ratio only represents the pattern in Q1; it needs to be re-validated after accumulating data in Q2/Q3.</w:t>
            </w:r>
          </w:p>
        </w:tc>
      </w:tr>
      <w:tr w:rsidR="00103AAF" w:rsidRPr="00103AAF" w14:paraId="43832DF4" w14:textId="77777777" w:rsidTr="0092012C">
        <w:trPr>
          <w:trHeight w:val="1035"/>
        </w:trPr>
        <w:tc>
          <w:tcPr>
            <w:tcW w:w="2267" w:type="dxa"/>
            <w:shd w:val="clear" w:color="auto" w:fill="E8ECF0"/>
            <w:tcMar>
              <w:top w:w="100" w:type="dxa"/>
              <w:left w:w="140" w:type="dxa"/>
              <w:bottom w:w="100" w:type="dxa"/>
              <w:right w:w="140" w:type="dxa"/>
            </w:tcMar>
            <w:vAlign w:val="center"/>
            <w:hideMark/>
          </w:tcPr>
          <w:p w14:paraId="35084138"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lastRenderedPageBreak/>
              <w:t>Current stage of formula limitations</w:t>
            </w:r>
          </w:p>
        </w:tc>
        <w:tc>
          <w:tcPr>
            <w:tcW w:w="3944" w:type="dxa"/>
            <w:shd w:val="clear" w:color="auto" w:fill="E8ECF0"/>
            <w:tcMar>
              <w:top w:w="100" w:type="dxa"/>
              <w:left w:w="140" w:type="dxa"/>
              <w:bottom w:w="100" w:type="dxa"/>
              <w:right w:w="140" w:type="dxa"/>
            </w:tcMar>
            <w:vAlign w:val="center"/>
            <w:hideMark/>
          </w:tcPr>
          <w:p w14:paraId="18BAC681"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The current recommended ratios are based on the "average ratios of similar stores in the past," reflecting "what happened in the past," rather than "what the optimal ratios should be."</w:t>
            </w:r>
          </w:p>
        </w:tc>
        <w:tc>
          <w:tcPr>
            <w:tcW w:w="3994" w:type="dxa"/>
            <w:shd w:val="clear" w:color="auto" w:fill="E8ECF0"/>
            <w:tcMar>
              <w:top w:w="100" w:type="dxa"/>
              <w:left w:w="140" w:type="dxa"/>
              <w:bottom w:w="100" w:type="dxa"/>
              <w:right w:w="140" w:type="dxa"/>
            </w:tcMar>
            <w:vAlign w:val="center"/>
            <w:hideMark/>
          </w:tcPr>
          <w:p w14:paraId="505E0F70"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After ≥8 weeks of regular store operation, the recommendations will be upgraded to be based on "high-performance weeks" to truly reflect which ratios led to increased sales.</w:t>
            </w:r>
          </w:p>
        </w:tc>
      </w:tr>
      <w:tr w:rsidR="00103AAF" w:rsidRPr="00103AAF" w14:paraId="09347535" w14:textId="77777777" w:rsidTr="0092012C">
        <w:trPr>
          <w:trHeight w:val="795"/>
        </w:trPr>
        <w:tc>
          <w:tcPr>
            <w:tcW w:w="2267" w:type="dxa"/>
            <w:shd w:val="clear" w:color="auto" w:fill="FFFFFF"/>
            <w:tcMar>
              <w:top w:w="100" w:type="dxa"/>
              <w:left w:w="140" w:type="dxa"/>
              <w:bottom w:w="100" w:type="dxa"/>
              <w:right w:w="140" w:type="dxa"/>
            </w:tcMar>
            <w:vAlign w:val="center"/>
            <w:hideMark/>
          </w:tcPr>
          <w:p w14:paraId="1A86C38F"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b/>
                <w:bCs/>
                <w:color w:val="1A1A1A"/>
                <w:sz w:val="24"/>
                <w:szCs w:val="24"/>
                <w:lang w:eastAsia="zh-CN"/>
              </w:rPr>
              <w:t>External validity boundary</w:t>
            </w:r>
          </w:p>
        </w:tc>
        <w:tc>
          <w:tcPr>
            <w:tcW w:w="3944" w:type="dxa"/>
            <w:shd w:val="clear" w:color="auto" w:fill="FFFFFF"/>
            <w:tcMar>
              <w:top w:w="100" w:type="dxa"/>
              <w:left w:w="140" w:type="dxa"/>
              <w:bottom w:w="100" w:type="dxa"/>
              <w:right w:w="140" w:type="dxa"/>
            </w:tcMar>
            <w:vAlign w:val="center"/>
            <w:hideMark/>
          </w:tcPr>
          <w:p w14:paraId="3F08F73A"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This tool is only applicable to shopping centers (first-tier to strong second-tier cities) that have a similar profile to the 15 historical shopping malls.</w:t>
            </w:r>
          </w:p>
        </w:tc>
        <w:tc>
          <w:tcPr>
            <w:tcW w:w="3994" w:type="dxa"/>
            <w:shd w:val="clear" w:color="auto" w:fill="FFFFFF"/>
            <w:tcMar>
              <w:top w:w="100" w:type="dxa"/>
              <w:left w:w="140" w:type="dxa"/>
              <w:bottom w:w="100" w:type="dxa"/>
              <w:right w:w="140" w:type="dxa"/>
            </w:tcMar>
            <w:vAlign w:val="center"/>
            <w:hideMark/>
          </w:tcPr>
          <w:p w14:paraId="56014156" w14:textId="77777777" w:rsidR="00103AAF" w:rsidRPr="0092012C" w:rsidRDefault="00103AAF" w:rsidP="00923C4E">
            <w:pPr>
              <w:widowControl/>
              <w:autoSpaceDE/>
              <w:autoSpaceDN/>
              <w:spacing w:before="40" w:after="40"/>
              <w:ind w:left="-40"/>
              <w:jc w:val="center"/>
              <w:rPr>
                <w:rFonts w:eastAsia="等线"/>
                <w:sz w:val="24"/>
                <w:szCs w:val="24"/>
                <w:lang w:eastAsia="zh-CN"/>
              </w:rPr>
            </w:pPr>
            <w:r w:rsidRPr="0092012C">
              <w:rPr>
                <w:rFonts w:eastAsia="微软雅黑"/>
                <w:color w:val="1A1A1A"/>
                <w:sz w:val="24"/>
                <w:szCs w:val="24"/>
                <w:lang w:eastAsia="zh-CN"/>
              </w:rPr>
              <w:t>Please do not use this directly in new business formats such as county-level cities, department stores, and outlet malls.</w:t>
            </w:r>
          </w:p>
        </w:tc>
      </w:tr>
    </w:tbl>
    <w:p w14:paraId="1084794E" w14:textId="1EBBA5F0" w:rsidR="001A7AA4" w:rsidRDefault="001A7AA4" w:rsidP="00923C4E">
      <w:pPr>
        <w:pStyle w:val="1"/>
        <w:numPr>
          <w:ilvl w:val="0"/>
          <w:numId w:val="0"/>
        </w:numPr>
        <w:rPr>
          <w:rFonts w:eastAsia="宋体"/>
          <w:lang w:eastAsia="zh-CN"/>
        </w:rPr>
      </w:pPr>
    </w:p>
    <w:p w14:paraId="1FD997FE" w14:textId="77777777" w:rsidR="001A7AA4" w:rsidRDefault="001A7AA4" w:rsidP="00923C4E">
      <w:pPr>
        <w:rPr>
          <w:rFonts w:eastAsia="宋体"/>
          <w:b/>
          <w:bCs/>
          <w:sz w:val="49"/>
          <w:szCs w:val="49"/>
          <w:lang w:eastAsia="zh-CN"/>
        </w:rPr>
      </w:pPr>
      <w:r>
        <w:rPr>
          <w:rFonts w:eastAsia="宋体"/>
          <w:lang w:eastAsia="zh-CN"/>
        </w:rPr>
        <w:br w:type="page"/>
      </w:r>
    </w:p>
    <w:p w14:paraId="047ED30B" w14:textId="452E5630" w:rsidR="00103AAF" w:rsidRPr="00103AAF" w:rsidRDefault="00103AAF" w:rsidP="00923C4E">
      <w:pPr>
        <w:pStyle w:val="1"/>
        <w:rPr>
          <w:rFonts w:eastAsia="宋体"/>
          <w:lang w:eastAsia="zh-CN"/>
        </w:rPr>
      </w:pPr>
      <w:bookmarkStart w:id="43" w:name="_Toc229242141"/>
      <w:r w:rsidRPr="00103AAF">
        <w:rPr>
          <w:rFonts w:eastAsia="宋体"/>
          <w:lang w:eastAsia="zh-CN"/>
        </w:rPr>
        <w:lastRenderedPageBreak/>
        <w:t>Conclusion and Future</w:t>
      </w:r>
      <w:bookmarkEnd w:id="43"/>
    </w:p>
    <w:p w14:paraId="10730EC9" w14:textId="7BDA35B9" w:rsidR="00103AAF" w:rsidRPr="00103AAF" w:rsidRDefault="00103AAF" w:rsidP="00923C4E">
      <w:pPr>
        <w:pStyle w:val="2"/>
        <w:ind w:right="0"/>
        <w:rPr>
          <w:lang w:eastAsia="zh-CN"/>
        </w:rPr>
      </w:pPr>
      <w:bookmarkStart w:id="44" w:name="_Toc229242142"/>
      <w:r w:rsidRPr="00103AAF">
        <w:rPr>
          <w:lang w:eastAsia="zh-CN"/>
        </w:rPr>
        <w:t>Core Project Summary</w:t>
      </w:r>
      <w:bookmarkEnd w:id="44"/>
    </w:p>
    <w:p w14:paraId="290AFAEE"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This project focuses on the core operational needs of LI-NING LOONG STOREs and pop-up stores. Given a predetermined store location and based on the consumer profile data of the commercial area, this study addresses the core issue of identifying the most suitable merchandise structure for new stores. Using historical sales data from 15 pop-up stores and consumer profile data of the surrounding commercial areas, this project develops a data-driven solution that directly supports pre-opening merchandising decisions.</w:t>
      </w:r>
    </w:p>
    <w:p w14:paraId="254941FF" w14:textId="15846E9C" w:rsidR="00103AAF" w:rsidRPr="00103AAF" w:rsidRDefault="00103AAF" w:rsidP="00923C4E">
      <w:pPr>
        <w:pStyle w:val="3"/>
        <w:ind w:right="0"/>
        <w:rPr>
          <w:rFonts w:eastAsia="宋体"/>
          <w:lang w:eastAsia="zh-CN"/>
        </w:rPr>
      </w:pPr>
      <w:r w:rsidRPr="00103AAF">
        <w:rPr>
          <w:rFonts w:eastAsia="宋体"/>
          <w:lang w:eastAsia="zh-CN"/>
        </w:rPr>
        <w:t>Review of Project Objectives and Implementation Outcomes</w:t>
      </w:r>
    </w:p>
    <w:p w14:paraId="06759CB2"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This project starts with basic data processing. By removing promotional items and gifts, we cleaned and standardized the sales data to ensure that the analysis truly reflects real consumer purchasing behavior. On this basis, through descriptive analysis and city-level modeling, we established the relationship between commercial area consumer profiles and sales structures, and achieved an accurate match from consumer characteristics to merchandise demand. Finally, we generated recommended share targets across four core series—the National Team Series, Li-Ning Glory Series, Li-Ning Glory Premium Series, and Other Series—for new stores of different types. This forms a complete data-to-business decision support system and provides rigorous and implementable data-driven support for pre-opening merchandise planning, allocation, and preparation for LI-NING LOONG STOREs and pop-up stores under the premise of predetermined locations and known consumer profiles.</w:t>
      </w:r>
    </w:p>
    <w:p w14:paraId="69090FF5" w14:textId="6A624783" w:rsidR="00103AAF" w:rsidRPr="00103AAF" w:rsidRDefault="00103AAF" w:rsidP="00923C4E">
      <w:pPr>
        <w:pStyle w:val="3"/>
        <w:ind w:right="0"/>
        <w:rPr>
          <w:rFonts w:eastAsia="宋体"/>
          <w:lang w:eastAsia="zh-CN"/>
        </w:rPr>
      </w:pPr>
      <w:r w:rsidRPr="00103AAF">
        <w:rPr>
          <w:rFonts w:eastAsia="宋体"/>
          <w:lang w:eastAsia="zh-CN"/>
        </w:rPr>
        <w:t>Summary of Key Analysis and Modeling Conclusions</w:t>
      </w:r>
    </w:p>
    <w:p w14:paraId="1BB62C28" w14:textId="5B91E42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1 Key Insights from Descriptive Analysis</w:t>
      </w:r>
    </w:p>
    <w:p w14:paraId="36C8C190"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Through the dissection of full-cycle sales data from pop-up stores, this project identifies the key performance drivers of LI-NING pop-up stores: store performance is highly dependent on high-quality commercial locations, and the brand shows strong appeal to male consumers and the senior demographic aged 50–64. Footwear and the Li-Ning Glory Series form a stable revenue base for most stores, while exponential sales growth is closely associated with a high concentration of Apple users and high-net-worth individuals. Meanwhile, differences in consumer age, income, and consumption preferences across commercial zones directly determine the sales performance of each series, providing a critical basis for differentiated merchandise allocation in new stores.</w:t>
      </w:r>
    </w:p>
    <w:p w14:paraId="4EB692A5" w14:textId="06EA825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lastRenderedPageBreak/>
        <w:t>2 Key Insights from City-Level Modeling and Decision Results</w:t>
      </w:r>
    </w:p>
    <w:p w14:paraId="4D249BE8"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Based on the Multinomial Logit (MNL) model and K-Means clustering analysis, this project classifies shopping malls into three distinct customer segments using five core consumer profile indicators: young ratio, female ratio, high purchasing power ratio, working population within 3 km, and province score. The three segments are First-Tier Benchmark Stores, Female High-Potential Stores, and Youth Trend Core Stores. The model was trained on historical data from 15 pop-up stores and further applied to 1,033 commercial complexes nationwide to generate data-driven product mix recommendations.</w:t>
      </w:r>
    </w:p>
    <w:p w14:paraId="107DF691"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The results show that the Other Series is the dominant category across all segments, accounting for 52.7%–62.2% of the recommended sales share. The Li-Ning Glory Series acts as a stable secondary category with a share of 25.8%–27.9%, and is allocated a higher proportion in Youth Trend Core Stores. The Li-Ning Glory Premium Series is differentially allocated: 8.9% for First-Tier Benchmark Stores, 15.6% for Youth Trend Core Stores, and 19.4% for Female High-Potential Stores. By contrast, the National Team Series presents minimal historical demand, with a recommended share of only 0%–3.2%, and is therefore not recommended as a priority for pop-up stores.</w:t>
      </w:r>
    </w:p>
    <w:p w14:paraId="4B68BFA3"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In addition, the model identifies the top 10 high-potential cities for the Li-Ning Glory Premium Series and the Li-Ning Glory Series, which are mostly high-consumption lower-tier cities, providing clear guidance for merchandise strategy during market expansion.</w:t>
      </w:r>
    </w:p>
    <w:p w14:paraId="0C8CBB71" w14:textId="6D96F2BC"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 xml:space="preserve">3 Scoring System and Series Share by Mall Type </w:t>
      </w:r>
    </w:p>
    <w:p w14:paraId="0DFF8EC2"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This project established a scoring system for new malls’ pop-up stores. Based on six indicators—consumption power, youth ratio, iPhone penetration, daily foot traffic, city tier, and high-end competitors—malls are classified into three tiers: Glory-Dominated, Balanced, and Other Series-Dominated. It provides proportion ranges for footwear, apparel, accessories, and the Glory, Glory Premium, and other series. By matching similar historical stores, it offers practical references. Limited by only 15 samples, the model has low predictability; the Glory Premium series is greatly affected by operations, so only range guidance is provided.</w:t>
      </w:r>
    </w:p>
    <w:p w14:paraId="487A2CEA" w14:textId="5BB7A497" w:rsidR="00103AAF" w:rsidRPr="00103AAF" w:rsidRDefault="00103AAF" w:rsidP="00923C4E">
      <w:pPr>
        <w:pStyle w:val="2"/>
        <w:ind w:right="0"/>
        <w:rPr>
          <w:lang w:eastAsia="zh-CN"/>
        </w:rPr>
      </w:pPr>
      <w:bookmarkStart w:id="45" w:name="_Toc229242143"/>
      <w:r w:rsidRPr="00103AAF">
        <w:rPr>
          <w:lang w:eastAsia="zh-CN"/>
        </w:rPr>
        <w:t>Future Outlook</w:t>
      </w:r>
      <w:bookmarkEnd w:id="45"/>
    </w:p>
    <w:p w14:paraId="1219F3BD" w14:textId="267036F8" w:rsidR="00103AAF" w:rsidRPr="00103AAF" w:rsidRDefault="00103AAF" w:rsidP="00923C4E">
      <w:pPr>
        <w:pStyle w:val="3"/>
        <w:ind w:right="0"/>
        <w:rPr>
          <w:rFonts w:eastAsia="宋体"/>
          <w:lang w:eastAsia="zh-CN"/>
        </w:rPr>
      </w:pPr>
      <w:r w:rsidRPr="00103AAF">
        <w:rPr>
          <w:rFonts w:eastAsia="宋体"/>
          <w:lang w:eastAsia="zh-CN"/>
        </w:rPr>
        <w:t>Expand Data Dimensions and Sample Size</w:t>
      </w:r>
    </w:p>
    <w:p w14:paraId="08A84E43"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 xml:space="preserve">Supplement operational data such as in-store traffic, conversion rate, inventory turnover, and promotional activities. Meanwhile, the main limitation of the current study is the relatively small </w:t>
      </w:r>
      <w:r w:rsidRPr="00103AAF">
        <w:rPr>
          <w:rFonts w:eastAsia="宋体"/>
          <w:lang w:eastAsia="zh-CN"/>
        </w:rPr>
        <w:lastRenderedPageBreak/>
        <w:t>sample size, which includes only 15 pop-up stores. In the future, we will continuously incorporate sales data from newly opened pop-up stores to improve prediction accuracy and enhance the generalization ability of the model across different retail formats and operation cycles.</w:t>
      </w:r>
    </w:p>
    <w:p w14:paraId="3BCF2773" w14:textId="192440B8" w:rsidR="00103AAF" w:rsidRPr="00103AAF" w:rsidRDefault="00103AAF" w:rsidP="00923C4E">
      <w:pPr>
        <w:pStyle w:val="3"/>
        <w:ind w:right="0"/>
        <w:rPr>
          <w:rFonts w:eastAsia="宋体"/>
          <w:lang w:eastAsia="zh-CN"/>
        </w:rPr>
      </w:pPr>
      <w:r w:rsidRPr="00103AAF">
        <w:rPr>
          <w:rFonts w:eastAsia="宋体"/>
          <w:lang w:eastAsia="zh-CN"/>
        </w:rPr>
        <w:t>Dynamic Model Iteration</w:t>
      </w:r>
    </w:p>
    <w:p w14:paraId="152928B8" w14:textId="77777777"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Upgrade the current static pre-opening merchandise allocation model to a full-cycle dynamic inventory adjustment model. Combined with weekly and monthly sales data and changes in consumer profiles, the model will support real-time dynamic optimization of merchandise structure to adapt to demand fluctuations during festivals, peak sales periods, and other special time windows.</w:t>
      </w:r>
    </w:p>
    <w:p w14:paraId="670BC853" w14:textId="14E20A71" w:rsidR="00103AAF" w:rsidRPr="00103AAF" w:rsidRDefault="00103AAF" w:rsidP="00923C4E">
      <w:pPr>
        <w:pStyle w:val="3"/>
        <w:ind w:right="0"/>
        <w:rPr>
          <w:rFonts w:eastAsia="宋体"/>
          <w:lang w:eastAsia="zh-CN"/>
        </w:rPr>
      </w:pPr>
      <w:r w:rsidRPr="00103AAF">
        <w:rPr>
          <w:rFonts w:eastAsia="宋体"/>
          <w:lang w:eastAsia="zh-CN"/>
        </w:rPr>
        <w:t>Optimize Model Algorithm and Similar Store Matching</w:t>
      </w:r>
    </w:p>
    <w:p w14:paraId="43E8EA48" w14:textId="4A10FBCF" w:rsidR="00103AAF" w:rsidRPr="00103AAF" w:rsidRDefault="00103AAF" w:rsidP="00923C4E">
      <w:pPr>
        <w:pStyle w:val="a0"/>
        <w:spacing w:before="309" w:line="312" w:lineRule="auto"/>
        <w:ind w:left="311"/>
        <w:rPr>
          <w:rFonts w:eastAsia="宋体"/>
          <w:lang w:eastAsia="zh-CN"/>
        </w:rPr>
      </w:pPr>
      <w:r w:rsidRPr="00103AAF">
        <w:rPr>
          <w:rFonts w:eastAsia="宋体"/>
          <w:lang w:eastAsia="zh-CN"/>
        </w:rPr>
        <w:t>The current scoring system relies on weighted scoring and simple matching, which has room for improvement in accuracy and robustness. In the future, we will introduce more scientific algorithms such as K-Means clustering and K-NN to identify similar stores more precisely. We will also add performance indicators including tag achievement rate and weekly average sales to screen high‑quality reference stores. In addition, we will establish a complete cross‑verification mechanism to ensure the reliability and reasonability of merchandise proportion recommendations.</w:t>
      </w:r>
    </w:p>
    <w:p w14:paraId="65C33907" w14:textId="77777777" w:rsidR="000F6E69" w:rsidRPr="005A51C6" w:rsidRDefault="000F6E69" w:rsidP="00923C4E">
      <w:pPr>
        <w:pStyle w:val="2"/>
        <w:numPr>
          <w:ilvl w:val="0"/>
          <w:numId w:val="0"/>
        </w:numPr>
        <w:ind w:left="284" w:right="0"/>
        <w:rPr>
          <w:lang w:eastAsia="zh-CN"/>
        </w:rPr>
      </w:pPr>
    </w:p>
    <w:sectPr w:rsidR="000F6E69" w:rsidRPr="005A51C6" w:rsidSect="0086529A">
      <w:headerReference w:type="even" r:id="rId45"/>
      <w:headerReference w:type="default" r:id="rId46"/>
      <w:footerReference w:type="default" r:id="rId47"/>
      <w:pgSz w:w="11910" w:h="16840"/>
      <w:pgMar w:top="1440" w:right="1080" w:bottom="1440" w:left="1080" w:header="0"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D9D0" w14:textId="77777777" w:rsidR="00E47825" w:rsidRDefault="00E47825">
      <w:r>
        <w:separator/>
      </w:r>
    </w:p>
  </w:endnote>
  <w:endnote w:type="continuationSeparator" w:id="0">
    <w:p w14:paraId="788BE917" w14:textId="77777777" w:rsidR="00E47825" w:rsidRDefault="00E47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altName w:val="Tahoma"/>
    <w:panose1 w:val="020B0604030504040204"/>
    <w:charset w:val="01"/>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53EF" w14:textId="77777777" w:rsidR="00A42DAB" w:rsidRDefault="00A42DAB">
    <w:pPr>
      <w:pStyle w:val="a0"/>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698710"/>
      <w:docPartObj>
        <w:docPartGallery w:val="Page Numbers (Bottom of Page)"/>
        <w:docPartUnique/>
      </w:docPartObj>
    </w:sdtPr>
    <w:sdtContent>
      <w:p w14:paraId="75CFA311" w14:textId="0113D994" w:rsidR="0086529A" w:rsidRDefault="0086529A">
        <w:pPr>
          <w:pStyle w:val="a8"/>
          <w:jc w:val="center"/>
        </w:pPr>
        <w:r>
          <w:fldChar w:fldCharType="begin"/>
        </w:r>
        <w:r>
          <w:instrText>PAGE   \* MERGEFORMAT</w:instrText>
        </w:r>
        <w:r>
          <w:fldChar w:fldCharType="separate"/>
        </w:r>
        <w:r>
          <w:rPr>
            <w:lang w:val="zh-CN" w:eastAsia="zh-CN"/>
          </w:rPr>
          <w:t>2</w:t>
        </w:r>
        <w:r>
          <w:fldChar w:fldCharType="end"/>
        </w:r>
      </w:p>
    </w:sdtContent>
  </w:sdt>
  <w:p w14:paraId="2E7B7098" w14:textId="07983901" w:rsidR="0086529A" w:rsidRPr="0086529A" w:rsidRDefault="0086529A">
    <w:pPr>
      <w:pStyle w:val="a8"/>
      <w:rPr>
        <w:rFonts w:eastAsiaTheme="minor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501259"/>
      <w:docPartObj>
        <w:docPartGallery w:val="Page Numbers (Bottom of Page)"/>
        <w:docPartUnique/>
      </w:docPartObj>
    </w:sdtPr>
    <w:sdtContent>
      <w:p w14:paraId="0EAAC051" w14:textId="3594B2A0" w:rsidR="0086529A" w:rsidRDefault="0086529A">
        <w:pPr>
          <w:pStyle w:val="a8"/>
          <w:jc w:val="center"/>
        </w:pPr>
        <w:r>
          <w:fldChar w:fldCharType="begin"/>
        </w:r>
        <w:r>
          <w:instrText>PAGE   \* MERGEFORMAT</w:instrText>
        </w:r>
        <w:r>
          <w:fldChar w:fldCharType="separate"/>
        </w:r>
        <w:r>
          <w:rPr>
            <w:lang w:val="zh-CN" w:eastAsia="zh-CN"/>
          </w:rPr>
          <w:t>2</w:t>
        </w:r>
        <w:r>
          <w:fldChar w:fldCharType="end"/>
        </w:r>
      </w:p>
    </w:sdtContent>
  </w:sdt>
  <w:p w14:paraId="15E9FE71" w14:textId="77777777" w:rsidR="0086529A" w:rsidRDefault="0086529A">
    <w:pPr>
      <w:pStyle w:val="a0"/>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886771"/>
      <w:docPartObj>
        <w:docPartGallery w:val="Page Numbers (Bottom of Page)"/>
        <w:docPartUnique/>
      </w:docPartObj>
    </w:sdtPr>
    <w:sdtContent>
      <w:p w14:paraId="098F340A" w14:textId="77777777" w:rsidR="0086529A" w:rsidRDefault="0086529A">
        <w:pPr>
          <w:pStyle w:val="a8"/>
          <w:jc w:val="center"/>
        </w:pPr>
        <w:r>
          <w:fldChar w:fldCharType="begin"/>
        </w:r>
        <w:r>
          <w:instrText>PAGE   \* MERGEFORMAT</w:instrText>
        </w:r>
        <w:r>
          <w:fldChar w:fldCharType="separate"/>
        </w:r>
        <w:r>
          <w:rPr>
            <w:lang w:val="zh-CN" w:eastAsia="zh-CN"/>
          </w:rPr>
          <w:t>2</w:t>
        </w:r>
        <w:r>
          <w:fldChar w:fldCharType="end"/>
        </w:r>
      </w:p>
    </w:sdtContent>
  </w:sdt>
  <w:p w14:paraId="55CC1589" w14:textId="77777777" w:rsidR="0086529A" w:rsidRDefault="0086529A">
    <w:pPr>
      <w:pStyle w:val="a0"/>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C07F" w14:textId="77777777" w:rsidR="00E47825" w:rsidRDefault="00E47825">
      <w:r>
        <w:separator/>
      </w:r>
    </w:p>
  </w:footnote>
  <w:footnote w:type="continuationSeparator" w:id="0">
    <w:p w14:paraId="0F75CBE4" w14:textId="77777777" w:rsidR="00E47825" w:rsidRDefault="00E47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5FBF" w14:textId="1C179952" w:rsidR="00A42DAB" w:rsidRDefault="00A42DAB">
    <w:pPr>
      <w:pStyle w:val="a0"/>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F4AB" w14:textId="35F236E2" w:rsidR="00A42DAB" w:rsidRDefault="00A42DAB">
    <w:pPr>
      <w:pStyle w:val="a0"/>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F5FB" w14:textId="77777777" w:rsidR="00A42DAB" w:rsidRDefault="00A42DAB">
    <w:pPr>
      <w:pStyle w:val="a0"/>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39F4" w14:textId="77777777" w:rsidR="00A42DAB" w:rsidRDefault="00A42DAB">
    <w:pPr>
      <w:pStyle w:val="a0"/>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E3C4" w14:textId="3D63183A" w:rsidR="00A42DAB" w:rsidRDefault="00A42DAB">
    <w:pPr>
      <w:pStyle w:val="a0"/>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D4BC" w14:textId="069C4D70" w:rsidR="00A42DAB" w:rsidRDefault="00A42DAB">
    <w:pPr>
      <w:pStyle w:val="a0"/>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E06"/>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1" w15:restartNumberingAfterBreak="0">
    <w:nsid w:val="095F319E"/>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2" w15:restartNumberingAfterBreak="0">
    <w:nsid w:val="09D55414"/>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3" w15:restartNumberingAfterBreak="0">
    <w:nsid w:val="0A877C28"/>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4" w15:restartNumberingAfterBreak="0">
    <w:nsid w:val="14A108DC"/>
    <w:multiLevelType w:val="hybridMultilevel"/>
    <w:tmpl w:val="165AD9C2"/>
    <w:lvl w:ilvl="0" w:tplc="7E749144">
      <w:start w:val="2"/>
      <w:numFmt w:val="upperLetter"/>
      <w:lvlText w:val="%1"/>
      <w:lvlJc w:val="left"/>
      <w:pPr>
        <w:ind w:left="663" w:hanging="579"/>
        <w:jc w:val="right"/>
      </w:pPr>
      <w:rPr>
        <w:rFonts w:ascii="Times New Roman" w:eastAsia="Times New Roman" w:hAnsi="Times New Roman" w:cs="Times New Roman" w:hint="default"/>
        <w:b/>
        <w:bCs/>
        <w:i w:val="0"/>
        <w:iCs w:val="0"/>
        <w:spacing w:val="0"/>
        <w:w w:val="101"/>
        <w:sz w:val="49"/>
        <w:szCs w:val="49"/>
        <w:lang w:val="en-US" w:eastAsia="en-US" w:bidi="ar-SA"/>
      </w:rPr>
    </w:lvl>
    <w:lvl w:ilvl="1" w:tplc="56CE9676">
      <w:numFmt w:val="bullet"/>
      <w:lvlText w:val="•"/>
      <w:lvlJc w:val="left"/>
      <w:pPr>
        <w:ind w:left="1628" w:hanging="579"/>
      </w:pPr>
      <w:rPr>
        <w:rFonts w:hint="default"/>
        <w:lang w:val="en-US" w:eastAsia="en-US" w:bidi="ar-SA"/>
      </w:rPr>
    </w:lvl>
    <w:lvl w:ilvl="2" w:tplc="A2DEBFFC">
      <w:numFmt w:val="bullet"/>
      <w:lvlText w:val="•"/>
      <w:lvlJc w:val="left"/>
      <w:pPr>
        <w:ind w:left="2597" w:hanging="579"/>
      </w:pPr>
      <w:rPr>
        <w:rFonts w:hint="default"/>
        <w:lang w:val="en-US" w:eastAsia="en-US" w:bidi="ar-SA"/>
      </w:rPr>
    </w:lvl>
    <w:lvl w:ilvl="3" w:tplc="A272616E">
      <w:numFmt w:val="bullet"/>
      <w:lvlText w:val="•"/>
      <w:lvlJc w:val="left"/>
      <w:pPr>
        <w:ind w:left="3565" w:hanging="579"/>
      </w:pPr>
      <w:rPr>
        <w:rFonts w:hint="default"/>
        <w:lang w:val="en-US" w:eastAsia="en-US" w:bidi="ar-SA"/>
      </w:rPr>
    </w:lvl>
    <w:lvl w:ilvl="4" w:tplc="1CEE2D02">
      <w:numFmt w:val="bullet"/>
      <w:lvlText w:val="•"/>
      <w:lvlJc w:val="left"/>
      <w:pPr>
        <w:ind w:left="4534" w:hanging="579"/>
      </w:pPr>
      <w:rPr>
        <w:rFonts w:hint="default"/>
        <w:lang w:val="en-US" w:eastAsia="en-US" w:bidi="ar-SA"/>
      </w:rPr>
    </w:lvl>
    <w:lvl w:ilvl="5" w:tplc="10B8C814">
      <w:numFmt w:val="bullet"/>
      <w:lvlText w:val="•"/>
      <w:lvlJc w:val="left"/>
      <w:pPr>
        <w:ind w:left="5503" w:hanging="579"/>
      </w:pPr>
      <w:rPr>
        <w:rFonts w:hint="default"/>
        <w:lang w:val="en-US" w:eastAsia="en-US" w:bidi="ar-SA"/>
      </w:rPr>
    </w:lvl>
    <w:lvl w:ilvl="6" w:tplc="4BC67D0A">
      <w:numFmt w:val="bullet"/>
      <w:lvlText w:val="•"/>
      <w:lvlJc w:val="left"/>
      <w:pPr>
        <w:ind w:left="6471" w:hanging="579"/>
      </w:pPr>
      <w:rPr>
        <w:rFonts w:hint="default"/>
        <w:lang w:val="en-US" w:eastAsia="en-US" w:bidi="ar-SA"/>
      </w:rPr>
    </w:lvl>
    <w:lvl w:ilvl="7" w:tplc="8A4E4D2E">
      <w:numFmt w:val="bullet"/>
      <w:lvlText w:val="•"/>
      <w:lvlJc w:val="left"/>
      <w:pPr>
        <w:ind w:left="7440" w:hanging="579"/>
      </w:pPr>
      <w:rPr>
        <w:rFonts w:hint="default"/>
        <w:lang w:val="en-US" w:eastAsia="en-US" w:bidi="ar-SA"/>
      </w:rPr>
    </w:lvl>
    <w:lvl w:ilvl="8" w:tplc="70C82A9A">
      <w:numFmt w:val="bullet"/>
      <w:lvlText w:val="•"/>
      <w:lvlJc w:val="left"/>
      <w:pPr>
        <w:ind w:left="8409" w:hanging="579"/>
      </w:pPr>
      <w:rPr>
        <w:rFonts w:hint="default"/>
        <w:lang w:val="en-US" w:eastAsia="en-US" w:bidi="ar-SA"/>
      </w:rPr>
    </w:lvl>
  </w:abstractNum>
  <w:abstractNum w:abstractNumId="5" w15:restartNumberingAfterBreak="0">
    <w:nsid w:val="227462BC"/>
    <w:multiLevelType w:val="multilevel"/>
    <w:tmpl w:val="1326E112"/>
    <w:lvl w:ilvl="0">
      <w:start w:val="2"/>
      <w:numFmt w:val="decimal"/>
      <w:lvlText w:val="%1"/>
      <w:lvlJc w:val="left"/>
      <w:pPr>
        <w:ind w:left="1086" w:hanging="775"/>
      </w:pPr>
      <w:rPr>
        <w:rFonts w:hint="default"/>
        <w:lang w:val="en-US" w:eastAsia="en-US" w:bidi="ar-SA"/>
      </w:rPr>
    </w:lvl>
    <w:lvl w:ilvl="1">
      <w:start w:val="3"/>
      <w:numFmt w:val="decimal"/>
      <w:lvlText w:val="%1.%2"/>
      <w:lvlJc w:val="left"/>
      <w:pPr>
        <w:ind w:left="1086" w:hanging="775"/>
        <w:jc w:val="right"/>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933" w:hanging="775"/>
      </w:pPr>
      <w:rPr>
        <w:rFonts w:hint="default"/>
        <w:lang w:val="en-US" w:eastAsia="en-US" w:bidi="ar-SA"/>
      </w:rPr>
    </w:lvl>
    <w:lvl w:ilvl="3">
      <w:numFmt w:val="bullet"/>
      <w:lvlText w:val="•"/>
      <w:lvlJc w:val="left"/>
      <w:pPr>
        <w:ind w:left="3859" w:hanging="775"/>
      </w:pPr>
      <w:rPr>
        <w:rFonts w:hint="default"/>
        <w:lang w:val="en-US" w:eastAsia="en-US" w:bidi="ar-SA"/>
      </w:rPr>
    </w:lvl>
    <w:lvl w:ilvl="4">
      <w:numFmt w:val="bullet"/>
      <w:lvlText w:val="•"/>
      <w:lvlJc w:val="left"/>
      <w:pPr>
        <w:ind w:left="4786" w:hanging="775"/>
      </w:pPr>
      <w:rPr>
        <w:rFonts w:hint="default"/>
        <w:lang w:val="en-US" w:eastAsia="en-US" w:bidi="ar-SA"/>
      </w:rPr>
    </w:lvl>
    <w:lvl w:ilvl="5">
      <w:numFmt w:val="bullet"/>
      <w:lvlText w:val="•"/>
      <w:lvlJc w:val="left"/>
      <w:pPr>
        <w:ind w:left="5713" w:hanging="775"/>
      </w:pPr>
      <w:rPr>
        <w:rFonts w:hint="default"/>
        <w:lang w:val="en-US" w:eastAsia="en-US" w:bidi="ar-SA"/>
      </w:rPr>
    </w:lvl>
    <w:lvl w:ilvl="6">
      <w:numFmt w:val="bullet"/>
      <w:lvlText w:val="•"/>
      <w:lvlJc w:val="left"/>
      <w:pPr>
        <w:ind w:left="6639" w:hanging="775"/>
      </w:pPr>
      <w:rPr>
        <w:rFonts w:hint="default"/>
        <w:lang w:val="en-US" w:eastAsia="en-US" w:bidi="ar-SA"/>
      </w:rPr>
    </w:lvl>
    <w:lvl w:ilvl="7">
      <w:numFmt w:val="bullet"/>
      <w:lvlText w:val="•"/>
      <w:lvlJc w:val="left"/>
      <w:pPr>
        <w:ind w:left="7566" w:hanging="775"/>
      </w:pPr>
      <w:rPr>
        <w:rFonts w:hint="default"/>
        <w:lang w:val="en-US" w:eastAsia="en-US" w:bidi="ar-SA"/>
      </w:rPr>
    </w:lvl>
    <w:lvl w:ilvl="8">
      <w:numFmt w:val="bullet"/>
      <w:lvlText w:val="•"/>
      <w:lvlJc w:val="left"/>
      <w:pPr>
        <w:ind w:left="8493" w:hanging="775"/>
      </w:pPr>
      <w:rPr>
        <w:rFonts w:hint="default"/>
        <w:lang w:val="en-US" w:eastAsia="en-US" w:bidi="ar-SA"/>
      </w:rPr>
    </w:lvl>
  </w:abstractNum>
  <w:abstractNum w:abstractNumId="6" w15:restartNumberingAfterBreak="0">
    <w:nsid w:val="30A3205A"/>
    <w:multiLevelType w:val="multilevel"/>
    <w:tmpl w:val="CAFE0976"/>
    <w:lvl w:ilvl="0">
      <w:start w:val="2"/>
      <w:numFmt w:val="decimal"/>
      <w:lvlText w:val="%1"/>
      <w:lvlJc w:val="left"/>
      <w:pPr>
        <w:ind w:left="682" w:hanging="550"/>
      </w:pPr>
      <w:rPr>
        <w:rFonts w:hint="default"/>
        <w:lang w:val="en-US" w:eastAsia="en-US" w:bidi="ar-SA"/>
      </w:rPr>
    </w:lvl>
    <w:lvl w:ilvl="1">
      <w:start w:val="1"/>
      <w:numFmt w:val="decimal"/>
      <w:lvlText w:val="%1.%2"/>
      <w:lvlJc w:val="left"/>
      <w:pPr>
        <w:ind w:left="682" w:hanging="550"/>
      </w:pPr>
      <w:rPr>
        <w:rFonts w:ascii="Times New Roman" w:eastAsia="Times New Roman" w:hAnsi="Times New Roman" w:cs="Times New Roman" w:hint="default"/>
        <w:b w:val="0"/>
        <w:bCs w:val="0"/>
        <w:i w:val="0"/>
        <w:iCs w:val="0"/>
        <w:color w:val="8C0000"/>
        <w:spacing w:val="0"/>
        <w:w w:val="99"/>
        <w:sz w:val="24"/>
        <w:szCs w:val="24"/>
        <w:lang w:val="en-US" w:eastAsia="en-US" w:bidi="ar-SA"/>
      </w:rPr>
    </w:lvl>
    <w:lvl w:ilvl="2">
      <w:numFmt w:val="bullet"/>
      <w:lvlText w:val="•"/>
      <w:lvlJc w:val="left"/>
      <w:pPr>
        <w:ind w:left="2558" w:hanging="550"/>
      </w:pPr>
      <w:rPr>
        <w:rFonts w:hint="default"/>
        <w:lang w:val="en-US" w:eastAsia="en-US" w:bidi="ar-SA"/>
      </w:rPr>
    </w:lvl>
    <w:lvl w:ilvl="3">
      <w:numFmt w:val="bullet"/>
      <w:lvlText w:val="•"/>
      <w:lvlJc w:val="left"/>
      <w:pPr>
        <w:ind w:left="3492" w:hanging="550"/>
      </w:pPr>
      <w:rPr>
        <w:rFonts w:hint="default"/>
        <w:lang w:val="en-US" w:eastAsia="en-US" w:bidi="ar-SA"/>
      </w:rPr>
    </w:lvl>
    <w:lvl w:ilvl="4">
      <w:numFmt w:val="bullet"/>
      <w:lvlText w:val="•"/>
      <w:lvlJc w:val="left"/>
      <w:pPr>
        <w:ind w:left="4427" w:hanging="550"/>
      </w:pPr>
      <w:rPr>
        <w:rFonts w:hint="default"/>
        <w:lang w:val="en-US" w:eastAsia="en-US" w:bidi="ar-SA"/>
      </w:rPr>
    </w:lvl>
    <w:lvl w:ilvl="5">
      <w:numFmt w:val="bullet"/>
      <w:lvlText w:val="•"/>
      <w:lvlJc w:val="left"/>
      <w:pPr>
        <w:ind w:left="5362" w:hanging="550"/>
      </w:pPr>
      <w:rPr>
        <w:rFonts w:hint="default"/>
        <w:lang w:val="en-US" w:eastAsia="en-US" w:bidi="ar-SA"/>
      </w:rPr>
    </w:lvl>
    <w:lvl w:ilvl="6">
      <w:numFmt w:val="bullet"/>
      <w:lvlText w:val="•"/>
      <w:lvlJc w:val="left"/>
      <w:pPr>
        <w:ind w:left="6296" w:hanging="550"/>
      </w:pPr>
      <w:rPr>
        <w:rFonts w:hint="default"/>
        <w:lang w:val="en-US" w:eastAsia="en-US" w:bidi="ar-SA"/>
      </w:rPr>
    </w:lvl>
    <w:lvl w:ilvl="7">
      <w:numFmt w:val="bullet"/>
      <w:lvlText w:val="•"/>
      <w:lvlJc w:val="left"/>
      <w:pPr>
        <w:ind w:left="7231" w:hanging="550"/>
      </w:pPr>
      <w:rPr>
        <w:rFonts w:hint="default"/>
        <w:lang w:val="en-US" w:eastAsia="en-US" w:bidi="ar-SA"/>
      </w:rPr>
    </w:lvl>
    <w:lvl w:ilvl="8">
      <w:numFmt w:val="bullet"/>
      <w:lvlText w:val="•"/>
      <w:lvlJc w:val="left"/>
      <w:pPr>
        <w:ind w:left="8166" w:hanging="550"/>
      </w:pPr>
      <w:rPr>
        <w:rFonts w:hint="default"/>
        <w:lang w:val="en-US" w:eastAsia="en-US" w:bidi="ar-SA"/>
      </w:rPr>
    </w:lvl>
  </w:abstractNum>
  <w:abstractNum w:abstractNumId="7" w15:restartNumberingAfterBreak="0">
    <w:nsid w:val="30F60A72"/>
    <w:multiLevelType w:val="multilevel"/>
    <w:tmpl w:val="E23494E8"/>
    <w:lvl w:ilvl="0">
      <w:start w:val="1"/>
      <w:numFmt w:val="decimal"/>
      <w:lvlText w:val="%1"/>
      <w:lvlJc w:val="left"/>
      <w:pPr>
        <w:ind w:left="993" w:hanging="550"/>
      </w:pPr>
      <w:rPr>
        <w:rFonts w:hint="default"/>
        <w:lang w:val="en-US" w:eastAsia="en-US" w:bidi="ar-SA"/>
      </w:rPr>
    </w:lvl>
    <w:lvl w:ilvl="1">
      <w:start w:val="1"/>
      <w:numFmt w:val="decimal"/>
      <w:lvlText w:val="%1.%2"/>
      <w:lvlJc w:val="left"/>
      <w:pPr>
        <w:ind w:left="993" w:hanging="550"/>
      </w:pPr>
      <w:rPr>
        <w:rFonts w:ascii="Times New Roman" w:eastAsia="Times New Roman" w:hAnsi="Times New Roman" w:cs="Times New Roman" w:hint="default"/>
        <w:b w:val="0"/>
        <w:bCs w:val="0"/>
        <w:i w:val="0"/>
        <w:iCs w:val="0"/>
        <w:color w:val="8C0000"/>
        <w:spacing w:val="0"/>
        <w:w w:val="99"/>
        <w:sz w:val="24"/>
        <w:szCs w:val="24"/>
        <w:lang w:val="en-US" w:eastAsia="en-US" w:bidi="ar-SA"/>
      </w:rPr>
    </w:lvl>
    <w:lvl w:ilvl="2">
      <w:numFmt w:val="bullet"/>
      <w:lvlText w:val="•"/>
      <w:lvlJc w:val="left"/>
      <w:pPr>
        <w:ind w:left="2869" w:hanging="550"/>
      </w:pPr>
      <w:rPr>
        <w:rFonts w:hint="default"/>
        <w:lang w:val="en-US" w:eastAsia="en-US" w:bidi="ar-SA"/>
      </w:rPr>
    </w:lvl>
    <w:lvl w:ilvl="3">
      <w:numFmt w:val="bullet"/>
      <w:lvlText w:val="•"/>
      <w:lvlJc w:val="left"/>
      <w:pPr>
        <w:ind w:left="3803" w:hanging="550"/>
      </w:pPr>
      <w:rPr>
        <w:rFonts w:hint="default"/>
        <w:lang w:val="en-US" w:eastAsia="en-US" w:bidi="ar-SA"/>
      </w:rPr>
    </w:lvl>
    <w:lvl w:ilvl="4">
      <w:numFmt w:val="bullet"/>
      <w:lvlText w:val="•"/>
      <w:lvlJc w:val="left"/>
      <w:pPr>
        <w:ind w:left="4738" w:hanging="550"/>
      </w:pPr>
      <w:rPr>
        <w:rFonts w:hint="default"/>
        <w:lang w:val="en-US" w:eastAsia="en-US" w:bidi="ar-SA"/>
      </w:rPr>
    </w:lvl>
    <w:lvl w:ilvl="5">
      <w:numFmt w:val="bullet"/>
      <w:lvlText w:val="•"/>
      <w:lvlJc w:val="left"/>
      <w:pPr>
        <w:ind w:left="5673" w:hanging="550"/>
      </w:pPr>
      <w:rPr>
        <w:rFonts w:hint="default"/>
        <w:lang w:val="en-US" w:eastAsia="en-US" w:bidi="ar-SA"/>
      </w:rPr>
    </w:lvl>
    <w:lvl w:ilvl="6">
      <w:numFmt w:val="bullet"/>
      <w:lvlText w:val="•"/>
      <w:lvlJc w:val="left"/>
      <w:pPr>
        <w:ind w:left="6607" w:hanging="550"/>
      </w:pPr>
      <w:rPr>
        <w:rFonts w:hint="default"/>
        <w:lang w:val="en-US" w:eastAsia="en-US" w:bidi="ar-SA"/>
      </w:rPr>
    </w:lvl>
    <w:lvl w:ilvl="7">
      <w:numFmt w:val="bullet"/>
      <w:lvlText w:val="•"/>
      <w:lvlJc w:val="left"/>
      <w:pPr>
        <w:ind w:left="7542" w:hanging="550"/>
      </w:pPr>
      <w:rPr>
        <w:rFonts w:hint="default"/>
        <w:lang w:val="en-US" w:eastAsia="en-US" w:bidi="ar-SA"/>
      </w:rPr>
    </w:lvl>
    <w:lvl w:ilvl="8">
      <w:numFmt w:val="bullet"/>
      <w:lvlText w:val="•"/>
      <w:lvlJc w:val="left"/>
      <w:pPr>
        <w:ind w:left="8477" w:hanging="550"/>
      </w:pPr>
      <w:rPr>
        <w:rFonts w:hint="default"/>
        <w:lang w:val="en-US" w:eastAsia="en-US" w:bidi="ar-SA"/>
      </w:rPr>
    </w:lvl>
  </w:abstractNum>
  <w:abstractNum w:abstractNumId="8" w15:restartNumberingAfterBreak="0">
    <w:nsid w:val="34E20E17"/>
    <w:multiLevelType w:val="multilevel"/>
    <w:tmpl w:val="E7D6A86C"/>
    <w:lvl w:ilvl="0">
      <w:start w:val="2"/>
      <w:numFmt w:val="decimal"/>
      <w:lvlText w:val="%1"/>
      <w:lvlJc w:val="left"/>
      <w:pPr>
        <w:ind w:left="804" w:hanging="493"/>
      </w:pPr>
      <w:rPr>
        <w:rFonts w:hint="default"/>
        <w:lang w:val="en-US" w:eastAsia="en-US" w:bidi="ar-SA"/>
      </w:rPr>
    </w:lvl>
    <w:lvl w:ilvl="1">
      <w:start w:val="3"/>
      <w:numFmt w:val="decimal"/>
      <w:lvlText w:val="%1.%2."/>
      <w:lvlJc w:val="left"/>
      <w:pPr>
        <w:ind w:left="804" w:hanging="493"/>
      </w:pPr>
      <w:rPr>
        <w:rFonts w:ascii="Cambria" w:eastAsia="Cambria" w:hAnsi="Cambria" w:cs="Cambria" w:hint="default"/>
        <w:b w:val="0"/>
        <w:bCs w:val="0"/>
        <w:i/>
        <w:iCs/>
        <w:spacing w:val="0"/>
        <w:w w:val="102"/>
        <w:sz w:val="24"/>
        <w:szCs w:val="24"/>
        <w:lang w:val="en-US" w:eastAsia="en-US" w:bidi="ar-SA"/>
      </w:rPr>
    </w:lvl>
    <w:lvl w:ilvl="2">
      <w:numFmt w:val="bullet"/>
      <w:lvlText w:val="•"/>
      <w:lvlJc w:val="left"/>
      <w:pPr>
        <w:ind w:left="2709" w:hanging="493"/>
      </w:pPr>
      <w:rPr>
        <w:rFonts w:hint="default"/>
        <w:lang w:val="en-US" w:eastAsia="en-US" w:bidi="ar-SA"/>
      </w:rPr>
    </w:lvl>
    <w:lvl w:ilvl="3">
      <w:numFmt w:val="bullet"/>
      <w:lvlText w:val="•"/>
      <w:lvlJc w:val="left"/>
      <w:pPr>
        <w:ind w:left="3663" w:hanging="493"/>
      </w:pPr>
      <w:rPr>
        <w:rFonts w:hint="default"/>
        <w:lang w:val="en-US" w:eastAsia="en-US" w:bidi="ar-SA"/>
      </w:rPr>
    </w:lvl>
    <w:lvl w:ilvl="4">
      <w:numFmt w:val="bullet"/>
      <w:lvlText w:val="•"/>
      <w:lvlJc w:val="left"/>
      <w:pPr>
        <w:ind w:left="4618" w:hanging="493"/>
      </w:pPr>
      <w:rPr>
        <w:rFonts w:hint="default"/>
        <w:lang w:val="en-US" w:eastAsia="en-US" w:bidi="ar-SA"/>
      </w:rPr>
    </w:lvl>
    <w:lvl w:ilvl="5">
      <w:numFmt w:val="bullet"/>
      <w:lvlText w:val="•"/>
      <w:lvlJc w:val="left"/>
      <w:pPr>
        <w:ind w:left="5573" w:hanging="493"/>
      </w:pPr>
      <w:rPr>
        <w:rFonts w:hint="default"/>
        <w:lang w:val="en-US" w:eastAsia="en-US" w:bidi="ar-SA"/>
      </w:rPr>
    </w:lvl>
    <w:lvl w:ilvl="6">
      <w:numFmt w:val="bullet"/>
      <w:lvlText w:val="•"/>
      <w:lvlJc w:val="left"/>
      <w:pPr>
        <w:ind w:left="6527" w:hanging="493"/>
      </w:pPr>
      <w:rPr>
        <w:rFonts w:hint="default"/>
        <w:lang w:val="en-US" w:eastAsia="en-US" w:bidi="ar-SA"/>
      </w:rPr>
    </w:lvl>
    <w:lvl w:ilvl="7">
      <w:numFmt w:val="bullet"/>
      <w:lvlText w:val="•"/>
      <w:lvlJc w:val="left"/>
      <w:pPr>
        <w:ind w:left="7482" w:hanging="493"/>
      </w:pPr>
      <w:rPr>
        <w:rFonts w:hint="default"/>
        <w:lang w:val="en-US" w:eastAsia="en-US" w:bidi="ar-SA"/>
      </w:rPr>
    </w:lvl>
    <w:lvl w:ilvl="8">
      <w:numFmt w:val="bullet"/>
      <w:lvlText w:val="•"/>
      <w:lvlJc w:val="left"/>
      <w:pPr>
        <w:ind w:left="8437" w:hanging="493"/>
      </w:pPr>
      <w:rPr>
        <w:rFonts w:hint="default"/>
        <w:lang w:val="en-US" w:eastAsia="en-US" w:bidi="ar-SA"/>
      </w:rPr>
    </w:lvl>
  </w:abstractNum>
  <w:abstractNum w:abstractNumId="9" w15:restartNumberingAfterBreak="0">
    <w:nsid w:val="41406E8F"/>
    <w:multiLevelType w:val="multilevel"/>
    <w:tmpl w:val="5C42E5CA"/>
    <w:lvl w:ilvl="0">
      <w:start w:val="1"/>
      <w:numFmt w:val="decimal"/>
      <w:lvlText w:val="%1"/>
      <w:lvlJc w:val="left"/>
      <w:pPr>
        <w:ind w:left="670" w:hanging="359"/>
      </w:pPr>
      <w:rPr>
        <w:rFonts w:ascii="Times New Roman" w:eastAsia="Times New Roman" w:hAnsi="Times New Roman" w:cs="Times New Roman" w:hint="default"/>
        <w:b/>
        <w:bCs/>
        <w:i w:val="0"/>
        <w:iCs w:val="0"/>
        <w:color w:val="8C0000"/>
        <w:spacing w:val="0"/>
        <w:w w:val="99"/>
        <w:sz w:val="24"/>
        <w:szCs w:val="24"/>
        <w:lang w:val="en-US" w:eastAsia="en-US" w:bidi="ar-SA"/>
      </w:rPr>
    </w:lvl>
    <w:lvl w:ilvl="1">
      <w:start w:val="1"/>
      <w:numFmt w:val="decimal"/>
      <w:lvlText w:val="%1.%2"/>
      <w:lvlJc w:val="left"/>
      <w:pPr>
        <w:ind w:left="1220" w:hanging="550"/>
      </w:pPr>
      <w:rPr>
        <w:rFonts w:ascii="Times New Roman" w:eastAsia="Times New Roman" w:hAnsi="Times New Roman" w:cs="Times New Roman" w:hint="default"/>
        <w:b w:val="0"/>
        <w:bCs w:val="0"/>
        <w:i w:val="0"/>
        <w:iCs w:val="0"/>
        <w:color w:val="8C0000"/>
        <w:spacing w:val="0"/>
        <w:w w:val="99"/>
        <w:sz w:val="24"/>
        <w:szCs w:val="24"/>
        <w:lang w:val="en-US" w:eastAsia="en-US" w:bidi="ar-SA"/>
      </w:rPr>
    </w:lvl>
    <w:lvl w:ilvl="2">
      <w:start w:val="1"/>
      <w:numFmt w:val="decimal"/>
      <w:lvlText w:val="%1.%2.%3"/>
      <w:lvlJc w:val="left"/>
      <w:pPr>
        <w:ind w:left="1985" w:hanging="766"/>
      </w:pPr>
      <w:rPr>
        <w:rFonts w:ascii="Times New Roman" w:eastAsia="Times New Roman" w:hAnsi="Times New Roman" w:cs="Times New Roman" w:hint="default"/>
        <w:b w:val="0"/>
        <w:bCs w:val="0"/>
        <w:i w:val="0"/>
        <w:iCs w:val="0"/>
        <w:color w:val="8C0000"/>
        <w:spacing w:val="0"/>
        <w:w w:val="99"/>
        <w:sz w:val="24"/>
        <w:szCs w:val="24"/>
        <w:lang w:val="en-US" w:eastAsia="en-US" w:bidi="ar-SA"/>
      </w:rPr>
    </w:lvl>
    <w:lvl w:ilvl="3">
      <w:numFmt w:val="bullet"/>
      <w:lvlText w:val="•"/>
      <w:lvlJc w:val="left"/>
      <w:pPr>
        <w:ind w:left="3025" w:hanging="766"/>
      </w:pPr>
      <w:rPr>
        <w:rFonts w:hint="default"/>
        <w:lang w:val="en-US" w:eastAsia="en-US" w:bidi="ar-SA"/>
      </w:rPr>
    </w:lvl>
    <w:lvl w:ilvl="4">
      <w:numFmt w:val="bullet"/>
      <w:lvlText w:val="•"/>
      <w:lvlJc w:val="left"/>
      <w:pPr>
        <w:ind w:left="4071" w:hanging="766"/>
      </w:pPr>
      <w:rPr>
        <w:rFonts w:hint="default"/>
        <w:lang w:val="en-US" w:eastAsia="en-US" w:bidi="ar-SA"/>
      </w:rPr>
    </w:lvl>
    <w:lvl w:ilvl="5">
      <w:numFmt w:val="bullet"/>
      <w:lvlText w:val="•"/>
      <w:lvlJc w:val="left"/>
      <w:pPr>
        <w:ind w:left="5117" w:hanging="766"/>
      </w:pPr>
      <w:rPr>
        <w:rFonts w:hint="default"/>
        <w:lang w:val="en-US" w:eastAsia="en-US" w:bidi="ar-SA"/>
      </w:rPr>
    </w:lvl>
    <w:lvl w:ilvl="6">
      <w:numFmt w:val="bullet"/>
      <w:lvlText w:val="•"/>
      <w:lvlJc w:val="left"/>
      <w:pPr>
        <w:ind w:left="6163" w:hanging="766"/>
      </w:pPr>
      <w:rPr>
        <w:rFonts w:hint="default"/>
        <w:lang w:val="en-US" w:eastAsia="en-US" w:bidi="ar-SA"/>
      </w:rPr>
    </w:lvl>
    <w:lvl w:ilvl="7">
      <w:numFmt w:val="bullet"/>
      <w:lvlText w:val="•"/>
      <w:lvlJc w:val="left"/>
      <w:pPr>
        <w:ind w:left="7209" w:hanging="766"/>
      </w:pPr>
      <w:rPr>
        <w:rFonts w:hint="default"/>
        <w:lang w:val="en-US" w:eastAsia="en-US" w:bidi="ar-SA"/>
      </w:rPr>
    </w:lvl>
    <w:lvl w:ilvl="8">
      <w:numFmt w:val="bullet"/>
      <w:lvlText w:val="•"/>
      <w:lvlJc w:val="left"/>
      <w:pPr>
        <w:ind w:left="8254" w:hanging="766"/>
      </w:pPr>
      <w:rPr>
        <w:rFonts w:hint="default"/>
        <w:lang w:val="en-US" w:eastAsia="en-US" w:bidi="ar-SA"/>
      </w:rPr>
    </w:lvl>
  </w:abstractNum>
  <w:abstractNum w:abstractNumId="10" w15:restartNumberingAfterBreak="0">
    <w:nsid w:val="47EA2097"/>
    <w:multiLevelType w:val="hybridMultilevel"/>
    <w:tmpl w:val="ECC6FF02"/>
    <w:lvl w:ilvl="0" w:tplc="A5182702">
      <w:numFmt w:val="bullet"/>
      <w:lvlText w:val="•"/>
      <w:lvlJc w:val="left"/>
      <w:pPr>
        <w:ind w:left="897" w:hanging="201"/>
      </w:pPr>
      <w:rPr>
        <w:rFonts w:ascii="Times New Roman" w:eastAsia="Times New Roman" w:hAnsi="Times New Roman" w:cs="Times New Roman" w:hint="default"/>
        <w:spacing w:val="0"/>
        <w:w w:val="99"/>
        <w:lang w:val="en-US" w:eastAsia="en-US" w:bidi="ar-SA"/>
      </w:rPr>
    </w:lvl>
    <w:lvl w:ilvl="1" w:tplc="C700D584">
      <w:numFmt w:val="bullet"/>
      <w:lvlText w:val="•"/>
      <w:lvlJc w:val="left"/>
      <w:pPr>
        <w:ind w:left="1844" w:hanging="201"/>
      </w:pPr>
      <w:rPr>
        <w:rFonts w:hint="default"/>
        <w:lang w:val="en-US" w:eastAsia="en-US" w:bidi="ar-SA"/>
      </w:rPr>
    </w:lvl>
    <w:lvl w:ilvl="2" w:tplc="B9BA9310">
      <w:numFmt w:val="bullet"/>
      <w:lvlText w:val="•"/>
      <w:lvlJc w:val="left"/>
      <w:pPr>
        <w:ind w:left="2789" w:hanging="201"/>
      </w:pPr>
      <w:rPr>
        <w:rFonts w:hint="default"/>
        <w:lang w:val="en-US" w:eastAsia="en-US" w:bidi="ar-SA"/>
      </w:rPr>
    </w:lvl>
    <w:lvl w:ilvl="3" w:tplc="72BE415E">
      <w:numFmt w:val="bullet"/>
      <w:lvlText w:val="•"/>
      <w:lvlJc w:val="left"/>
      <w:pPr>
        <w:ind w:left="3733" w:hanging="201"/>
      </w:pPr>
      <w:rPr>
        <w:rFonts w:hint="default"/>
        <w:lang w:val="en-US" w:eastAsia="en-US" w:bidi="ar-SA"/>
      </w:rPr>
    </w:lvl>
    <w:lvl w:ilvl="4" w:tplc="31061ADE">
      <w:numFmt w:val="bullet"/>
      <w:lvlText w:val="•"/>
      <w:lvlJc w:val="left"/>
      <w:pPr>
        <w:ind w:left="4678" w:hanging="201"/>
      </w:pPr>
      <w:rPr>
        <w:rFonts w:hint="default"/>
        <w:lang w:val="en-US" w:eastAsia="en-US" w:bidi="ar-SA"/>
      </w:rPr>
    </w:lvl>
    <w:lvl w:ilvl="5" w:tplc="1EE0DAF6">
      <w:numFmt w:val="bullet"/>
      <w:lvlText w:val="•"/>
      <w:lvlJc w:val="left"/>
      <w:pPr>
        <w:ind w:left="5623" w:hanging="201"/>
      </w:pPr>
      <w:rPr>
        <w:rFonts w:hint="default"/>
        <w:lang w:val="en-US" w:eastAsia="en-US" w:bidi="ar-SA"/>
      </w:rPr>
    </w:lvl>
    <w:lvl w:ilvl="6" w:tplc="A3B872DA">
      <w:numFmt w:val="bullet"/>
      <w:lvlText w:val="•"/>
      <w:lvlJc w:val="left"/>
      <w:pPr>
        <w:ind w:left="6567" w:hanging="201"/>
      </w:pPr>
      <w:rPr>
        <w:rFonts w:hint="default"/>
        <w:lang w:val="en-US" w:eastAsia="en-US" w:bidi="ar-SA"/>
      </w:rPr>
    </w:lvl>
    <w:lvl w:ilvl="7" w:tplc="97A8ADD2">
      <w:numFmt w:val="bullet"/>
      <w:lvlText w:val="•"/>
      <w:lvlJc w:val="left"/>
      <w:pPr>
        <w:ind w:left="7512" w:hanging="201"/>
      </w:pPr>
      <w:rPr>
        <w:rFonts w:hint="default"/>
        <w:lang w:val="en-US" w:eastAsia="en-US" w:bidi="ar-SA"/>
      </w:rPr>
    </w:lvl>
    <w:lvl w:ilvl="8" w:tplc="EEBA0ECA">
      <w:numFmt w:val="bullet"/>
      <w:lvlText w:val="•"/>
      <w:lvlJc w:val="left"/>
      <w:pPr>
        <w:ind w:left="8457" w:hanging="201"/>
      </w:pPr>
      <w:rPr>
        <w:rFonts w:hint="default"/>
        <w:lang w:val="en-US" w:eastAsia="en-US" w:bidi="ar-SA"/>
      </w:rPr>
    </w:lvl>
  </w:abstractNum>
  <w:abstractNum w:abstractNumId="11" w15:restartNumberingAfterBreak="0">
    <w:nsid w:val="53C5056B"/>
    <w:multiLevelType w:val="multilevel"/>
    <w:tmpl w:val="11BCC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544104F6"/>
    <w:multiLevelType w:val="multilevel"/>
    <w:tmpl w:val="E7D6A86C"/>
    <w:lvl w:ilvl="0">
      <w:start w:val="2"/>
      <w:numFmt w:val="decimal"/>
      <w:lvlText w:val="%1"/>
      <w:lvlJc w:val="left"/>
      <w:pPr>
        <w:ind w:left="804" w:hanging="493"/>
      </w:pPr>
      <w:rPr>
        <w:rFonts w:hint="default"/>
        <w:lang w:val="en-US" w:eastAsia="en-US" w:bidi="ar-SA"/>
      </w:rPr>
    </w:lvl>
    <w:lvl w:ilvl="1">
      <w:start w:val="3"/>
      <w:numFmt w:val="decimal"/>
      <w:lvlText w:val="%1.%2."/>
      <w:lvlJc w:val="left"/>
      <w:pPr>
        <w:ind w:left="804" w:hanging="493"/>
      </w:pPr>
      <w:rPr>
        <w:rFonts w:ascii="Cambria" w:eastAsia="Cambria" w:hAnsi="Cambria" w:cs="Cambria" w:hint="default"/>
        <w:b w:val="0"/>
        <w:bCs w:val="0"/>
        <w:i/>
        <w:iCs/>
        <w:spacing w:val="0"/>
        <w:w w:val="102"/>
        <w:sz w:val="24"/>
        <w:szCs w:val="24"/>
        <w:lang w:val="en-US" w:eastAsia="en-US" w:bidi="ar-SA"/>
      </w:rPr>
    </w:lvl>
    <w:lvl w:ilvl="2">
      <w:numFmt w:val="bullet"/>
      <w:lvlText w:val="•"/>
      <w:lvlJc w:val="left"/>
      <w:pPr>
        <w:ind w:left="2709" w:hanging="493"/>
      </w:pPr>
      <w:rPr>
        <w:rFonts w:hint="default"/>
        <w:lang w:val="en-US" w:eastAsia="en-US" w:bidi="ar-SA"/>
      </w:rPr>
    </w:lvl>
    <w:lvl w:ilvl="3">
      <w:numFmt w:val="bullet"/>
      <w:lvlText w:val="•"/>
      <w:lvlJc w:val="left"/>
      <w:pPr>
        <w:ind w:left="3663" w:hanging="493"/>
      </w:pPr>
      <w:rPr>
        <w:rFonts w:hint="default"/>
        <w:lang w:val="en-US" w:eastAsia="en-US" w:bidi="ar-SA"/>
      </w:rPr>
    </w:lvl>
    <w:lvl w:ilvl="4">
      <w:numFmt w:val="bullet"/>
      <w:lvlText w:val="•"/>
      <w:lvlJc w:val="left"/>
      <w:pPr>
        <w:ind w:left="4618" w:hanging="493"/>
      </w:pPr>
      <w:rPr>
        <w:rFonts w:hint="default"/>
        <w:lang w:val="en-US" w:eastAsia="en-US" w:bidi="ar-SA"/>
      </w:rPr>
    </w:lvl>
    <w:lvl w:ilvl="5">
      <w:numFmt w:val="bullet"/>
      <w:lvlText w:val="•"/>
      <w:lvlJc w:val="left"/>
      <w:pPr>
        <w:ind w:left="5573" w:hanging="493"/>
      </w:pPr>
      <w:rPr>
        <w:rFonts w:hint="default"/>
        <w:lang w:val="en-US" w:eastAsia="en-US" w:bidi="ar-SA"/>
      </w:rPr>
    </w:lvl>
    <w:lvl w:ilvl="6">
      <w:numFmt w:val="bullet"/>
      <w:lvlText w:val="•"/>
      <w:lvlJc w:val="left"/>
      <w:pPr>
        <w:ind w:left="6527" w:hanging="493"/>
      </w:pPr>
      <w:rPr>
        <w:rFonts w:hint="default"/>
        <w:lang w:val="en-US" w:eastAsia="en-US" w:bidi="ar-SA"/>
      </w:rPr>
    </w:lvl>
    <w:lvl w:ilvl="7">
      <w:numFmt w:val="bullet"/>
      <w:lvlText w:val="•"/>
      <w:lvlJc w:val="left"/>
      <w:pPr>
        <w:ind w:left="7482" w:hanging="493"/>
      </w:pPr>
      <w:rPr>
        <w:rFonts w:hint="default"/>
        <w:lang w:val="en-US" w:eastAsia="en-US" w:bidi="ar-SA"/>
      </w:rPr>
    </w:lvl>
    <w:lvl w:ilvl="8">
      <w:numFmt w:val="bullet"/>
      <w:lvlText w:val="•"/>
      <w:lvlJc w:val="left"/>
      <w:pPr>
        <w:ind w:left="8437" w:hanging="493"/>
      </w:pPr>
      <w:rPr>
        <w:rFonts w:hint="default"/>
        <w:lang w:val="en-US" w:eastAsia="en-US" w:bidi="ar-SA"/>
      </w:rPr>
    </w:lvl>
  </w:abstractNum>
  <w:abstractNum w:abstractNumId="13" w15:restartNumberingAfterBreak="0">
    <w:nsid w:val="5A1B0885"/>
    <w:multiLevelType w:val="multilevel"/>
    <w:tmpl w:val="1E9E00B0"/>
    <w:lvl w:ilvl="0">
      <w:start w:val="1"/>
      <w:numFmt w:val="decimal"/>
      <w:pStyle w:val="1"/>
      <w:lvlText w:val="%1."/>
      <w:lvlJc w:val="left"/>
      <w:pPr>
        <w:ind w:left="807" w:hanging="496"/>
      </w:pPr>
      <w:rPr>
        <w:rFonts w:hint="default"/>
        <w:b/>
        <w:bCs/>
        <w:i w:val="0"/>
        <w:iCs w:val="0"/>
        <w:spacing w:val="0"/>
        <w:w w:val="101"/>
        <w:sz w:val="49"/>
        <w:szCs w:val="49"/>
        <w:lang w:val="en-US" w:eastAsia="en-US" w:bidi="ar-SA"/>
      </w:rPr>
    </w:lvl>
    <w:lvl w:ilvl="1">
      <w:start w:val="1"/>
      <w:numFmt w:val="decimal"/>
      <w:pStyle w:val="2"/>
      <w:lvlText w:val="%1.%2"/>
      <w:lvlJc w:val="left"/>
      <w:pPr>
        <w:ind w:left="1059" w:hanging="775"/>
      </w:pPr>
      <w:rPr>
        <w:lang w:bidi="ar-SA"/>
      </w:rPr>
    </w:lvl>
    <w:lvl w:ilvl="2">
      <w:start w:val="1"/>
      <w:numFmt w:val="decimal"/>
      <w:pStyle w:val="3"/>
      <w:lvlText w:val="%1.%2.%3"/>
      <w:lvlJc w:val="left"/>
      <w:pPr>
        <w:ind w:left="1172" w:hanging="861"/>
      </w:pPr>
      <w:rPr>
        <w:rFonts w:ascii="Times New Roman" w:eastAsia="宋体"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14" w15:restartNumberingAfterBreak="0">
    <w:nsid w:val="624545E8"/>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15" w15:restartNumberingAfterBreak="0">
    <w:nsid w:val="63D37417"/>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16" w15:restartNumberingAfterBreak="0">
    <w:nsid w:val="64962DC5"/>
    <w:multiLevelType w:val="multilevel"/>
    <w:tmpl w:val="2D1AB388"/>
    <w:lvl w:ilvl="0">
      <w:start w:val="1"/>
      <w:numFmt w:val="decimal"/>
      <w:lvlText w:val="%1"/>
      <w:lvlJc w:val="left"/>
      <w:pPr>
        <w:ind w:left="807" w:hanging="496"/>
        <w:jc w:val="righ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72"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180" w:hanging="861"/>
      </w:pPr>
      <w:rPr>
        <w:rFonts w:hint="default"/>
        <w:lang w:val="en-US" w:eastAsia="en-US" w:bidi="ar-SA"/>
      </w:rPr>
    </w:lvl>
    <w:lvl w:ilvl="4">
      <w:numFmt w:val="bullet"/>
      <w:lvlText w:val="•"/>
      <w:lvlJc w:val="left"/>
      <w:pPr>
        <w:ind w:left="2489" w:hanging="861"/>
      </w:pPr>
      <w:rPr>
        <w:rFonts w:hint="default"/>
        <w:lang w:val="en-US" w:eastAsia="en-US" w:bidi="ar-SA"/>
      </w:rPr>
    </w:lvl>
    <w:lvl w:ilvl="5">
      <w:numFmt w:val="bullet"/>
      <w:lvlText w:val="•"/>
      <w:lvlJc w:val="left"/>
      <w:pPr>
        <w:ind w:left="3799" w:hanging="861"/>
      </w:pPr>
      <w:rPr>
        <w:rFonts w:hint="default"/>
        <w:lang w:val="en-US" w:eastAsia="en-US" w:bidi="ar-SA"/>
      </w:rPr>
    </w:lvl>
    <w:lvl w:ilvl="6">
      <w:numFmt w:val="bullet"/>
      <w:lvlText w:val="•"/>
      <w:lvlJc w:val="left"/>
      <w:pPr>
        <w:ind w:left="5108" w:hanging="861"/>
      </w:pPr>
      <w:rPr>
        <w:rFonts w:hint="default"/>
        <w:lang w:val="en-US" w:eastAsia="en-US" w:bidi="ar-SA"/>
      </w:rPr>
    </w:lvl>
    <w:lvl w:ilvl="7">
      <w:numFmt w:val="bullet"/>
      <w:lvlText w:val="•"/>
      <w:lvlJc w:val="left"/>
      <w:pPr>
        <w:ind w:left="6418" w:hanging="861"/>
      </w:pPr>
      <w:rPr>
        <w:rFonts w:hint="default"/>
        <w:lang w:val="en-US" w:eastAsia="en-US" w:bidi="ar-SA"/>
      </w:rPr>
    </w:lvl>
    <w:lvl w:ilvl="8">
      <w:numFmt w:val="bullet"/>
      <w:lvlText w:val="•"/>
      <w:lvlJc w:val="left"/>
      <w:pPr>
        <w:ind w:left="7727" w:hanging="861"/>
      </w:pPr>
      <w:rPr>
        <w:rFonts w:hint="default"/>
        <w:lang w:val="en-US" w:eastAsia="en-US" w:bidi="ar-SA"/>
      </w:rPr>
    </w:lvl>
  </w:abstractNum>
  <w:abstractNum w:abstractNumId="17" w15:restartNumberingAfterBreak="0">
    <w:nsid w:val="66D30692"/>
    <w:multiLevelType w:val="multilevel"/>
    <w:tmpl w:val="82BCF714"/>
    <w:lvl w:ilvl="0">
      <w:start w:val="1"/>
      <w:numFmt w:val="decimal"/>
      <w:pStyle w:val="4"/>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15:restartNumberingAfterBreak="0">
    <w:nsid w:val="68C351B8"/>
    <w:multiLevelType w:val="hybridMultilevel"/>
    <w:tmpl w:val="9FB093BC"/>
    <w:lvl w:ilvl="0" w:tplc="06D8DBB6">
      <w:start w:val="1"/>
      <w:numFmt w:val="upperLetter"/>
      <w:lvlText w:val="%1"/>
      <w:lvlJc w:val="left"/>
      <w:pPr>
        <w:ind w:left="670" w:hanging="359"/>
      </w:pPr>
      <w:rPr>
        <w:rFonts w:ascii="Times New Roman" w:eastAsia="Times New Roman" w:hAnsi="Times New Roman" w:cs="Times New Roman" w:hint="default"/>
        <w:b/>
        <w:bCs/>
        <w:i w:val="0"/>
        <w:iCs w:val="0"/>
        <w:color w:val="8C0000"/>
        <w:spacing w:val="0"/>
        <w:w w:val="99"/>
        <w:sz w:val="24"/>
        <w:szCs w:val="24"/>
        <w:lang w:val="en-US" w:eastAsia="en-US" w:bidi="ar-SA"/>
      </w:rPr>
    </w:lvl>
    <w:lvl w:ilvl="1" w:tplc="68BE9DF2">
      <w:numFmt w:val="bullet"/>
      <w:lvlText w:val="•"/>
      <w:lvlJc w:val="left"/>
      <w:pPr>
        <w:ind w:left="1646" w:hanging="359"/>
      </w:pPr>
      <w:rPr>
        <w:rFonts w:hint="default"/>
        <w:lang w:val="en-US" w:eastAsia="en-US" w:bidi="ar-SA"/>
      </w:rPr>
    </w:lvl>
    <w:lvl w:ilvl="2" w:tplc="BA9A2074">
      <w:numFmt w:val="bullet"/>
      <w:lvlText w:val="•"/>
      <w:lvlJc w:val="left"/>
      <w:pPr>
        <w:ind w:left="2613" w:hanging="359"/>
      </w:pPr>
      <w:rPr>
        <w:rFonts w:hint="default"/>
        <w:lang w:val="en-US" w:eastAsia="en-US" w:bidi="ar-SA"/>
      </w:rPr>
    </w:lvl>
    <w:lvl w:ilvl="3" w:tplc="4AD433C8">
      <w:numFmt w:val="bullet"/>
      <w:lvlText w:val="•"/>
      <w:lvlJc w:val="left"/>
      <w:pPr>
        <w:ind w:left="3579" w:hanging="359"/>
      </w:pPr>
      <w:rPr>
        <w:rFonts w:hint="default"/>
        <w:lang w:val="en-US" w:eastAsia="en-US" w:bidi="ar-SA"/>
      </w:rPr>
    </w:lvl>
    <w:lvl w:ilvl="4" w:tplc="FA727206">
      <w:numFmt w:val="bullet"/>
      <w:lvlText w:val="•"/>
      <w:lvlJc w:val="left"/>
      <w:pPr>
        <w:ind w:left="4546" w:hanging="359"/>
      </w:pPr>
      <w:rPr>
        <w:rFonts w:hint="default"/>
        <w:lang w:val="en-US" w:eastAsia="en-US" w:bidi="ar-SA"/>
      </w:rPr>
    </w:lvl>
    <w:lvl w:ilvl="5" w:tplc="CA3E41FA">
      <w:numFmt w:val="bullet"/>
      <w:lvlText w:val="•"/>
      <w:lvlJc w:val="left"/>
      <w:pPr>
        <w:ind w:left="5513" w:hanging="359"/>
      </w:pPr>
      <w:rPr>
        <w:rFonts w:hint="default"/>
        <w:lang w:val="en-US" w:eastAsia="en-US" w:bidi="ar-SA"/>
      </w:rPr>
    </w:lvl>
    <w:lvl w:ilvl="6" w:tplc="861C5854">
      <w:numFmt w:val="bullet"/>
      <w:lvlText w:val="•"/>
      <w:lvlJc w:val="left"/>
      <w:pPr>
        <w:ind w:left="6479" w:hanging="359"/>
      </w:pPr>
      <w:rPr>
        <w:rFonts w:hint="default"/>
        <w:lang w:val="en-US" w:eastAsia="en-US" w:bidi="ar-SA"/>
      </w:rPr>
    </w:lvl>
    <w:lvl w:ilvl="7" w:tplc="EF7E5CA2">
      <w:numFmt w:val="bullet"/>
      <w:lvlText w:val="•"/>
      <w:lvlJc w:val="left"/>
      <w:pPr>
        <w:ind w:left="7446" w:hanging="359"/>
      </w:pPr>
      <w:rPr>
        <w:rFonts w:hint="default"/>
        <w:lang w:val="en-US" w:eastAsia="en-US" w:bidi="ar-SA"/>
      </w:rPr>
    </w:lvl>
    <w:lvl w:ilvl="8" w:tplc="38DA5D8E">
      <w:numFmt w:val="bullet"/>
      <w:lvlText w:val="•"/>
      <w:lvlJc w:val="left"/>
      <w:pPr>
        <w:ind w:left="8413" w:hanging="359"/>
      </w:pPr>
      <w:rPr>
        <w:rFonts w:hint="default"/>
        <w:lang w:val="en-US" w:eastAsia="en-US" w:bidi="ar-SA"/>
      </w:rPr>
    </w:lvl>
  </w:abstractNum>
  <w:abstractNum w:abstractNumId="19" w15:restartNumberingAfterBreak="0">
    <w:nsid w:val="72D639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5CC626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36148541">
    <w:abstractNumId w:val="4"/>
  </w:num>
  <w:num w:numId="2" w16cid:durableId="537207471">
    <w:abstractNumId w:val="5"/>
  </w:num>
  <w:num w:numId="3" w16cid:durableId="1582131027">
    <w:abstractNumId w:val="12"/>
  </w:num>
  <w:num w:numId="4" w16cid:durableId="455101551">
    <w:abstractNumId w:val="13"/>
  </w:num>
  <w:num w:numId="5" w16cid:durableId="223834201">
    <w:abstractNumId w:val="6"/>
  </w:num>
  <w:num w:numId="6" w16cid:durableId="977106602">
    <w:abstractNumId w:val="7"/>
  </w:num>
  <w:num w:numId="7" w16cid:durableId="1978995789">
    <w:abstractNumId w:val="18"/>
  </w:num>
  <w:num w:numId="8" w16cid:durableId="1700355345">
    <w:abstractNumId w:val="9"/>
  </w:num>
  <w:num w:numId="9" w16cid:durableId="235669804">
    <w:abstractNumId w:val="10"/>
  </w:num>
  <w:num w:numId="10" w16cid:durableId="1663585361">
    <w:abstractNumId w:val="3"/>
  </w:num>
  <w:num w:numId="11" w16cid:durableId="1599173158">
    <w:abstractNumId w:val="16"/>
  </w:num>
  <w:num w:numId="12" w16cid:durableId="401756222">
    <w:abstractNumId w:val="14"/>
  </w:num>
  <w:num w:numId="13" w16cid:durableId="681709349">
    <w:abstractNumId w:val="0"/>
  </w:num>
  <w:num w:numId="14" w16cid:durableId="1214659807">
    <w:abstractNumId w:val="1"/>
  </w:num>
  <w:num w:numId="15" w16cid:durableId="322974398">
    <w:abstractNumId w:val="15"/>
  </w:num>
  <w:num w:numId="16" w16cid:durableId="396051433">
    <w:abstractNumId w:val="2"/>
  </w:num>
  <w:num w:numId="17" w16cid:durableId="207228415">
    <w:abstractNumId w:val="8"/>
  </w:num>
  <w:num w:numId="18" w16cid:durableId="1449010095">
    <w:abstractNumId w:val="17"/>
  </w:num>
  <w:num w:numId="19" w16cid:durableId="2057192674">
    <w:abstractNumId w:val="11"/>
  </w:num>
  <w:num w:numId="20" w16cid:durableId="1319921250">
    <w:abstractNumId w:val="13"/>
  </w:num>
  <w:num w:numId="21" w16cid:durableId="179778595">
    <w:abstractNumId w:val="19"/>
  </w:num>
  <w:num w:numId="22" w16cid:durableId="10510037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42DAB"/>
    <w:rsid w:val="000B74B6"/>
    <w:rsid w:val="000F02EA"/>
    <w:rsid w:val="000F6E69"/>
    <w:rsid w:val="00103AAF"/>
    <w:rsid w:val="0015111B"/>
    <w:rsid w:val="00175D7E"/>
    <w:rsid w:val="001844D4"/>
    <w:rsid w:val="001A7AA4"/>
    <w:rsid w:val="001B45C4"/>
    <w:rsid w:val="00241164"/>
    <w:rsid w:val="002C24CD"/>
    <w:rsid w:val="00377107"/>
    <w:rsid w:val="00380E18"/>
    <w:rsid w:val="003A6C5D"/>
    <w:rsid w:val="003D4056"/>
    <w:rsid w:val="003F0191"/>
    <w:rsid w:val="004D0661"/>
    <w:rsid w:val="00571ACB"/>
    <w:rsid w:val="00596C04"/>
    <w:rsid w:val="005A51C6"/>
    <w:rsid w:val="005D74E9"/>
    <w:rsid w:val="005E2FD3"/>
    <w:rsid w:val="00644E79"/>
    <w:rsid w:val="006915C9"/>
    <w:rsid w:val="006C4138"/>
    <w:rsid w:val="00742706"/>
    <w:rsid w:val="007437FB"/>
    <w:rsid w:val="007C4F3E"/>
    <w:rsid w:val="00806C61"/>
    <w:rsid w:val="008348C4"/>
    <w:rsid w:val="0086529A"/>
    <w:rsid w:val="008962E1"/>
    <w:rsid w:val="0092012C"/>
    <w:rsid w:val="00923C4E"/>
    <w:rsid w:val="00931CEC"/>
    <w:rsid w:val="00953456"/>
    <w:rsid w:val="00971E1E"/>
    <w:rsid w:val="009A0888"/>
    <w:rsid w:val="009F059F"/>
    <w:rsid w:val="00A42DAB"/>
    <w:rsid w:val="00A65200"/>
    <w:rsid w:val="00A82873"/>
    <w:rsid w:val="00A83861"/>
    <w:rsid w:val="00AE2BE5"/>
    <w:rsid w:val="00B61C1F"/>
    <w:rsid w:val="00B85CC0"/>
    <w:rsid w:val="00BD40EE"/>
    <w:rsid w:val="00C37490"/>
    <w:rsid w:val="00C54824"/>
    <w:rsid w:val="00C61C24"/>
    <w:rsid w:val="00D72BC3"/>
    <w:rsid w:val="00DA6E81"/>
    <w:rsid w:val="00DC6C08"/>
    <w:rsid w:val="00E13FDC"/>
    <w:rsid w:val="00E47825"/>
    <w:rsid w:val="00ED2788"/>
    <w:rsid w:val="00EF101E"/>
    <w:rsid w:val="00EF5C7E"/>
    <w:rsid w:val="00F058C0"/>
    <w:rsid w:val="00FF7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CC8B9"/>
  <w15:docId w15:val="{F17BC130-2F6D-4841-90BE-B61D37084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rsid w:val="00DC6C08"/>
    <w:pPr>
      <w:numPr>
        <w:numId w:val="4"/>
      </w:numPr>
      <w:outlineLvl w:val="0"/>
    </w:pPr>
    <w:rPr>
      <w:b/>
      <w:bCs/>
      <w:sz w:val="49"/>
      <w:szCs w:val="49"/>
    </w:rPr>
  </w:style>
  <w:style w:type="paragraph" w:styleId="2">
    <w:name w:val="heading 2"/>
    <w:basedOn w:val="3"/>
    <w:uiPriority w:val="9"/>
    <w:unhideWhenUsed/>
    <w:qFormat/>
    <w:rsid w:val="00380E18"/>
    <w:pPr>
      <w:numPr>
        <w:ilvl w:val="1"/>
      </w:numPr>
      <w:outlineLvl w:val="1"/>
    </w:pPr>
    <w:rPr>
      <w:rFonts w:eastAsia="宋体"/>
      <w:w w:val="101"/>
      <w:sz w:val="34"/>
      <w:szCs w:val="34"/>
    </w:rPr>
  </w:style>
  <w:style w:type="paragraph" w:styleId="3">
    <w:name w:val="heading 3"/>
    <w:basedOn w:val="a0"/>
    <w:uiPriority w:val="9"/>
    <w:unhideWhenUsed/>
    <w:qFormat/>
    <w:rsid w:val="004D0661"/>
    <w:pPr>
      <w:numPr>
        <w:ilvl w:val="2"/>
        <w:numId w:val="4"/>
      </w:numPr>
      <w:spacing w:before="308" w:line="312" w:lineRule="auto"/>
      <w:ind w:right="1865"/>
      <w:jc w:val="both"/>
      <w:outlineLvl w:val="2"/>
    </w:pPr>
    <w:rPr>
      <w:b/>
      <w:bCs/>
      <w:sz w:val="28"/>
      <w:szCs w:val="28"/>
    </w:rPr>
  </w:style>
  <w:style w:type="paragraph" w:styleId="4">
    <w:name w:val="heading 4"/>
    <w:basedOn w:val="a0"/>
    <w:uiPriority w:val="9"/>
    <w:unhideWhenUsed/>
    <w:qFormat/>
    <w:rsid w:val="00175D7E"/>
    <w:pPr>
      <w:numPr>
        <w:numId w:val="18"/>
      </w:numPr>
      <w:spacing w:before="309" w:line="312" w:lineRule="auto"/>
      <w:ind w:right="1642"/>
      <w:outlineLvl w:val="3"/>
    </w:pPr>
    <w:rPr>
      <w:rFonts w:eastAsia="宋体"/>
      <w:b/>
      <w:bCs/>
      <w:lang w:eastAsia="zh-CN"/>
    </w:rPr>
  </w:style>
  <w:style w:type="paragraph" w:styleId="5">
    <w:name w:val="heading 5"/>
    <w:basedOn w:val="a"/>
    <w:uiPriority w:val="9"/>
    <w:unhideWhenUsed/>
    <w:qFormat/>
    <w:pPr>
      <w:ind w:left="311"/>
      <w:outlineLvl w:val="4"/>
    </w:pPr>
    <w:rPr>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pPr>
      <w:spacing w:before="322"/>
      <w:ind w:left="311"/>
    </w:pPr>
    <w:rPr>
      <w:b/>
      <w:bCs/>
      <w:sz w:val="24"/>
      <w:szCs w:val="24"/>
    </w:rPr>
  </w:style>
  <w:style w:type="paragraph" w:styleId="TOC2">
    <w:name w:val="toc 2"/>
    <w:basedOn w:val="a"/>
    <w:uiPriority w:val="39"/>
    <w:qFormat/>
    <w:pPr>
      <w:spacing w:before="322"/>
      <w:ind w:left="311"/>
    </w:pPr>
    <w:rPr>
      <w:b/>
      <w:bCs/>
      <w:sz w:val="24"/>
      <w:szCs w:val="24"/>
    </w:rPr>
  </w:style>
  <w:style w:type="paragraph" w:styleId="TOC3">
    <w:name w:val="toc 3"/>
    <w:basedOn w:val="a"/>
    <w:uiPriority w:val="39"/>
    <w:qFormat/>
    <w:pPr>
      <w:spacing w:before="82"/>
      <w:ind w:left="1220" w:hanging="550"/>
    </w:pPr>
    <w:rPr>
      <w:sz w:val="24"/>
      <w:szCs w:val="24"/>
    </w:rPr>
  </w:style>
  <w:style w:type="paragraph" w:styleId="TOC4">
    <w:name w:val="toc 4"/>
    <w:basedOn w:val="a"/>
    <w:uiPriority w:val="39"/>
    <w:qFormat/>
    <w:pPr>
      <w:spacing w:before="83"/>
      <w:ind w:left="1985" w:hanging="765"/>
    </w:pPr>
    <w:rPr>
      <w:sz w:val="24"/>
      <w:szCs w:val="24"/>
    </w:rPr>
  </w:style>
  <w:style w:type="paragraph" w:styleId="a0">
    <w:name w:val="Body Text"/>
    <w:basedOn w:val="a"/>
    <w:link w:val="a4"/>
    <w:uiPriority w:val="1"/>
    <w:qFormat/>
    <w:rPr>
      <w:sz w:val="24"/>
      <w:szCs w:val="24"/>
    </w:rPr>
  </w:style>
  <w:style w:type="paragraph" w:styleId="a5">
    <w:name w:val="List Paragraph"/>
    <w:basedOn w:val="a"/>
    <w:uiPriority w:val="1"/>
    <w:qFormat/>
    <w:pPr>
      <w:ind w:left="1220" w:hanging="550"/>
    </w:pPr>
  </w:style>
  <w:style w:type="paragraph" w:customStyle="1" w:styleId="TableParagraph">
    <w:name w:val="Table Paragraph"/>
    <w:basedOn w:val="a"/>
    <w:uiPriority w:val="1"/>
    <w:qFormat/>
    <w:pPr>
      <w:ind w:left="9"/>
    </w:pPr>
  </w:style>
  <w:style w:type="paragraph" w:styleId="a6">
    <w:name w:val="header"/>
    <w:basedOn w:val="a"/>
    <w:link w:val="a7"/>
    <w:uiPriority w:val="99"/>
    <w:unhideWhenUsed/>
    <w:rsid w:val="00ED2788"/>
    <w:pPr>
      <w:tabs>
        <w:tab w:val="center" w:pos="4153"/>
        <w:tab w:val="right" w:pos="8306"/>
      </w:tabs>
      <w:snapToGrid w:val="0"/>
      <w:jc w:val="center"/>
    </w:pPr>
    <w:rPr>
      <w:sz w:val="18"/>
      <w:szCs w:val="18"/>
    </w:rPr>
  </w:style>
  <w:style w:type="character" w:customStyle="1" w:styleId="a7">
    <w:name w:val="页眉 字符"/>
    <w:basedOn w:val="a1"/>
    <w:link w:val="a6"/>
    <w:uiPriority w:val="99"/>
    <w:rsid w:val="00ED2788"/>
    <w:rPr>
      <w:rFonts w:ascii="Times New Roman" w:eastAsia="Times New Roman" w:hAnsi="Times New Roman" w:cs="Times New Roman"/>
      <w:sz w:val="18"/>
      <w:szCs w:val="18"/>
    </w:rPr>
  </w:style>
  <w:style w:type="paragraph" w:styleId="a8">
    <w:name w:val="footer"/>
    <w:basedOn w:val="a"/>
    <w:link w:val="a9"/>
    <w:uiPriority w:val="99"/>
    <w:unhideWhenUsed/>
    <w:rsid w:val="00ED2788"/>
    <w:pPr>
      <w:tabs>
        <w:tab w:val="center" w:pos="4153"/>
        <w:tab w:val="right" w:pos="8306"/>
      </w:tabs>
      <w:snapToGrid w:val="0"/>
    </w:pPr>
    <w:rPr>
      <w:sz w:val="18"/>
      <w:szCs w:val="18"/>
    </w:rPr>
  </w:style>
  <w:style w:type="character" w:customStyle="1" w:styleId="a9">
    <w:name w:val="页脚 字符"/>
    <w:basedOn w:val="a1"/>
    <w:link w:val="a8"/>
    <w:uiPriority w:val="99"/>
    <w:rsid w:val="00ED2788"/>
    <w:rPr>
      <w:rFonts w:ascii="Times New Roman" w:eastAsia="Times New Roman" w:hAnsi="Times New Roman" w:cs="Times New Roman"/>
      <w:sz w:val="18"/>
      <w:szCs w:val="18"/>
    </w:rPr>
  </w:style>
  <w:style w:type="character" w:customStyle="1" w:styleId="a4">
    <w:name w:val="正文文本 字符"/>
    <w:basedOn w:val="a1"/>
    <w:link w:val="a0"/>
    <w:uiPriority w:val="1"/>
    <w:rsid w:val="00AE2BE5"/>
    <w:rPr>
      <w:rFonts w:ascii="Times New Roman" w:eastAsia="Times New Roman" w:hAnsi="Times New Roman" w:cs="Times New Roman"/>
      <w:sz w:val="24"/>
      <w:szCs w:val="24"/>
    </w:rPr>
  </w:style>
  <w:style w:type="paragraph" w:styleId="aa">
    <w:name w:val="caption"/>
    <w:basedOn w:val="a"/>
    <w:next w:val="a"/>
    <w:uiPriority w:val="35"/>
    <w:unhideWhenUsed/>
    <w:qFormat/>
    <w:rsid w:val="00AE2BE5"/>
    <w:rPr>
      <w:rFonts w:asciiTheme="majorHAnsi" w:eastAsia="黑体" w:hAnsiTheme="majorHAnsi" w:cstheme="majorBidi"/>
      <w:sz w:val="20"/>
      <w:szCs w:val="20"/>
    </w:rPr>
  </w:style>
  <w:style w:type="character" w:styleId="ab">
    <w:name w:val="Hyperlink"/>
    <w:basedOn w:val="a1"/>
    <w:uiPriority w:val="99"/>
    <w:unhideWhenUsed/>
    <w:rsid w:val="00D72BC3"/>
    <w:rPr>
      <w:color w:val="0000FF" w:themeColor="hyperlink"/>
      <w:u w:val="single"/>
    </w:rPr>
  </w:style>
  <w:style w:type="character" w:styleId="ac">
    <w:name w:val="Unresolved Mention"/>
    <w:basedOn w:val="a1"/>
    <w:uiPriority w:val="99"/>
    <w:semiHidden/>
    <w:unhideWhenUsed/>
    <w:rsid w:val="00D72BC3"/>
    <w:rPr>
      <w:color w:val="605E5C"/>
      <w:shd w:val="clear" w:color="auto" w:fill="E1DFDD"/>
    </w:rPr>
  </w:style>
  <w:style w:type="character" w:styleId="ad">
    <w:name w:val="FollowedHyperlink"/>
    <w:basedOn w:val="a1"/>
    <w:uiPriority w:val="99"/>
    <w:semiHidden/>
    <w:unhideWhenUsed/>
    <w:rsid w:val="00D72BC3"/>
    <w:rPr>
      <w:color w:val="800080" w:themeColor="followedHyperlink"/>
      <w:u w:val="single"/>
    </w:rPr>
  </w:style>
  <w:style w:type="table" w:styleId="ae">
    <w:name w:val="Table Grid"/>
    <w:basedOn w:val="a2"/>
    <w:uiPriority w:val="39"/>
    <w:rsid w:val="000B74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uiPriority w:val="10"/>
    <w:qFormat/>
    <w:rsid w:val="00380E18"/>
    <w:pPr>
      <w:spacing w:before="240" w:after="60"/>
      <w:jc w:val="center"/>
      <w:outlineLvl w:val="0"/>
    </w:pPr>
    <w:rPr>
      <w:rFonts w:asciiTheme="majorHAnsi" w:eastAsiaTheme="majorEastAsia" w:hAnsiTheme="majorHAnsi" w:cstheme="majorBidi"/>
      <w:b/>
      <w:bCs/>
      <w:sz w:val="32"/>
      <w:szCs w:val="32"/>
    </w:rPr>
  </w:style>
  <w:style w:type="character" w:customStyle="1" w:styleId="af0">
    <w:name w:val="标题 字符"/>
    <w:basedOn w:val="a1"/>
    <w:link w:val="af"/>
    <w:uiPriority w:val="10"/>
    <w:rsid w:val="00380E18"/>
    <w:rPr>
      <w:rFonts w:asciiTheme="majorHAnsi" w:eastAsiaTheme="majorEastAsia" w:hAnsiTheme="majorHAnsi" w:cstheme="majorBidi"/>
      <w:b/>
      <w:bCs/>
      <w:sz w:val="32"/>
      <w:szCs w:val="32"/>
    </w:rPr>
  </w:style>
  <w:style w:type="paragraph" w:styleId="TOC5">
    <w:name w:val="toc 5"/>
    <w:basedOn w:val="a"/>
    <w:next w:val="a"/>
    <w:autoRedefine/>
    <w:uiPriority w:val="39"/>
    <w:unhideWhenUsed/>
    <w:rsid w:val="001A7AA4"/>
    <w:pPr>
      <w:autoSpaceDE/>
      <w:autoSpaceDN/>
      <w:spacing w:after="160" w:line="278" w:lineRule="auto"/>
      <w:ind w:leftChars="800" w:left="1680"/>
    </w:pPr>
    <w:rPr>
      <w:rFonts w:asciiTheme="minorHAnsi" w:eastAsiaTheme="minorEastAsia" w:hAnsiTheme="minorHAnsi" w:cstheme="minorBidi"/>
      <w:kern w:val="2"/>
      <w:szCs w:val="24"/>
      <w:lang w:eastAsia="zh-CN"/>
      <w14:ligatures w14:val="standardContextual"/>
    </w:rPr>
  </w:style>
  <w:style w:type="paragraph" w:styleId="TOC6">
    <w:name w:val="toc 6"/>
    <w:basedOn w:val="a"/>
    <w:next w:val="a"/>
    <w:autoRedefine/>
    <w:uiPriority w:val="39"/>
    <w:unhideWhenUsed/>
    <w:rsid w:val="001A7AA4"/>
    <w:pPr>
      <w:autoSpaceDE/>
      <w:autoSpaceDN/>
      <w:spacing w:after="160" w:line="278" w:lineRule="auto"/>
      <w:ind w:leftChars="1000" w:left="2100"/>
    </w:pPr>
    <w:rPr>
      <w:rFonts w:asciiTheme="minorHAnsi" w:eastAsiaTheme="minorEastAsia" w:hAnsiTheme="minorHAnsi" w:cstheme="minorBidi"/>
      <w:kern w:val="2"/>
      <w:szCs w:val="24"/>
      <w:lang w:eastAsia="zh-CN"/>
      <w14:ligatures w14:val="standardContextual"/>
    </w:rPr>
  </w:style>
  <w:style w:type="paragraph" w:styleId="TOC7">
    <w:name w:val="toc 7"/>
    <w:basedOn w:val="a"/>
    <w:next w:val="a"/>
    <w:autoRedefine/>
    <w:uiPriority w:val="39"/>
    <w:unhideWhenUsed/>
    <w:rsid w:val="001A7AA4"/>
    <w:pPr>
      <w:autoSpaceDE/>
      <w:autoSpaceDN/>
      <w:spacing w:after="160" w:line="278" w:lineRule="auto"/>
      <w:ind w:leftChars="1200" w:left="2520"/>
    </w:pPr>
    <w:rPr>
      <w:rFonts w:asciiTheme="minorHAnsi" w:eastAsiaTheme="minorEastAsia" w:hAnsiTheme="minorHAnsi" w:cstheme="minorBidi"/>
      <w:kern w:val="2"/>
      <w:szCs w:val="24"/>
      <w:lang w:eastAsia="zh-CN"/>
      <w14:ligatures w14:val="standardContextual"/>
    </w:rPr>
  </w:style>
  <w:style w:type="paragraph" w:styleId="TOC8">
    <w:name w:val="toc 8"/>
    <w:basedOn w:val="a"/>
    <w:next w:val="a"/>
    <w:autoRedefine/>
    <w:uiPriority w:val="39"/>
    <w:unhideWhenUsed/>
    <w:rsid w:val="001A7AA4"/>
    <w:pPr>
      <w:autoSpaceDE/>
      <w:autoSpaceDN/>
      <w:spacing w:after="160" w:line="278" w:lineRule="auto"/>
      <w:ind w:leftChars="1400" w:left="2940"/>
    </w:pPr>
    <w:rPr>
      <w:rFonts w:asciiTheme="minorHAnsi" w:eastAsiaTheme="minorEastAsia" w:hAnsiTheme="minorHAnsi" w:cstheme="minorBidi"/>
      <w:kern w:val="2"/>
      <w:szCs w:val="24"/>
      <w:lang w:eastAsia="zh-CN"/>
      <w14:ligatures w14:val="standardContextual"/>
    </w:rPr>
  </w:style>
  <w:style w:type="paragraph" w:styleId="TOC9">
    <w:name w:val="toc 9"/>
    <w:basedOn w:val="a"/>
    <w:next w:val="a"/>
    <w:autoRedefine/>
    <w:uiPriority w:val="39"/>
    <w:unhideWhenUsed/>
    <w:rsid w:val="001A7AA4"/>
    <w:pPr>
      <w:autoSpaceDE/>
      <w:autoSpaceDN/>
      <w:spacing w:after="160" w:line="278" w:lineRule="auto"/>
      <w:ind w:leftChars="1600" w:left="3360"/>
    </w:pPr>
    <w:rPr>
      <w:rFonts w:asciiTheme="minorHAnsi" w:eastAsiaTheme="minorEastAsia" w:hAnsiTheme="minorHAnsi" w:cstheme="minorBidi"/>
      <w:kern w:val="2"/>
      <w:szCs w:val="24"/>
      <w:lang w:eastAsia="zh-CN"/>
      <w14:ligatures w14:val="standardContextual"/>
    </w:rPr>
  </w:style>
  <w:style w:type="paragraph" w:styleId="TOC">
    <w:name w:val="TOC Heading"/>
    <w:basedOn w:val="1"/>
    <w:next w:val="a"/>
    <w:uiPriority w:val="39"/>
    <w:unhideWhenUsed/>
    <w:qFormat/>
    <w:rsid w:val="001A7AA4"/>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coze.cn/s/v-rkoQAwYeA/" TargetMode="External"/><Relationship Id="rId39" Type="http://schemas.openxmlformats.org/officeDocument/2006/relationships/image" Target="media/image24.png"/><Relationship Id="rId21" Type="http://schemas.openxmlformats.org/officeDocument/2006/relationships/header" Target="header4.xml"/><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6.xml"/><Relationship Id="rId20" Type="http://schemas.openxmlformats.org/officeDocument/2006/relationships/header" Target="header3.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EC0CF-FB27-4F47-A660-6F79BBA12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69</Pages>
  <Words>16182</Words>
  <Characters>90787</Characters>
  <Application>Microsoft Office Word</Application>
  <DocSecurity>0</DocSecurity>
  <Lines>3631</Lines>
  <Paragraphs>2057</Paragraphs>
  <ScaleCrop>false</ScaleCrop>
  <Company/>
  <LinksUpToDate>false</LinksUpToDate>
  <CharactersWithSpaces>104912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dc:title>
  <dc:creator>Lei Xia</dc:creator>
  <cp:keywords>pre-trained language model, large language processing, supervised fine-tuning</cp:keywords>
  <cp:lastModifiedBy>(pg) Xiaojing Mao</cp:lastModifiedBy>
  <cp:revision>32</cp:revision>
  <dcterms:created xsi:type="dcterms:W3CDTF">2026-05-08T02:35:00Z</dcterms:created>
  <dcterms:modified xsi:type="dcterms:W3CDTF">2026-05-09T10:52:00Z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2024-04-08T00:00:00Z</vt:filetime>
  </property>
  <property fmtid="{D5CDD505-2E9C-101B-9397-08002B2CF9AE}" pid="4" name="Creator">
    <vt:lpwstr>LaTeX with hyperref</vt:lpwstr>
  </property>
  <property fmtid="{D5CDD505-2E9C-101B-9397-08002B2CF9AE}" pid="5" name="LastSaved">
    <vt:filetime>2026-05-08T00:00:00Z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