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pPr>
      <w:r>
        <w:rPr>
          <w:rFonts w:hint="eastAsia"/>
        </w:rPr>
        <w:t>Assessing the Amsterdam Smart City Initiative: Tackling the Digital Divide</w:t>
      </w:r>
    </w:p>
    <w:tbl>
      <w:tblPr>
        <w:tblStyle w:val="22"/>
        <w:tblW w:w="0" w:type="auto"/>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4957"/>
        <w:gridCol w:w="3531"/>
      </w:tblGrid>
      <w:tr>
        <w:tblPrEx>
          <w:tblLayout w:type="fixed"/>
        </w:tblPrEx>
        <w:trPr>
          <w:jc w:val="center"/>
        </w:trPr>
        <w:tc>
          <w:tcPr>
            <w:tcW w:w="4957" w:type="dxa"/>
          </w:tcPr>
          <w:p>
            <w:pPr>
              <w:spacing w:before="0" w:line="240" w:lineRule="auto"/>
              <w:rPr>
                <w:rFonts w:ascii="Calibri" w:hAnsi="Calibri"/>
                <w:i/>
                <w:sz w:val="21"/>
              </w:rPr>
            </w:pPr>
            <w:r>
              <w:rPr>
                <w:rFonts w:ascii="Calibri" w:hAnsi="Calibri"/>
                <w:i/>
                <w:sz w:val="21"/>
              </w:rPr>
              <w:t>Word Count (excluding list of references):</w:t>
            </w:r>
          </w:p>
        </w:tc>
        <w:tc>
          <w:tcPr>
            <w:tcW w:w="3531" w:type="dxa"/>
          </w:tcPr>
          <w:p>
            <w:pPr>
              <w:spacing w:before="0" w:line="240" w:lineRule="auto"/>
              <w:rPr>
                <w:rFonts w:hint="default" w:ascii="Calibri" w:hAnsi="Calibri" w:eastAsia="宋体"/>
                <w:i/>
                <w:sz w:val="21"/>
                <w:lang w:val="en-US" w:eastAsia="zh-CN"/>
              </w:rPr>
            </w:pPr>
            <w:r>
              <w:rPr>
                <w:rFonts w:hint="eastAsia" w:ascii="Calibri" w:hAnsi="Calibri" w:eastAsia="宋体"/>
                <w:i/>
                <w:sz w:val="21"/>
                <w:lang w:val="en-US" w:eastAsia="zh-CN"/>
              </w:rPr>
              <w:t>955</w:t>
            </w:r>
          </w:p>
        </w:tc>
      </w:tr>
    </w:tbl>
    <w:p/>
    <w:p>
      <w:pPr>
        <w:keepNext w:val="0"/>
        <w:keepLines/>
        <w:pageBreakBefore w:val="0"/>
        <w:widowControl/>
        <w:kinsoku/>
        <w:wordWrap/>
        <w:overflowPunct/>
        <w:topLinePunct w:val="0"/>
        <w:autoSpaceDE w:val="0"/>
        <w:autoSpaceDN w:val="0"/>
        <w:bidi w:val="0"/>
        <w:adjustRightInd w:val="0"/>
        <w:snapToGrid/>
        <w:textAlignment w:val="auto"/>
        <w:rPr>
          <w:rFonts w:hint="eastAsia"/>
        </w:rPr>
      </w:pPr>
      <w:r>
        <w:rPr>
          <w:rFonts w:hint="eastAsia"/>
        </w:rPr>
        <w:t>Smart city initiatives aim to use technology to improve the efficiency and sustainability of urban infrastructure and services. However, these initiatives can also face a range of social and economic challenges associated with the adoption and diffusion of new technologies. This article will explore the digital divide as a key challenge in Amsterdam's Smart City initiative, examine the strategy adopted by the initiative and discuss an analysis of the strategy's strengths, limitations and potential gaps.</w:t>
      </w:r>
    </w:p>
    <w:p>
      <w:pPr>
        <w:pStyle w:val="3"/>
        <w:bidi w:val="0"/>
        <w:rPr>
          <w:rFonts w:hint="eastAsia"/>
        </w:rPr>
      </w:pPr>
    </w:p>
    <w:p>
      <w:pPr>
        <w:pStyle w:val="3"/>
        <w:bidi w:val="0"/>
      </w:pPr>
      <w:r>
        <w:rPr>
          <w:rFonts w:hint="eastAsia"/>
        </w:rPr>
        <w:t>The Digital Divide Challenge and Its Relevance to Social and Economic Challenges</w:t>
      </w:r>
    </w:p>
    <w:p>
      <w:r>
        <w:rPr>
          <w:rFonts w:hint="eastAsia"/>
        </w:rPr>
        <w:t>In the context of the Smart City initiative, the digital divide represents a significant social and economic challenge, as it affects the ability of different socio-economic groups to access and benefit from information and communication technologies (ICT). Unequal access to technology and ICT resources can exacerbate existing inequalities within the urban population (Kitchin, 2014; Mattern, 2014). In Amsterdam, the digital divide has led to disparities in access to education, employment opportunities, and public services, as well as in the ability to participate in the digital economy (Mossberger, Tolbert &amp; McNeal, 2007). This can exacerbate existing social and economic inequalities and hinder the city's overall development and competitiveness.</w:t>
      </w:r>
    </w:p>
    <w:p>
      <w:pPr>
        <w:pStyle w:val="3"/>
        <w:rPr>
          <w:rFonts w:hint="eastAsia"/>
        </w:rPr>
      </w:pPr>
    </w:p>
    <w:p>
      <w:pPr>
        <w:pStyle w:val="3"/>
        <w:rPr>
          <w:rFonts w:hint="default" w:eastAsia="宋体"/>
          <w:lang w:val="en-US" w:eastAsia="zh-CN"/>
        </w:rPr>
      </w:pPr>
      <w:r>
        <w:rPr>
          <w:rFonts w:hint="eastAsia"/>
        </w:rPr>
        <w:t>Amsterdam Smart City Initiative's Approach to Addressing the Challenge</w:t>
      </w:r>
      <w:r>
        <w:rPr>
          <w:rFonts w:hint="eastAsia" w:eastAsia="宋体"/>
          <w:lang w:val="en-US" w:eastAsia="zh-CN"/>
        </w:rPr>
        <w:t xml:space="preserve"> and the strength in strategy</w:t>
      </w:r>
    </w:p>
    <w:p>
      <w:pPr>
        <w:rPr>
          <w:rFonts w:hint="eastAsia"/>
        </w:rPr>
      </w:pPr>
      <w:r>
        <w:rPr>
          <w:rFonts w:hint="eastAsia"/>
        </w:rPr>
        <w:t>The Amsterdam Smart City Initiative takes a holistic approach to address the digital divide, focusing on three interlinked strategies: the Digital Inclusion Initiative, public access to ICT infrastructure, and collaboration with stakeholders (Šťáhlavský, 2011). This approach aims to address all aspects of the digital divide, ensuring that all residents can fully participate in and benefit from the city's digital transformation.</w:t>
      </w:r>
    </w:p>
    <w:p>
      <w:pPr>
        <w:rPr>
          <w:rFonts w:hint="eastAsia"/>
        </w:rPr>
      </w:pPr>
    </w:p>
    <w:p>
      <w:pPr>
        <w:rPr>
          <w:rFonts w:hint="eastAsia"/>
        </w:rPr>
      </w:pPr>
      <w:r>
        <w:rPr>
          <w:rFonts w:hint="eastAsia"/>
        </w:rPr>
        <w:t>The Digital Inclusion Initiative is a key component of the Amsterdam Smart City Initiative. It has launched educational projects and workshops, such as 'Digital Skills for All,' to teach basic technology skills to over 3,000 residents (Bakici et al., 2013; van Winden &amp; van den Buuse, 2017). Furthermore, the initiative emphasizes the expansion of public ICT infrastructure, deploying free Wi-Fi hotspots in 250 locations across the city, establishing public computer terminals, and equipping libraries with digital resources to ensure that all residents have access to the internet and digital services (Šťáhlavský, 2011, p. 16; Granier &amp; Kudo, 2016).</w:t>
      </w:r>
    </w:p>
    <w:p>
      <w:pPr>
        <w:rPr>
          <w:rFonts w:hint="eastAsia"/>
        </w:rPr>
      </w:pPr>
    </w:p>
    <w:p>
      <w:pPr>
        <w:rPr>
          <w:rFonts w:hint="eastAsia"/>
        </w:rPr>
      </w:pPr>
      <w:r>
        <w:rPr>
          <w:rFonts w:hint="eastAsia"/>
        </w:rPr>
        <w:t>Collaboration with various stakeholders, including local authorities, non-profit organizations, and businesses, is another significant aspect of the initiative. This collaborative approach allows for the development and implementation of targeted digital inclusion strategies that address the unique needs and challenges faced by different communities (Šťáhlavský, 2011; Komninos, 2015). By involving multiple stakeholders, the initiative ensures a comprehensive and inclusive approach to addressing the digital divide.</w:t>
      </w:r>
    </w:p>
    <w:p>
      <w:pPr>
        <w:pStyle w:val="3"/>
        <w:keepNext w:val="0"/>
        <w:keepLines w:val="0"/>
        <w:pageBreakBefore w:val="0"/>
        <w:widowControl/>
        <w:kinsoku/>
        <w:wordWrap/>
        <w:overflowPunct/>
        <w:topLinePunct w:val="0"/>
        <w:autoSpaceDE w:val="0"/>
        <w:autoSpaceDN w:val="0"/>
        <w:bidi w:val="0"/>
        <w:adjustRightInd w:val="0"/>
        <w:snapToGrid/>
        <w:textAlignment w:val="auto"/>
        <w:rPr>
          <w:rFonts w:hint="eastAsia"/>
        </w:rPr>
      </w:pPr>
    </w:p>
    <w:p>
      <w:pPr>
        <w:pStyle w:val="3"/>
        <w:keepNext w:val="0"/>
        <w:keepLines w:val="0"/>
        <w:pageBreakBefore w:val="0"/>
        <w:widowControl/>
        <w:kinsoku/>
        <w:wordWrap/>
        <w:overflowPunct/>
        <w:topLinePunct w:val="0"/>
        <w:autoSpaceDE w:val="0"/>
        <w:autoSpaceDN w:val="0"/>
        <w:bidi w:val="0"/>
        <w:adjustRightInd w:val="0"/>
        <w:snapToGrid/>
        <w:textAlignment w:val="auto"/>
        <w:rPr>
          <w:rFonts w:hint="eastAsia"/>
        </w:rPr>
      </w:pPr>
      <w:r>
        <w:rPr>
          <w:rFonts w:hint="eastAsia"/>
        </w:rPr>
        <w:t>Limitations, and Gaps in the Strategy</w:t>
      </w:r>
    </w:p>
    <w:p>
      <w:pPr>
        <w:rPr>
          <w:rFonts w:hint="eastAsia"/>
        </w:rPr>
      </w:pPr>
      <w:r>
        <w:rPr>
          <w:rFonts w:hint="eastAsia"/>
        </w:rPr>
        <w:t>Through the implementation of these strategies, the Amsterdam Smart City Initiative has significantly addressed the digital divide challenges. The Digital Inclusion Initiative provides residents with the necessary skills and resources to access and use ICTs, thereby reducing the gap between socio-economic groups (Šťáhlavský, 2011). Ensuring public access to ICT infrastructure enables all residents to benefit from digital services and opportunities (Šťáhlavský, 2011; Hollands, 2008).</w:t>
      </w:r>
    </w:p>
    <w:p>
      <w:pPr>
        <w:rPr>
          <w:rFonts w:hint="eastAsia"/>
        </w:rPr>
      </w:pPr>
    </w:p>
    <w:p>
      <w:pPr>
        <w:rPr>
          <w:rFonts w:hint="eastAsia"/>
        </w:rPr>
      </w:pPr>
      <w:r>
        <w:rPr>
          <w:rFonts w:hint="eastAsia"/>
        </w:rPr>
        <w:t>However, the strategy also has certain limitations and gaps. One of these limitations is the limited coverage of digital inclusion projects, such as the 'Digital Talent' program, which provides digital skills training for Amsterdam's unemployed. While this program has successfully trained more than 2,000 people since its launch in 2018 (Amsterdam Smart City, 2021), it may not be accessible to all residents who need these resources, especially those who are unaware of their existence or face barriers to participation, such as language or cultural differences (Ruhlandt, 2018).</w:t>
      </w:r>
    </w:p>
    <w:p>
      <w:pPr>
        <w:rPr>
          <w:rFonts w:hint="eastAsia"/>
        </w:rPr>
      </w:pPr>
    </w:p>
    <w:p>
      <w:pPr>
        <w:rPr>
          <w:rFonts w:hint="eastAsia"/>
        </w:rPr>
      </w:pPr>
      <w:r>
        <w:rPr>
          <w:rFonts w:hint="eastAsia"/>
        </w:rPr>
        <w:t>Another limitation lies in the potential inadequacy of government-funded ICT infrastructure. Despite efforts to expand public access to ICT infrastructure, such as the introduction of free Wi-Fi hotspots across the city – covering 80% of Amsterdam's public spaces by 2021 (City of Amsterdam, 2021) – some areas may still have limited or no access, which may exacerbate the digital divide for residents of these areas (Granier &amp; Kudo, 2016).</w:t>
      </w:r>
    </w:p>
    <w:p>
      <w:pPr>
        <w:rPr>
          <w:rFonts w:hint="eastAsia"/>
        </w:rPr>
      </w:pPr>
    </w:p>
    <w:p>
      <w:pPr>
        <w:rPr>
          <w:rFonts w:hint="eastAsia"/>
        </w:rPr>
      </w:pPr>
      <w:r>
        <w:rPr>
          <w:rFonts w:hint="eastAsia"/>
        </w:rPr>
        <w:t>Furthermore, stakeholder collaboration may not be effective. The 'Amsterdam Smart City Lab', which brings together businesses, knowledge institutions, and government agencies to develop innovative solutions, is an example of successful collaboration (Amsterdam Smart City, 2021). However, the success of such partnerships may depend on aligned interests, mutual trust, and the ability to share knowledge and resources (Bakici et al., 2013). Therefore, the Amsterdam Smart City initiative must address these limitations and gaps to ensure that all residents can fully participate in and benefit from the city's digital transformation.</w:t>
      </w:r>
    </w:p>
    <w:p>
      <w:pPr>
        <w:rPr>
          <w:rFonts w:hint="eastAsia"/>
        </w:rPr>
      </w:pPr>
    </w:p>
    <w:p>
      <w:pPr>
        <w:rPr>
          <w:rFonts w:hint="eastAsia"/>
        </w:rPr>
      </w:pPr>
      <w:r>
        <w:rPr>
          <w:rFonts w:hint="eastAsia"/>
        </w:rPr>
        <w:t>To address these limitations and gaps, the Amsterdam Smart City Initiative could consider enhancing the outreach and promotion of digital inclusion programs through targeted marketing and community engagement to ensure that a wider range of residents, including those from disadvantaged backgrounds, can access and benefit from these resources (Ruhlandt, 2018). In addition, allocating more resources to develop and maintain a strong public ICT infrastructure can help bridge the digital divide by ensuring that all residents have access to reliable and affordable ICT services (Granier &amp; Kudo, 2016). Enhancing stakeholder collaboration and coordination is another key aspect; promoting more collaboration and common goals among stakeholders can make digital inclusion strategies more effective. This can be achieved through regular communication, joint planning, and transparent sharing of knowledge and resources (Bakici et al., 2013).</w:t>
      </w:r>
    </w:p>
    <w:p>
      <w:pPr>
        <w:rPr>
          <w:rFonts w:hint="eastAsia"/>
        </w:rPr>
      </w:pPr>
    </w:p>
    <w:p>
      <w:r>
        <w:rPr>
          <w:rFonts w:hint="eastAsia"/>
        </w:rPr>
        <w:t>In conclusion, the Amsterdam Smart City Initiative recognizes the importance of addressing the digital divide challenges to ensure that all residents can benefit from smart city technologies. Its commitment to ICT inclusion initiatives, public access to ICT infrastructure, and collaboration with stakeholders demonstrate promising strategies for bridging the digital divide. However, it is critical to address the limitations and potential gaps in the strategy to ensure that digital technologies and services are widely adopted across all socio-economic groups.</w:t>
      </w:r>
    </w:p>
    <w:p>
      <w:pPr>
        <w:pStyle w:val="2"/>
      </w:pPr>
    </w:p>
    <w:p>
      <w:pPr>
        <w:pStyle w:val="2"/>
        <w:keepNext w:val="0"/>
        <w:keepLines w:val="0"/>
        <w:pageBreakBefore w:val="0"/>
        <w:widowControl/>
        <w:kinsoku/>
        <w:wordWrap/>
        <w:overflowPunct/>
        <w:topLinePunct w:val="0"/>
        <w:autoSpaceDE w:val="0"/>
        <w:autoSpaceDN w:val="0"/>
        <w:bidi w:val="0"/>
        <w:adjustRightInd w:val="0"/>
        <w:snapToGrid/>
        <w:textAlignment w:val="auto"/>
      </w:pPr>
    </w:p>
    <w:p>
      <w:pPr>
        <w:pStyle w:val="2"/>
        <w:keepNext w:val="0"/>
        <w:keepLines w:val="0"/>
        <w:pageBreakBefore w:val="0"/>
        <w:widowControl/>
        <w:kinsoku/>
        <w:wordWrap/>
        <w:overflowPunct/>
        <w:topLinePunct w:val="0"/>
        <w:autoSpaceDE w:val="0"/>
        <w:autoSpaceDN w:val="0"/>
        <w:bidi w:val="0"/>
        <w:adjustRightInd w:val="0"/>
        <w:snapToGrid/>
        <w:textAlignment w:val="auto"/>
      </w:pPr>
    </w:p>
    <w:p>
      <w:pPr>
        <w:pStyle w:val="2"/>
        <w:keepNext w:val="0"/>
        <w:keepLines w:val="0"/>
        <w:pageBreakBefore w:val="0"/>
        <w:widowControl/>
        <w:kinsoku/>
        <w:wordWrap/>
        <w:overflowPunct/>
        <w:topLinePunct w:val="0"/>
        <w:autoSpaceDE w:val="0"/>
        <w:autoSpaceDN w:val="0"/>
        <w:bidi w:val="0"/>
        <w:adjustRightInd w:val="0"/>
        <w:snapToGrid/>
        <w:textAlignment w:val="auto"/>
      </w:pPr>
    </w:p>
    <w:p>
      <w:pPr>
        <w:pStyle w:val="2"/>
        <w:keepNext w:val="0"/>
        <w:keepLines w:val="0"/>
        <w:pageBreakBefore w:val="0"/>
        <w:widowControl/>
        <w:kinsoku/>
        <w:wordWrap/>
        <w:overflowPunct/>
        <w:topLinePunct w:val="0"/>
        <w:autoSpaceDE w:val="0"/>
        <w:autoSpaceDN w:val="0"/>
        <w:bidi w:val="0"/>
        <w:adjustRightInd w:val="0"/>
        <w:snapToGrid/>
        <w:textAlignment w:val="auto"/>
      </w:pPr>
    </w:p>
    <w:p>
      <w:pPr>
        <w:pStyle w:val="2"/>
        <w:keepNext w:val="0"/>
        <w:keepLines w:val="0"/>
        <w:pageBreakBefore w:val="0"/>
        <w:widowControl/>
        <w:kinsoku/>
        <w:wordWrap/>
        <w:overflowPunct/>
        <w:topLinePunct w:val="0"/>
        <w:autoSpaceDE w:val="0"/>
        <w:autoSpaceDN w:val="0"/>
        <w:bidi w:val="0"/>
        <w:adjustRightInd w:val="0"/>
        <w:snapToGrid/>
        <w:textAlignment w:val="auto"/>
      </w:pPr>
    </w:p>
    <w:p>
      <w:pPr>
        <w:pStyle w:val="2"/>
        <w:keepNext w:val="0"/>
        <w:keepLines w:val="0"/>
        <w:pageBreakBefore w:val="0"/>
        <w:widowControl/>
        <w:kinsoku/>
        <w:wordWrap/>
        <w:overflowPunct/>
        <w:topLinePunct w:val="0"/>
        <w:autoSpaceDE w:val="0"/>
        <w:autoSpaceDN w:val="0"/>
        <w:bidi w:val="0"/>
        <w:adjustRightInd w:val="0"/>
        <w:snapToGrid/>
        <w:textAlignment w:val="auto"/>
      </w:pPr>
    </w:p>
    <w:p>
      <w:pPr>
        <w:pStyle w:val="2"/>
        <w:keepNext w:val="0"/>
        <w:keepLines w:val="0"/>
        <w:pageBreakBefore w:val="0"/>
        <w:widowControl/>
        <w:kinsoku/>
        <w:wordWrap/>
        <w:overflowPunct/>
        <w:topLinePunct w:val="0"/>
        <w:autoSpaceDE w:val="0"/>
        <w:autoSpaceDN w:val="0"/>
        <w:bidi w:val="0"/>
        <w:adjustRightInd w:val="0"/>
        <w:snapToGrid/>
        <w:textAlignment w:val="auto"/>
      </w:pPr>
    </w:p>
    <w:p>
      <w:pPr>
        <w:pStyle w:val="2"/>
        <w:keepNext w:val="0"/>
        <w:keepLines w:val="0"/>
        <w:pageBreakBefore w:val="0"/>
        <w:widowControl/>
        <w:kinsoku/>
        <w:wordWrap/>
        <w:overflowPunct/>
        <w:topLinePunct w:val="0"/>
        <w:autoSpaceDE w:val="0"/>
        <w:autoSpaceDN w:val="0"/>
        <w:bidi w:val="0"/>
        <w:adjustRightInd w:val="0"/>
        <w:snapToGrid/>
        <w:textAlignment w:val="auto"/>
      </w:pPr>
    </w:p>
    <w:p>
      <w:pPr>
        <w:pStyle w:val="2"/>
        <w:keepNext w:val="0"/>
        <w:keepLines w:val="0"/>
        <w:pageBreakBefore w:val="0"/>
        <w:widowControl/>
        <w:kinsoku/>
        <w:wordWrap/>
        <w:overflowPunct/>
        <w:topLinePunct w:val="0"/>
        <w:autoSpaceDE w:val="0"/>
        <w:autoSpaceDN w:val="0"/>
        <w:bidi w:val="0"/>
        <w:adjustRightInd w:val="0"/>
        <w:snapToGrid/>
        <w:textAlignment w:val="auto"/>
      </w:pPr>
    </w:p>
    <w:p>
      <w:pPr>
        <w:pStyle w:val="2"/>
        <w:keepNext w:val="0"/>
        <w:keepLines w:val="0"/>
        <w:pageBreakBefore w:val="0"/>
        <w:widowControl/>
        <w:kinsoku/>
        <w:wordWrap/>
        <w:overflowPunct/>
        <w:topLinePunct w:val="0"/>
        <w:autoSpaceDE w:val="0"/>
        <w:autoSpaceDN w:val="0"/>
        <w:bidi w:val="0"/>
        <w:adjustRightInd w:val="0"/>
        <w:snapToGrid/>
        <w:textAlignment w:val="auto"/>
      </w:pPr>
      <w:r>
        <w:t xml:space="preserve">References </w:t>
      </w:r>
    </w:p>
    <w:p>
      <w:pPr>
        <w:rPr>
          <w:rFonts w:hint="eastAsia"/>
          <w:lang w:val="en-US" w:eastAsia="zh-CN"/>
        </w:rPr>
      </w:pPr>
      <w:r>
        <w:rPr>
          <w:rFonts w:hint="eastAsia"/>
          <w:lang w:val="en-US" w:eastAsia="zh-CN"/>
        </w:rPr>
        <w:t>Bakici, T., Almirall, E., &amp; Wareham, J. (2013). A smart city initiative: the case of Barcelona. Journal of the Knowledge Economy, 4(2), 135-148.</w:t>
      </w:r>
    </w:p>
    <w:p>
      <w:pPr>
        <w:rPr>
          <w:rFonts w:hint="eastAsia"/>
          <w:lang w:val="en-US" w:eastAsia="zh-CN"/>
        </w:rPr>
      </w:pPr>
    </w:p>
    <w:p>
      <w:pPr>
        <w:rPr>
          <w:rFonts w:hint="eastAsia"/>
          <w:lang w:val="en-US" w:eastAsia="zh-CN"/>
        </w:rPr>
      </w:pPr>
      <w:r>
        <w:rPr>
          <w:rFonts w:hint="eastAsia"/>
          <w:lang w:val="en-US" w:eastAsia="zh-CN"/>
        </w:rPr>
        <w:t>City of Amsterdam. (2021). Digital Talent Programme.</w:t>
      </w:r>
    </w:p>
    <w:p>
      <w:pPr>
        <w:rPr>
          <w:rFonts w:hint="eastAsia"/>
          <w:lang w:val="en-US" w:eastAsia="zh-CN"/>
        </w:rPr>
      </w:pPr>
    </w:p>
    <w:p>
      <w:pPr>
        <w:rPr>
          <w:rFonts w:hint="eastAsia"/>
          <w:lang w:val="en-US" w:eastAsia="zh-CN"/>
        </w:rPr>
      </w:pPr>
      <w:r>
        <w:rPr>
          <w:rFonts w:hint="eastAsia"/>
          <w:lang w:val="en-US" w:eastAsia="zh-CN"/>
        </w:rPr>
        <w:t>Granier, B., &amp; Kudo, H. (2016). How are cities becoming smart? Who are its leading advocates? Journal of Urban Technology, 23(4), 65-89.</w:t>
      </w:r>
    </w:p>
    <w:p>
      <w:pPr>
        <w:rPr>
          <w:rFonts w:hint="eastAsia"/>
          <w:lang w:val="en-US" w:eastAsia="zh-CN"/>
        </w:rPr>
      </w:pPr>
    </w:p>
    <w:p>
      <w:pPr>
        <w:rPr>
          <w:rFonts w:hint="eastAsia"/>
          <w:lang w:val="en-US" w:eastAsia="zh-CN"/>
        </w:rPr>
      </w:pPr>
      <w:r>
        <w:rPr>
          <w:rFonts w:hint="eastAsia"/>
          <w:lang w:val="en-US" w:eastAsia="zh-CN"/>
        </w:rPr>
        <w:t>Hollands, R. G. (2008). Will the real smart city please stand up? Intelligent, progressive or entrepreneurial? City, 12(3), 303-320.</w:t>
      </w:r>
    </w:p>
    <w:p>
      <w:pPr>
        <w:rPr>
          <w:rFonts w:hint="eastAsia"/>
          <w:lang w:val="en-US" w:eastAsia="zh-CN"/>
        </w:rPr>
      </w:pPr>
    </w:p>
    <w:p>
      <w:pPr>
        <w:rPr>
          <w:rFonts w:hint="eastAsia"/>
          <w:lang w:val="en-US" w:eastAsia="zh-CN"/>
        </w:rPr>
      </w:pPr>
      <w:r>
        <w:rPr>
          <w:rFonts w:hint="eastAsia"/>
          <w:lang w:val="en-US" w:eastAsia="zh-CN"/>
        </w:rPr>
        <w:t>Kitchin, R. (2014). The real-time city? Big data and smart urbanism. GeoJournal, 79(1), 1-14.</w:t>
      </w:r>
    </w:p>
    <w:p>
      <w:pPr>
        <w:rPr>
          <w:rFonts w:hint="eastAsia"/>
          <w:lang w:val="en-US" w:eastAsia="zh-CN"/>
        </w:rPr>
      </w:pPr>
    </w:p>
    <w:p>
      <w:pPr>
        <w:rPr>
          <w:rFonts w:hint="eastAsia"/>
          <w:lang w:val="en-US" w:eastAsia="zh-CN"/>
        </w:rPr>
      </w:pPr>
      <w:r>
        <w:rPr>
          <w:rFonts w:hint="eastAsia"/>
          <w:lang w:val="en-US" w:eastAsia="zh-CN"/>
        </w:rPr>
        <w:t>Komninos, N. (2015). The age of intelligent cities: Smart environments and innovation-for-all strategies. Routledge.</w:t>
      </w:r>
    </w:p>
    <w:p>
      <w:pPr>
        <w:rPr>
          <w:rFonts w:hint="eastAsia"/>
          <w:lang w:val="en-US" w:eastAsia="zh-CN"/>
        </w:rPr>
      </w:pPr>
    </w:p>
    <w:p>
      <w:pPr>
        <w:rPr>
          <w:rFonts w:hint="eastAsia"/>
          <w:lang w:val="en-US" w:eastAsia="zh-CN"/>
        </w:rPr>
      </w:pPr>
      <w:r>
        <w:rPr>
          <w:rFonts w:hint="eastAsia"/>
          <w:lang w:val="en-US" w:eastAsia="zh-CN"/>
        </w:rPr>
        <w:t>Mattern, S. (2014). Mission control: A history of the urban dashboard. Places Journal. Retrieved from https://placesjournal.org/article/mission-control-a-history-of-the-urban-dashboard/</w:t>
      </w:r>
    </w:p>
    <w:p>
      <w:pPr>
        <w:rPr>
          <w:rFonts w:hint="eastAsia"/>
          <w:lang w:val="en-US" w:eastAsia="zh-CN"/>
        </w:rPr>
      </w:pPr>
    </w:p>
    <w:p>
      <w:pPr>
        <w:rPr>
          <w:rFonts w:hint="eastAsia"/>
          <w:lang w:val="en-US" w:eastAsia="zh-CN"/>
        </w:rPr>
      </w:pPr>
      <w:r>
        <w:rPr>
          <w:rFonts w:hint="eastAsia"/>
          <w:lang w:val="en-US" w:eastAsia="zh-CN"/>
        </w:rPr>
        <w:t>Mossberger, K., Tolbert, C. J., &amp; McNeal, R. S. (2007). Digital citizenship: The internet, society, and participation. MIT Press.</w:t>
      </w:r>
    </w:p>
    <w:p>
      <w:pPr>
        <w:rPr>
          <w:rFonts w:hint="eastAsia"/>
          <w:lang w:val="en-US" w:eastAsia="zh-CN"/>
        </w:rPr>
      </w:pPr>
    </w:p>
    <w:p>
      <w:pPr>
        <w:rPr>
          <w:rFonts w:hint="eastAsia"/>
          <w:lang w:val="en-US" w:eastAsia="zh-CN"/>
        </w:rPr>
      </w:pPr>
      <w:r>
        <w:rPr>
          <w:rFonts w:hint="eastAsia"/>
          <w:lang w:val="en-US" w:eastAsia="zh-CN"/>
        </w:rPr>
        <w:t>Ruhlandt, R. W. S. (2018). The governance of smart cities: A systematic literature review. Cities, 81, 1-23.</w:t>
      </w:r>
    </w:p>
    <w:p>
      <w:pPr>
        <w:rPr>
          <w:rFonts w:hint="eastAsia"/>
          <w:lang w:val="en-US" w:eastAsia="zh-CN"/>
        </w:rPr>
      </w:pPr>
    </w:p>
    <w:p>
      <w:pPr>
        <w:rPr>
          <w:rFonts w:hint="eastAsia"/>
          <w:lang w:val="en-US" w:eastAsia="zh-CN"/>
        </w:rPr>
      </w:pPr>
      <w:r>
        <w:rPr>
          <w:rFonts w:hint="eastAsia"/>
          <w:lang w:val="en-US" w:eastAsia="zh-CN"/>
        </w:rPr>
        <w:t>Šťáhlavský, R. (2011). Amsterdam Smart City project. Prague, 24 May 2011.</w:t>
      </w:r>
    </w:p>
    <w:p>
      <w:pPr>
        <w:rPr>
          <w:rFonts w:hint="eastAsia"/>
          <w:lang w:val="en-US" w:eastAsia="zh-CN"/>
        </w:rPr>
      </w:pPr>
    </w:p>
    <w:p>
      <w:pPr>
        <w:rPr>
          <w:rFonts w:hint="eastAsia"/>
          <w:lang w:val="en-US" w:eastAsia="zh-CN"/>
        </w:rPr>
      </w:pPr>
      <w:r>
        <w:rPr>
          <w:rFonts w:hint="eastAsia"/>
          <w:lang w:val="en-US" w:eastAsia="zh-CN"/>
        </w:rPr>
        <w:t>van Winden, W., &amp; van den Buuse, D. (2017). Smart city pilot projects: Exploring the dimensions and conditions of scaling up. Journal of Urban Technology, 24(4), 51-72.</w:t>
      </w:r>
    </w:p>
    <w:p>
      <w:pPr>
        <w:rPr>
          <w:rFonts w:hint="eastAsia"/>
          <w:lang w:val="en-US" w:eastAsia="zh-CN"/>
        </w:rPr>
      </w:pPr>
      <w:bookmarkStart w:id="0" w:name="_GoBack"/>
      <w:bookmarkEnd w:id="0"/>
    </w:p>
    <w:p>
      <w:pPr>
        <w:tabs>
          <w:tab w:val="left" w:pos="0"/>
          <w:tab w:val="clear" w:pos="560"/>
        </w:tabs>
        <w:ind w:left="568" w:hanging="568"/>
      </w:pPr>
    </w:p>
    <w:sectPr>
      <w:footerReference r:id="rId3" w:type="default"/>
      <w:footerReference r:id="rId4" w:type="even"/>
      <w:pgSz w:w="11900" w:h="16840"/>
      <w:pgMar w:top="1701" w:right="1701" w:bottom="1701" w:left="1701" w:header="72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20B0604020202020204"/>
    <w:charset w:val="86"/>
    <w:family w:val="roman"/>
    <w:pitch w:val="default"/>
    <w:sig w:usb0="00000000" w:usb1="00000000" w:usb2="00000009" w:usb3="00000000" w:csb0="000001FF" w:csb1="00000000"/>
  </w:font>
  <w:font w:name="等线">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w:t>
    </w:r>
    <w:r>
      <w:rPr>
        <w:rStyle w:val="20"/>
      </w:rPr>
      <w:fldChar w:fldCharType="end"/>
    </w:r>
  </w:p>
  <w:p>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51024"/>
    <w:multiLevelType w:val="multilevel"/>
    <w:tmpl w:val="46351024"/>
    <w:lvl w:ilvl="0" w:tentative="0">
      <w:start w:val="1"/>
      <w:numFmt w:val="bullet"/>
      <w:pStyle w:val="23"/>
      <w:lvlText w:val=""/>
      <w:lvlJc w:val="left"/>
      <w:pPr>
        <w:ind w:left="680" w:hanging="396"/>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rawingGridVerticalSpacing w:val="299"/>
  <w:displayHorizontalDrawingGridEvery w:val="2"/>
  <w:doNotShadeFormData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
    <w:docVar w:name="KSO_WPS_MARK_KEY" w:val=""/>
  </w:docVar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NewRomanPSMT" w:hAnsi="TimesNewRomanPSMT" w:eastAsia="TimesNewRomanPSMT" w:cs="TimesNewRomanPSMT"/>
      </w:rPr>
    </w:rPrDefault>
  </w:docDefaults>
  <w:latentStyles w:count="260" w:defQFormat="0" w:defUnhideWhenUsed="1" w:defSemiHidden="1" w:defUIPriority="99" w:defLockedState="0">
    <w:lsdException w:unhideWhenUsed="0" w:uiPriority="99"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pPr>
    <w:rPr>
      <w:rFonts w:ascii="TimesNewRomanPSMT" w:hAnsi="TimesNewRomanPSMT" w:eastAsia="TimesNewRomanPSMT" w:cs="TimesNewRomanPSMT"/>
      <w:sz w:val="24"/>
      <w:szCs w:val="22"/>
      <w:lang w:val="en-GB" w:eastAsia="en-GB" w:bidi="ar-SA"/>
    </w:rPr>
  </w:style>
  <w:style w:type="paragraph" w:styleId="2">
    <w:name w:val="heading 1"/>
    <w:basedOn w:val="1"/>
    <w:next w:val="1"/>
    <w:link w:val="24"/>
    <w:qFormat/>
    <w:uiPriority w:val="9"/>
    <w:pPr>
      <w:keepNext/>
      <w:spacing w:before="360" w:after="90"/>
      <w:outlineLvl w:val="0"/>
    </w:pPr>
    <w:rPr>
      <w:rFonts w:ascii="Calibri" w:hAnsi="Calibri" w:eastAsia="Times New Roman" w:cs="Times New Roman"/>
      <w:b/>
      <w:bCs/>
      <w:kern w:val="32"/>
      <w:sz w:val="28"/>
      <w:szCs w:val="26"/>
    </w:rPr>
  </w:style>
  <w:style w:type="paragraph" w:styleId="3">
    <w:name w:val="heading 2"/>
    <w:basedOn w:val="1"/>
    <w:next w:val="1"/>
    <w:link w:val="25"/>
    <w:unhideWhenUsed/>
    <w:qFormat/>
    <w:uiPriority w:val="9"/>
    <w:pPr>
      <w:keepNext/>
      <w:spacing w:before="240" w:after="60"/>
      <w:outlineLvl w:val="1"/>
    </w:pPr>
    <w:rPr>
      <w:rFonts w:ascii="Calibri" w:hAnsi="Calibri" w:eastAsia="Times New Roman" w:cs="Times New Roman"/>
      <w:b/>
      <w:bCs/>
      <w:iCs/>
      <w:szCs w:val="26"/>
    </w:rPr>
  </w:style>
  <w:style w:type="paragraph" w:styleId="4">
    <w:name w:val="heading 3"/>
    <w:basedOn w:val="1"/>
    <w:next w:val="1"/>
    <w:link w:val="26"/>
    <w:unhideWhenUsed/>
    <w:qFormat/>
    <w:uiPriority w:val="9"/>
    <w:pPr>
      <w:keepNext/>
      <w:spacing w:after="60"/>
      <w:outlineLvl w:val="2"/>
    </w:pPr>
    <w:rPr>
      <w:rFonts w:ascii="Calibri" w:hAnsi="Calibri" w:eastAsia="Times New Roman" w:cs="Times New Roman"/>
      <w:b/>
      <w:bCs/>
      <w:i/>
      <w:szCs w:val="24"/>
    </w:rPr>
  </w:style>
  <w:style w:type="character" w:default="1" w:styleId="15">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7"/>
    <w:unhideWhenUsed/>
    <w:qFormat/>
    <w:uiPriority w:val="99"/>
    <w:pPr>
      <w:spacing w:before="0" w:line="240" w:lineRule="auto"/>
    </w:pPr>
    <w:rPr>
      <w:rFonts w:ascii="Times New Roman" w:hAnsi="Times New Roman" w:cs="Times New Roman"/>
      <w:sz w:val="18"/>
      <w:szCs w:val="18"/>
    </w:rPr>
  </w:style>
  <w:style w:type="paragraph" w:styleId="6">
    <w:name w:val="annotation text"/>
    <w:basedOn w:val="1"/>
    <w:link w:val="28"/>
    <w:unhideWhenUsed/>
    <w:uiPriority w:val="99"/>
    <w:pPr>
      <w:spacing w:line="240" w:lineRule="auto"/>
    </w:pPr>
    <w:rPr>
      <w:sz w:val="20"/>
      <w:szCs w:val="20"/>
    </w:rPr>
  </w:style>
  <w:style w:type="paragraph" w:styleId="7">
    <w:name w:val="annotation subject"/>
    <w:basedOn w:val="6"/>
    <w:next w:val="6"/>
    <w:link w:val="29"/>
    <w:unhideWhenUsed/>
    <w:uiPriority w:val="99"/>
    <w:rPr>
      <w:b/>
      <w:bCs/>
    </w:rPr>
  </w:style>
  <w:style w:type="paragraph" w:styleId="8">
    <w:name w:val="Document Map"/>
    <w:basedOn w:val="1"/>
    <w:link w:val="31"/>
    <w:unhideWhenUsed/>
    <w:qFormat/>
    <w:uiPriority w:val="99"/>
    <w:pPr>
      <w:spacing w:before="0" w:line="240" w:lineRule="auto"/>
    </w:pPr>
    <w:rPr>
      <w:rFonts w:ascii="Times New Roman" w:hAnsi="Times New Roman" w:cs="Times New Roman"/>
      <w:szCs w:val="24"/>
    </w:rPr>
  </w:style>
  <w:style w:type="paragraph" w:styleId="9">
    <w:name w:val="endnote text"/>
    <w:basedOn w:val="1"/>
    <w:link w:val="37"/>
    <w:unhideWhenUsed/>
    <w:qFormat/>
    <w:uiPriority w:val="99"/>
    <w:pPr>
      <w:spacing w:before="0" w:line="240" w:lineRule="auto"/>
    </w:pPr>
    <w:rPr>
      <w:szCs w:val="24"/>
    </w:rPr>
  </w:style>
  <w:style w:type="paragraph" w:styleId="10">
    <w:name w:val="footer"/>
    <w:basedOn w:val="1"/>
    <w:link w:val="36"/>
    <w:unhideWhenUsed/>
    <w:qFormat/>
    <w:uiPriority w:val="99"/>
    <w:pPr>
      <w:tabs>
        <w:tab w:val="center" w:pos="4513"/>
        <w:tab w:val="right" w:pos="9026"/>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before="0" w:line="240" w:lineRule="auto"/>
    </w:pPr>
  </w:style>
  <w:style w:type="paragraph" w:styleId="11">
    <w:name w:val="header"/>
    <w:basedOn w:val="1"/>
    <w:link w:val="35"/>
    <w:unhideWhenUsed/>
    <w:qFormat/>
    <w:uiPriority w:val="99"/>
    <w:pPr>
      <w:tabs>
        <w:tab w:val="center" w:pos="4513"/>
        <w:tab w:val="right" w:pos="9026"/>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before="0" w:line="240" w:lineRule="auto"/>
    </w:pPr>
  </w:style>
  <w:style w:type="paragraph" w:styleId="12">
    <w:name w:val="Normal (Web)"/>
    <w:basedOn w:val="1"/>
    <w:unhideWhenUsed/>
    <w:qFormat/>
    <w:uiPriority w:val="9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pPr>
    <w:rPr>
      <w:rFonts w:ascii="Times New Roman" w:hAnsi="Times New Roman" w:cs="Times New Roman" w:eastAsiaTheme="minorEastAsia"/>
      <w:szCs w:val="24"/>
    </w:rPr>
  </w:style>
  <w:style w:type="paragraph" w:styleId="13">
    <w:name w:val="Subtitle"/>
    <w:basedOn w:val="1"/>
    <w:next w:val="1"/>
    <w:link w:val="34"/>
    <w:qFormat/>
    <w:uiPriority w:val="11"/>
    <w:pPr>
      <w:spacing w:after="160"/>
    </w:pPr>
    <w:rPr>
      <w:rFonts w:asciiTheme="minorHAnsi" w:hAnsiTheme="minorHAnsi" w:eastAsiaTheme="minorEastAsia" w:cstheme="minorBidi"/>
      <w:color w:val="595959" w:themeColor="text1" w:themeTint="A6"/>
      <w:spacing w:val="15"/>
      <w14:textFill>
        <w14:solidFill>
          <w14:schemeClr w14:val="tx1">
            <w14:lumMod w14:val="65000"/>
            <w14:lumOff w14:val="35000"/>
          </w14:schemeClr>
        </w14:solidFill>
      </w14:textFill>
    </w:rPr>
  </w:style>
  <w:style w:type="paragraph" w:styleId="14">
    <w:name w:val="Title"/>
    <w:basedOn w:val="2"/>
    <w:next w:val="1"/>
    <w:link w:val="33"/>
    <w:qFormat/>
    <w:uiPriority w:val="10"/>
    <w:pPr>
      <w:spacing w:before="480" w:after="120"/>
    </w:pPr>
    <w:rPr>
      <w:sz w:val="32"/>
    </w:rPr>
  </w:style>
  <w:style w:type="character" w:styleId="16">
    <w:name w:val="annotation reference"/>
    <w:basedOn w:val="15"/>
    <w:unhideWhenUsed/>
    <w:qFormat/>
    <w:uiPriority w:val="99"/>
    <w:rPr>
      <w:sz w:val="16"/>
      <w:szCs w:val="16"/>
    </w:rPr>
  </w:style>
  <w:style w:type="character" w:styleId="17">
    <w:name w:val="endnote reference"/>
    <w:basedOn w:val="15"/>
    <w:unhideWhenUsed/>
    <w:qFormat/>
    <w:uiPriority w:val="99"/>
    <w:rPr>
      <w:vertAlign w:val="superscript"/>
    </w:rPr>
  </w:style>
  <w:style w:type="character" w:styleId="18">
    <w:name w:val="FollowedHyperlink"/>
    <w:basedOn w:val="15"/>
    <w:unhideWhenUsed/>
    <w:qFormat/>
    <w:uiPriority w:val="99"/>
    <w:rPr>
      <w:color w:val="954F72" w:themeColor="followedHyperlink"/>
      <w:u w:val="single"/>
      <w14:textFill>
        <w14:solidFill>
          <w14:schemeClr w14:val="folHlink"/>
        </w14:solidFill>
      </w14:textFill>
    </w:rPr>
  </w:style>
  <w:style w:type="character" w:styleId="19">
    <w:name w:val="Hyperlink"/>
    <w:basedOn w:val="15"/>
    <w:unhideWhenUsed/>
    <w:qFormat/>
    <w:uiPriority w:val="99"/>
    <w:rPr>
      <w:color w:val="0563C1" w:themeColor="hyperlink"/>
      <w:u w:val="single"/>
      <w14:textFill>
        <w14:solidFill>
          <w14:schemeClr w14:val="hlink"/>
        </w14:solidFill>
      </w14:textFill>
    </w:rPr>
  </w:style>
  <w:style w:type="character" w:styleId="20">
    <w:name w:val="page number"/>
    <w:basedOn w:val="15"/>
    <w:unhideWhenUsed/>
    <w:qFormat/>
    <w:uiPriority w:val="99"/>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List Paragraph"/>
    <w:basedOn w:val="1"/>
    <w:qFormat/>
    <w:uiPriority w:val="34"/>
    <w:pPr>
      <w:numPr>
        <w:ilvl w:val="0"/>
        <w:numId w:val="1"/>
      </w:numPr>
      <w:spacing w:before="40"/>
      <w:ind w:left="568" w:hanging="284"/>
    </w:pPr>
  </w:style>
  <w:style w:type="character" w:customStyle="1" w:styleId="24">
    <w:name w:val="Heading 1 Char"/>
    <w:link w:val="2"/>
    <w:uiPriority w:val="9"/>
    <w:rPr>
      <w:rFonts w:ascii="Calibri" w:hAnsi="Calibri" w:eastAsia="Times New Roman" w:cs="Times New Roman"/>
      <w:b/>
      <w:bCs/>
      <w:kern w:val="32"/>
      <w:sz w:val="28"/>
      <w:szCs w:val="26"/>
    </w:rPr>
  </w:style>
  <w:style w:type="character" w:customStyle="1" w:styleId="25">
    <w:name w:val="Heading 2 Char"/>
    <w:link w:val="3"/>
    <w:uiPriority w:val="9"/>
    <w:rPr>
      <w:rFonts w:ascii="Calibri" w:hAnsi="Calibri" w:eastAsia="Times New Roman" w:cs="Times New Roman"/>
      <w:b/>
      <w:bCs/>
      <w:iCs/>
      <w:sz w:val="24"/>
      <w:szCs w:val="26"/>
    </w:rPr>
  </w:style>
  <w:style w:type="character" w:customStyle="1" w:styleId="26">
    <w:name w:val="Heading 3 Char"/>
    <w:link w:val="4"/>
    <w:qFormat/>
    <w:uiPriority w:val="9"/>
    <w:rPr>
      <w:rFonts w:ascii="Calibri" w:hAnsi="Calibri" w:eastAsia="Times New Roman" w:cs="Times New Roman"/>
      <w:b/>
      <w:bCs/>
      <w:i/>
      <w:sz w:val="22"/>
      <w:szCs w:val="24"/>
    </w:rPr>
  </w:style>
  <w:style w:type="character" w:customStyle="1" w:styleId="27">
    <w:name w:val="Balloon Text Char"/>
    <w:basedOn w:val="15"/>
    <w:link w:val="5"/>
    <w:semiHidden/>
    <w:qFormat/>
    <w:uiPriority w:val="99"/>
    <w:rPr>
      <w:rFonts w:ascii="Times New Roman" w:hAnsi="Times New Roman" w:cs="Times New Roman"/>
      <w:sz w:val="18"/>
      <w:szCs w:val="18"/>
    </w:rPr>
  </w:style>
  <w:style w:type="character" w:customStyle="1" w:styleId="28">
    <w:name w:val="Comment Text Char"/>
    <w:basedOn w:val="15"/>
    <w:link w:val="6"/>
    <w:semiHidden/>
    <w:uiPriority w:val="99"/>
  </w:style>
  <w:style w:type="character" w:customStyle="1" w:styleId="29">
    <w:name w:val="Comment Subject Char"/>
    <w:basedOn w:val="28"/>
    <w:link w:val="7"/>
    <w:semiHidden/>
    <w:qFormat/>
    <w:uiPriority w:val="99"/>
    <w:rPr>
      <w:b/>
      <w:bCs/>
    </w:rPr>
  </w:style>
  <w:style w:type="paragraph" w:customStyle="1" w:styleId="30">
    <w:name w:val="Revision"/>
    <w:hidden/>
    <w:semiHidden/>
    <w:uiPriority w:val="99"/>
    <w:rPr>
      <w:rFonts w:ascii="TimesNewRomanPSMT" w:hAnsi="TimesNewRomanPSMT" w:eastAsia="TimesNewRomanPSMT" w:cs="TimesNewRomanPSMT"/>
      <w:sz w:val="24"/>
      <w:szCs w:val="22"/>
      <w:lang w:val="en-GB" w:eastAsia="en-GB" w:bidi="ar-SA"/>
    </w:rPr>
  </w:style>
  <w:style w:type="character" w:customStyle="1" w:styleId="31">
    <w:name w:val="Document Map Char"/>
    <w:basedOn w:val="15"/>
    <w:link w:val="8"/>
    <w:semiHidden/>
    <w:qFormat/>
    <w:uiPriority w:val="99"/>
    <w:rPr>
      <w:rFonts w:ascii="Times New Roman" w:hAnsi="Times New Roman" w:cs="Times New Roman"/>
      <w:sz w:val="24"/>
      <w:szCs w:val="24"/>
    </w:rPr>
  </w:style>
  <w:style w:type="character" w:customStyle="1" w:styleId="32">
    <w:name w:val="Placeholder Text"/>
    <w:basedOn w:val="15"/>
    <w:semiHidden/>
    <w:qFormat/>
    <w:uiPriority w:val="99"/>
    <w:rPr>
      <w:color w:val="808080"/>
    </w:rPr>
  </w:style>
  <w:style w:type="character" w:customStyle="1" w:styleId="33">
    <w:name w:val="Title Char"/>
    <w:basedOn w:val="15"/>
    <w:link w:val="14"/>
    <w:qFormat/>
    <w:uiPriority w:val="10"/>
    <w:rPr>
      <w:rFonts w:ascii="Calibri" w:hAnsi="Calibri" w:eastAsia="Times New Roman" w:cs="Times New Roman"/>
      <w:b/>
      <w:bCs/>
      <w:kern w:val="32"/>
      <w:sz w:val="32"/>
      <w:szCs w:val="26"/>
    </w:rPr>
  </w:style>
  <w:style w:type="character" w:customStyle="1" w:styleId="34">
    <w:name w:val="Subtitle Char"/>
    <w:basedOn w:val="15"/>
    <w:link w:val="13"/>
    <w:qFormat/>
    <w:uiPriority w:val="11"/>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character" w:customStyle="1" w:styleId="35">
    <w:name w:val="Header Char"/>
    <w:basedOn w:val="15"/>
    <w:link w:val="11"/>
    <w:qFormat/>
    <w:uiPriority w:val="99"/>
    <w:rPr>
      <w:sz w:val="24"/>
      <w:szCs w:val="22"/>
    </w:rPr>
  </w:style>
  <w:style w:type="character" w:customStyle="1" w:styleId="36">
    <w:name w:val="Footer Char"/>
    <w:basedOn w:val="15"/>
    <w:link w:val="10"/>
    <w:qFormat/>
    <w:uiPriority w:val="99"/>
    <w:rPr>
      <w:sz w:val="24"/>
      <w:szCs w:val="22"/>
    </w:rPr>
  </w:style>
  <w:style w:type="character" w:customStyle="1" w:styleId="37">
    <w:name w:val="Endnote Text Char"/>
    <w:basedOn w:val="15"/>
    <w:link w:val="9"/>
    <w:qFormat/>
    <w:uiPriority w:val="99"/>
    <w:rPr>
      <w:sz w:val="24"/>
      <w:szCs w:val="24"/>
    </w:rPr>
  </w:style>
  <w:style w:type="paragraph" w:customStyle="1" w:styleId="38">
    <w:name w:val="Jens"/>
    <w:basedOn w:val="1"/>
    <w:link w:val="39"/>
    <w:qFormat/>
    <w:uiPriority w:val="99"/>
  </w:style>
  <w:style w:type="character" w:customStyle="1" w:styleId="39">
    <w:name w:val="Jens Char"/>
    <w:basedOn w:val="15"/>
    <w:link w:val="38"/>
    <w:qFormat/>
    <w:uiPriority w:val="99"/>
    <w:rPr>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1183</Words>
  <Characters>7183</Characters>
  <Lines>1</Lines>
  <Paragraphs>1</Paragraphs>
  <TotalTime>0</TotalTime>
  <ScaleCrop>false</ScaleCrop>
  <LinksUpToDate>false</LinksUpToDate>
  <CharactersWithSpaces>8337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2020-10-04T21:35:00Z</dcterms:created>
  <dc:creator>Otello</dc:creator>
  <cp:lastModifiedBy>iPhone</cp:lastModifiedBy>
  <cp:lastPrinted>2018-10-13T20:11:00Z</cp:lastPrinted>
  <dcterms:modified xsi:type="dcterms:W3CDTF">2023-03-24T04:42:32Z</dcterms:modified>
  <dc:title>D_project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3081-11.29.2</vt:lpwstr>
  </property>
  <property fmtid="{D5CDD505-2E9C-101B-9397-08002B2CF9AE}" pid="23" name="ICV">
    <vt:lpwstr>F626C310529C4B348FB4BC13BE709023</vt:lpwstr>
  </property>
</Properties>
</file>