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121F" w:rsidRDefault="00000000">
      <w:pPr>
        <w:pStyle w:val="1"/>
        <w:spacing w:after="100"/>
        <w:jc w:val="center"/>
        <w:rPr>
          <w:color w:val="000000"/>
        </w:rPr>
      </w:pPr>
      <w:r>
        <w:rPr>
          <w:color w:val="000000"/>
        </w:rPr>
        <w:t>RWA-Index</w:t>
      </w:r>
    </w:p>
    <w:p w14:paraId="00000002" w14:textId="77777777" w:rsidR="002F121F" w:rsidRDefault="00000000">
      <w:pPr>
        <w:spacing w:after="400"/>
        <w:jc w:val="center"/>
      </w:pPr>
      <w:r>
        <w:t>Hong Kong's Institutional Framework for Real-World Asset Tokenization Risk Assessment</w:t>
      </w:r>
    </w:p>
    <w:p w14:paraId="00000003" w14:textId="77777777" w:rsidR="002F121F" w:rsidRDefault="00000000">
      <w:pPr>
        <w:spacing w:after="200"/>
        <w:jc w:val="center"/>
      </w:pPr>
      <w:r>
        <w:t>White Paper v1.0</w:t>
      </w:r>
    </w:p>
    <w:p w14:paraId="00000004" w14:textId="77777777" w:rsidR="002F121F" w:rsidRDefault="00000000">
      <w:pPr>
        <w:spacing w:after="200"/>
        <w:jc w:val="center"/>
      </w:pPr>
      <w:r>
        <w:t>April 2026</w:t>
      </w:r>
    </w:p>
    <w:p w14:paraId="00000005" w14:textId="2E3B9812" w:rsidR="002F121F" w:rsidRDefault="00000000">
      <w:pPr>
        <w:spacing w:after="600"/>
        <w:jc w:val="center"/>
      </w:pPr>
      <w:r>
        <w:t>HKUST | Crypto Fintech Lab</w:t>
      </w:r>
    </w:p>
    <w:p w14:paraId="00000006" w14:textId="77777777" w:rsidR="002F121F" w:rsidRDefault="00000000">
      <w:pPr>
        <w:pStyle w:val="1"/>
        <w:spacing w:before="200" w:after="200"/>
      </w:pPr>
      <w:r>
        <w:t>Executive Summary</w:t>
      </w:r>
    </w:p>
    <w:p w14:paraId="00000007" w14:textId="77777777" w:rsidR="002F121F" w:rsidRDefault="00000000">
      <w:pPr>
        <w:spacing w:after="200"/>
      </w:pPr>
      <w:r>
        <w:t>Real-world asset (RWA) tokenization represents one of the most significant transformations in financial infrastructure since the emergence of institutional digital assets. In 2026, the global RWA market stands at approximately $26.4 billion—a 380% increase over three years—with tokenized U.S. Treasuries alone surging from $380 million in early 2023 to $14 billion in 2026 (37x growth). Industry forecasts project RWA markets reaching $18.9 trillion by 2033 at a 53% compound annual growth rate.</w:t>
      </w:r>
    </w:p>
    <w:p w14:paraId="00000008" w14:textId="77777777" w:rsidR="002F121F" w:rsidRDefault="00000000">
      <w:pPr>
        <w:spacing w:after="200"/>
      </w:pPr>
      <w:r>
        <w:t>However, this explosive growth has outpaced the development of systematic, forward-looking risk assessment frameworks. Existing evaluation approaches suffer from four critical deficiencies: retrospective bias, asset-agnostic uniformity, static methodologies, and piecemeal coverage of risk dimensions.</w:t>
      </w:r>
    </w:p>
    <w:p w14:paraId="00000009" w14:textId="77777777" w:rsidR="002F121F" w:rsidRDefault="00000000">
      <w:pPr>
        <w:spacing w:after="200"/>
      </w:pPr>
      <w:r>
        <w:t xml:space="preserve">Hong Kong stands at a pivotal moment. The Hong Kong Monetary Authority's launch of </w:t>
      </w:r>
      <w:proofErr w:type="spellStart"/>
      <w:r>
        <w:t>EnsembleTX</w:t>
      </w:r>
      <w:proofErr w:type="spellEnd"/>
      <w:r>
        <w:t xml:space="preserve"> in November 2025—a real-value pilot for tokenized deposit transactions operating throughout 2026—signals official commitment to positioning the territory as a global hub for regulated, institutional-grade RWA infrastructure.</w:t>
      </w:r>
    </w:p>
    <w:p w14:paraId="0000000A" w14:textId="77777777" w:rsidR="002F121F" w:rsidRDefault="00000000">
      <w:pPr>
        <w:spacing w:after="400"/>
      </w:pPr>
      <w:r>
        <w:t>RWA-Index is an academic research tool designed to fill this evaluation gap. Built on the Real-World Asset Architecture and Resilience Matrix (RARM), a six-layer risk assessment framework incorporating 49 indicators grounded in financial economics, RWA-Index provides systematic, forward-looking structural analysis of tokenization projects.</w:t>
      </w:r>
    </w:p>
    <w:p w14:paraId="0000000B" w14:textId="77777777" w:rsidR="002F121F" w:rsidRDefault="00000000">
      <w:pPr>
        <w:pStyle w:val="1"/>
        <w:spacing w:before="200" w:after="200"/>
      </w:pPr>
      <w:r>
        <w:t>Part 1: The Global RWA Market and Hong Kong's Strategic Opportunity</w:t>
      </w:r>
    </w:p>
    <w:p w14:paraId="0000000C" w14:textId="77777777" w:rsidR="002F121F" w:rsidRDefault="00000000">
      <w:pPr>
        <w:pStyle w:val="2"/>
        <w:spacing w:before="200" w:after="100"/>
      </w:pPr>
      <w:r>
        <w:t>1.1 Market Scale and Growth Trajectory</w:t>
      </w:r>
    </w:p>
    <w:p w14:paraId="0000000D" w14:textId="77777777" w:rsidR="002F121F" w:rsidRDefault="00000000">
      <w:pPr>
        <w:spacing w:after="100"/>
      </w:pPr>
      <w:r>
        <w:t>The RWA tokenization market has undergone rapid institutional adoption:</w:t>
      </w:r>
    </w:p>
    <w:p w14:paraId="0000000E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Current Market (2026): Approximately 200+ active RWA projects with total value locked (TVL) of $65 billion as of late 2025, representing institutional-grade deployment across tokenized Treasuries, private credit, commodities, and real estate.</w:t>
      </w:r>
    </w:p>
    <w:p w14:paraId="0000000F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Growth Rate: 800% growth from 2023 to 2025; 260% growth in H1 2025 alone (from $8.6B to $23B).</w:t>
      </w:r>
    </w:p>
    <w:p w14:paraId="00000010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Composition: Private credit accounts for over 50% of tokenized value; U.S. Treasuries approximately 15-20%; commodities, real estate, and alternatives constitute the remainder.</w:t>
      </w:r>
    </w:p>
    <w:p w14:paraId="00000011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Institutional Participation: 86% of surveyed institutional investors reported exposure to, or intention to allocate to, digital assets by early 2025.</w:t>
      </w:r>
    </w:p>
    <w:p w14:paraId="00000012" w14:textId="77777777" w:rsidR="002F121F" w:rsidRDefault="00000000">
      <w:pPr>
        <w:spacing w:after="100"/>
      </w:pPr>
      <w:r>
        <w:t>Forward Projections:</w:t>
      </w:r>
    </w:p>
    <w:p w14:paraId="00000013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Boston Consulting Group + Ripple: $18.9 trillion by 2033 (53% CAGR)</w:t>
      </w:r>
    </w:p>
    <w:p w14:paraId="00000014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McKinsey (conservative): $2-4 trillion by 2030</w:t>
      </w:r>
    </w:p>
    <w:p w14:paraId="00000015" w14:textId="77777777" w:rsidR="002F121F" w:rsidRDefault="00000000">
      <w:pPr>
        <w:pStyle w:val="2"/>
        <w:spacing w:before="200" w:after="100"/>
      </w:pPr>
      <w:r>
        <w:lastRenderedPageBreak/>
        <w:t>1.2 Hong Kong's Regulatory Environment</w:t>
      </w:r>
    </w:p>
    <w:p w14:paraId="00000016" w14:textId="77777777" w:rsidR="002F121F" w:rsidRDefault="00000000">
      <w:pPr>
        <w:spacing w:after="200"/>
      </w:pPr>
      <w:r>
        <w:t xml:space="preserve">Hong Kong has emerged as the Asia-Pacific leader in RWA infrastructure development. The HKMA's launch of </w:t>
      </w:r>
      <w:proofErr w:type="spellStart"/>
      <w:r>
        <w:t>EnsembleTX</w:t>
      </w:r>
      <w:proofErr w:type="spellEnd"/>
      <w:r>
        <w:t xml:space="preserve"> in November 2025 marks a significant milestone:</w:t>
      </w:r>
    </w:p>
    <w:p w14:paraId="00000017" w14:textId="77777777" w:rsidR="002F121F" w:rsidRDefault="00000000">
      <w:pPr>
        <w:spacing w:after="200"/>
      </w:pPr>
      <w:proofErr w:type="spellStart"/>
      <w:r>
        <w:t>EnsembleTX</w:t>
      </w:r>
      <w:proofErr w:type="spellEnd"/>
      <w:r>
        <w:t xml:space="preserve"> will operate throughout 2026, with participating banks providing tokenized deposits to customers and settling interbank transactions through a controlled pilot environment. Initial settlement will be facilitated via the HKD Real Time Gross Settlement (RTGS) system, with progressive upgrade to 24/7 tokenized Central Bank Money (</w:t>
      </w:r>
      <w:proofErr w:type="spellStart"/>
      <w:r>
        <w:t>CeBM</w:t>
      </w:r>
      <w:proofErr w:type="spellEnd"/>
      <w:r>
        <w:t>) settlement.</w:t>
      </w:r>
    </w:p>
    <w:p w14:paraId="00000018" w14:textId="77777777" w:rsidR="002F121F" w:rsidRDefault="00000000">
      <w:pPr>
        <w:spacing w:after="400"/>
      </w:pPr>
      <w:r>
        <w:t>Participating institutions include seven major banks (Standard Chartered, HSBC, Bank of China Hong Kong, among others), with support from asset managers including BlackRock and Franklin Templeton.</w:t>
      </w:r>
    </w:p>
    <w:p w14:paraId="00000019" w14:textId="77777777" w:rsidR="002F121F" w:rsidRDefault="00000000">
      <w:pPr>
        <w:pStyle w:val="2"/>
        <w:spacing w:before="200" w:after="100"/>
      </w:pPr>
      <w:r>
        <w:t>1.3 The Evaluation Gap</w:t>
      </w:r>
    </w:p>
    <w:p w14:paraId="0000001A" w14:textId="77777777" w:rsidR="002F121F" w:rsidRDefault="00000000">
      <w:pPr>
        <w:spacing w:after="200"/>
      </w:pPr>
      <w:r>
        <w:t>Despite explosive market growth, systematic risk assessment frameworks specifically designed for RWA projects remain absent. Current approaches exhibit four structural deficiencies:</w:t>
      </w:r>
    </w:p>
    <w:p w14:paraId="0000001B" w14:textId="77777777" w:rsidR="002F121F" w:rsidRDefault="00000000">
      <w:pPr>
        <w:spacing w:after="100"/>
      </w:pPr>
      <w:r>
        <w:t>Gap 1: Retrospective Bias</w:t>
      </w:r>
    </w:p>
    <w:p w14:paraId="0000001C" w14:textId="77777777" w:rsidR="002F121F" w:rsidRDefault="00000000">
      <w:pPr>
        <w:spacing w:after="200"/>
      </w:pPr>
      <w:r>
        <w:t>Existing evaluations emphasize historical performance metrics that document past stability but fail to predict structural vulnerabilities. The FTX stock token collapse exemplifies this failure: all lagging indicators appeared favorable until custodial failure triggered instantaneous collapse.</w:t>
      </w:r>
    </w:p>
    <w:p w14:paraId="0000001D" w14:textId="77777777" w:rsidR="002F121F" w:rsidRDefault="00000000">
      <w:pPr>
        <w:spacing w:after="100"/>
      </w:pPr>
      <w:r>
        <w:t>Gap 2: Asset-Agnostic Uniformity</w:t>
      </w:r>
    </w:p>
    <w:p w14:paraId="0000001E" w14:textId="77777777" w:rsidR="002F121F" w:rsidRDefault="00000000">
      <w:pPr>
        <w:spacing w:after="200"/>
      </w:pPr>
      <w:r>
        <w:t>Current frameworks apply undifferentiated evaluation criteria across heterogeneous asset classes with fundamentally different risk drivers, missing the structural differentiation that determines tokenization viability.</w:t>
      </w:r>
    </w:p>
    <w:p w14:paraId="0000001F" w14:textId="77777777" w:rsidR="002F121F" w:rsidRDefault="00000000">
      <w:pPr>
        <w:spacing w:after="100"/>
      </w:pPr>
      <w:r>
        <w:t>Gap 3: Static Weighting</w:t>
      </w:r>
    </w:p>
    <w:p w14:paraId="00000020" w14:textId="77777777" w:rsidR="002F121F" w:rsidRDefault="00000000">
      <w:pPr>
        <w:spacing w:after="200"/>
      </w:pPr>
      <w:r>
        <w:t>Evaluation criteria remain fixed despite transformative changes in regulatory clarity, custody infrastructure, and technical maturity between 2022 and 2026.</w:t>
      </w:r>
    </w:p>
    <w:p w14:paraId="00000021" w14:textId="77777777" w:rsidR="002F121F" w:rsidRDefault="00000000">
      <w:pPr>
        <w:spacing w:after="100"/>
      </w:pPr>
      <w:r>
        <w:t>Gap 4: Piecemeal Risk Analysis</w:t>
      </w:r>
    </w:p>
    <w:p w14:paraId="00000022" w14:textId="77777777" w:rsidR="002F121F" w:rsidRDefault="00000000">
      <w:pPr>
        <w:spacing w:after="400"/>
      </w:pPr>
      <w:r>
        <w:t>Existing analyses address individual risk dimensions in isolation without synthesizing interdependencies, despite RWA failures involving cascading breakdowns across multiple layers.</w:t>
      </w:r>
    </w:p>
    <w:p w14:paraId="00000023" w14:textId="77777777" w:rsidR="002F121F" w:rsidRDefault="00000000">
      <w:pPr>
        <w:pStyle w:val="1"/>
        <w:spacing w:before="200" w:after="200"/>
      </w:pPr>
      <w:r>
        <w:t>Part 2: The RARM Framework—Why Asset Structure Dominates Technology</w:t>
      </w:r>
    </w:p>
    <w:p w14:paraId="00000024" w14:textId="77777777" w:rsidR="002F121F" w:rsidRDefault="00000000">
      <w:pPr>
        <w:pStyle w:val="2"/>
        <w:spacing w:before="200" w:after="100"/>
      </w:pPr>
      <w:r>
        <w:t>2.1 Core Insight: Tokenization Friction</w:t>
      </w:r>
    </w:p>
    <w:p w14:paraId="00000025" w14:textId="77777777" w:rsidR="002F121F" w:rsidRDefault="00000000">
      <w:pPr>
        <w:spacing w:after="200"/>
      </w:pPr>
      <w:r>
        <w:t>The central thesis underlying RWA-Index is deceptively simple: RWA tokenization success is determined by the structural characteristics of the underlying asset, not by blockchain technology quality.</w:t>
      </w:r>
    </w:p>
    <w:p w14:paraId="00000026" w14:textId="77777777" w:rsidR="002F121F" w:rsidRDefault="00000000">
      <w:pPr>
        <w:spacing w:after="100"/>
      </w:pPr>
      <w:r>
        <w:t>This insight emerges from analysis of tokenization risk through the lens of Tokenization Friction—the aggregate structural impediment to transforming a real-world asset into a liquid, legally enforceable blockchain-based financial instrument. Tokenization friction comprises three primary components:</w:t>
      </w:r>
    </w:p>
    <w:p w14:paraId="00000027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Legal Friction: Uncertainty in token holders' legal enforceability</w:t>
      </w:r>
    </w:p>
    <w:p w14:paraId="00000028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Valuation Friction: Opacity in asset pricing and valuation methodology</w:t>
      </w:r>
    </w:p>
    <w:p w14:paraId="00000029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Liquidity Friction: Mismatch between token liquidity promise and underlying asset liquidation capacity</w:t>
      </w:r>
    </w:p>
    <w:p w14:paraId="0000002A" w14:textId="77777777" w:rsidR="002F121F" w:rsidRDefault="00000000">
      <w:pPr>
        <w:spacing w:after="400"/>
      </w:pPr>
      <w:r>
        <w:lastRenderedPageBreak/>
        <w:t>Critically: Technology investment cannot overcome fundamental asset-class incompatibilities. Art tokenization exemplifies this—Ethereum smart contracts function flawlessly, yet art tokenization fails structurally due to severe valuation opacity, near-zero underlying liquidity, and zero cash flows.</w:t>
      </w:r>
    </w:p>
    <w:p w14:paraId="0000002B" w14:textId="77777777" w:rsidR="002F121F" w:rsidRDefault="00000000">
      <w:pPr>
        <w:pStyle w:val="2"/>
        <w:spacing w:before="200" w:after="100"/>
      </w:pPr>
      <w:r>
        <w:t>2.2 The Six-Layer Architecture</w:t>
      </w:r>
    </w:p>
    <w:p w14:paraId="0000002C" w14:textId="77777777" w:rsidR="002F121F" w:rsidRDefault="00000000">
      <w:pPr>
        <w:spacing w:after="100"/>
      </w:pPr>
      <w:r>
        <w:t>RWA-Index operationalizes tokenization friction analysis through a six-layer architecture with strict causal ordering:</w:t>
      </w:r>
    </w:p>
    <w:p w14:paraId="0000002D" w14:textId="32E7B7E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Layer 1: Legal Structure - Enforceable ownership claims</w:t>
      </w:r>
    </w:p>
    <w:p w14:paraId="0000002E" w14:textId="7E86F1EE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Layer 2: Asset Quality - Underlying asset transparency and stability</w:t>
      </w:r>
    </w:p>
    <w:p w14:paraId="0000002F" w14:textId="7AB9D478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Layer 3: Counterparty Risk - Custodian and intermediary reliability</w:t>
      </w:r>
    </w:p>
    <w:p w14:paraId="00000030" w14:textId="4618F708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Layer 4: Token &amp; Market Structure - Liquidity provision and redemption mechanisms</w:t>
      </w:r>
    </w:p>
    <w:p w14:paraId="00000031" w14:textId="46C9B5EA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Layer 5: Technology Infrastructure - Smart contract security and blockchain reliability</w:t>
      </w:r>
    </w:p>
    <w:p w14:paraId="00000032" w14:textId="43549AD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Layer 6: Governance &amp; Incentives - Alignment and crisis response capability</w:t>
      </w:r>
    </w:p>
    <w:p w14:paraId="00000033" w14:textId="77777777" w:rsidR="002F121F" w:rsidRDefault="00000000">
      <w:pPr>
        <w:spacing w:after="400"/>
      </w:pPr>
      <w:r>
        <w:t xml:space="preserve">The causal ordering is not arbitrary. It reflects how RWA failures </w:t>
      </w:r>
      <w:proofErr w:type="gramStart"/>
      <w:r>
        <w:t>actually propagate</w:t>
      </w:r>
      <w:proofErr w:type="gramEnd"/>
      <w:r>
        <w:t>. A failure in Layer 1 renders all higher layers economically irrelevant—superior asset quality and flawless smart contracts cannot compensate for unenforceable claims.</w:t>
      </w:r>
    </w:p>
    <w:p w14:paraId="00000034" w14:textId="77777777" w:rsidR="002F121F" w:rsidRDefault="00000000">
      <w:pPr>
        <w:pStyle w:val="2"/>
        <w:spacing w:before="200" w:after="100"/>
      </w:pPr>
      <w:r>
        <w:t>2.3 Tokenization Compatibility Classification</w:t>
      </w:r>
    </w:p>
    <w:p w14:paraId="00000035" w14:textId="77777777" w:rsidR="002F121F" w:rsidRDefault="00000000">
      <w:pPr>
        <w:spacing w:after="200"/>
      </w:pPr>
      <w:r>
        <w:t>Empirical case study validation reveals a clear friction gradient that maps to tokenization compatibility tiers:</w:t>
      </w:r>
    </w:p>
    <w:p w14:paraId="00000036" w14:textId="77777777" w:rsidR="002F121F" w:rsidRPr="00512F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eastAsia="Times New Roman"/>
          <w:color w:val="000000"/>
        </w:rPr>
      </w:pPr>
      <w:r w:rsidRPr="00512FA2">
        <w:rPr>
          <w:rFonts w:eastAsia="Times New Roman"/>
          <w:color w:val="000000"/>
        </w:rPr>
        <w:t>High Compatibility (RCS ≥ 4.0): Sovereign debt, Treasury instruments, money market funds. Strong price discovery, deep liquidity, standardized legal structures.</w:t>
      </w:r>
    </w:p>
    <w:p w14:paraId="00000037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Moderate Compatibility (RCS 3.0-3.99): Private credit, trade finance, institutional real estate. Viable but requiring structural enhancements.</w:t>
      </w:r>
    </w:p>
    <w:p w14:paraId="00000038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Emerging Compatibility (RCS &lt; 3.0): Private equity, art, raw land. Severe valuation opacity and illiquidity; tokenization adds illusion but not substance.</w:t>
      </w:r>
    </w:p>
    <w:p w14:paraId="00000039" w14:textId="77777777" w:rsidR="002F121F" w:rsidRDefault="00000000">
      <w:pPr>
        <w:spacing w:after="400"/>
      </w:pPr>
      <w:r>
        <w:t>Key Finding: Technology Infrastructure is the least discriminating layer across asset classes. This confirms that technology quality is necessary but not sufficient; asset structure is the primary determinant of viability.</w:t>
      </w:r>
    </w:p>
    <w:p w14:paraId="0000003A" w14:textId="77777777" w:rsidR="002F121F" w:rsidRDefault="00000000">
      <w:pPr>
        <w:pStyle w:val="1"/>
        <w:spacing w:before="200" w:after="200"/>
      </w:pPr>
      <w:r>
        <w:t>Part 3: RWA-Index Platform Design and Academic Mission</w:t>
      </w:r>
    </w:p>
    <w:p w14:paraId="0000003B" w14:textId="77777777" w:rsidR="002F121F" w:rsidRDefault="00000000">
      <w:pPr>
        <w:pStyle w:val="2"/>
        <w:spacing w:before="200" w:after="100"/>
      </w:pPr>
      <w:r>
        <w:t>3.1 Core Analytical Tools</w:t>
      </w:r>
    </w:p>
    <w:p w14:paraId="0000003C" w14:textId="77777777" w:rsidR="002F121F" w:rsidRDefault="00000000">
      <w:pPr>
        <w:spacing w:after="100"/>
      </w:pPr>
      <w:r>
        <w:t>RWA-Index provides three core tools:</w:t>
      </w:r>
    </w:p>
    <w:p w14:paraId="0000003D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RARM Scoring Engine: Evaluates RWA projects across 49 indicators, produces Arbitrage Friction Index (AFI) score on 0-10 scale, asset-class-specific weighting via two-dimensional taxonomy.</w:t>
      </w:r>
    </w:p>
    <w:p w14:paraId="0000003E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Tokenization Compatibility Map: Two-dimensional visualization (Price Discovery vs. Liquidity), positions asset classes within compatibility zones, geometric representation of tokenization friction.</w:t>
      </w:r>
    </w:p>
    <w:p w14:paraId="0000003F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Dynamic Weight Evolution: Adjusts layer weights as RWA ecosystem matures across three stages (Embryonic/Growth/Mature), objective staging criteria tied to observable market metrics.</w:t>
      </w:r>
    </w:p>
    <w:p w14:paraId="00000040" w14:textId="77777777" w:rsidR="002F121F" w:rsidRDefault="00000000">
      <w:pPr>
        <w:pStyle w:val="2"/>
        <w:spacing w:before="200" w:after="100"/>
      </w:pPr>
      <w:r>
        <w:t>3.2 User Personas and Use Cases</w:t>
      </w:r>
    </w:p>
    <w:p w14:paraId="00000041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Institutional Investors: Due diligence before capital deployment; systematic forward-looking structural analysis; identification of custody concentration risk, legal enforceability gaps.</w:t>
      </w:r>
    </w:p>
    <w:p w14:paraId="00000042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lastRenderedPageBreak/>
        <w:t>Regulatory Policy Makers (HKMA, SFC): Policy framework development; supervisory guidance; evidence-based methodology for evaluating systemic risks.</w:t>
      </w:r>
    </w:p>
    <w:p w14:paraId="00000043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RWA Project Developers: Diagnostic tool for identifying structural weaknesses; transparent roadmap for improvement; prioritized guidance on infrastructure investments.</w:t>
      </w:r>
    </w:p>
    <w:p w14:paraId="00000044" w14:textId="77777777" w:rsidR="002F121F" w:rsidRDefault="00000000">
      <w:pPr>
        <w:pStyle w:val="2"/>
        <w:spacing w:before="200" w:after="100"/>
      </w:pPr>
      <w:r>
        <w:t>3.3 Positioning: Research Tool, Not Rating Service</w:t>
      </w:r>
    </w:p>
    <w:p w14:paraId="00000045" w14:textId="77777777" w:rsidR="002F121F" w:rsidRDefault="00000000">
      <w:pPr>
        <w:spacing w:after="100"/>
      </w:pPr>
      <w:r>
        <w:t>RWA-Index is explicitly designed as an academic research platform, not a ratings agency or investment recommendation system. This distinction is critical for Hong Kong's regulatory environment:</w:t>
      </w:r>
    </w:p>
    <w:p w14:paraId="00000046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No Rating Judgments: Provides structural analysis, not investment grades</w:t>
      </w:r>
    </w:p>
    <w:p w14:paraId="00000047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Transparent Methodology: All evaluation criteria published; framework parameters openly specified; users can audit and replicate assessments</w:t>
      </w:r>
    </w:p>
    <w:p w14:paraId="00000048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Complementary, Not Competitive: Augments existing institutional due diligence; does not compete with regulatory oversight</w:t>
      </w:r>
    </w:p>
    <w:p w14:paraId="00000049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Academic Governance: Framework development follows peer-review standards; indicator weights evolve based on empirical validation rather than commercial incentives</w:t>
      </w:r>
    </w:p>
    <w:p w14:paraId="0000004A" w14:textId="77777777" w:rsidR="002F121F" w:rsidRDefault="00000000">
      <w:pPr>
        <w:spacing w:after="400"/>
      </w:pPr>
      <w:r>
        <w:t>This positioning allows RWA-Index to serve as a collaborative tool supporting Hong Kong's institutional and regulatory ecosystem while maintaining independence and methodological rigor.</w:t>
      </w:r>
    </w:p>
    <w:p w14:paraId="0000004B" w14:textId="77777777" w:rsidR="002F121F" w:rsidRDefault="00000000">
      <w:pPr>
        <w:pStyle w:val="1"/>
        <w:spacing w:before="200" w:after="200"/>
      </w:pPr>
      <w:r>
        <w:t>Part 4: Hong Kong's RWA Ecosystem and RWA-Index Strategic Position</w:t>
      </w:r>
    </w:p>
    <w:p w14:paraId="0000004C" w14:textId="77777777" w:rsidR="002F121F" w:rsidRDefault="00000000">
      <w:pPr>
        <w:pStyle w:val="2"/>
        <w:spacing w:before="200" w:after="100"/>
      </w:pPr>
      <w:r>
        <w:t>4.1 Market Infrastructure Gaps</w:t>
      </w:r>
    </w:p>
    <w:p w14:paraId="0000004D" w14:textId="77777777" w:rsidR="002F121F" w:rsidRDefault="00000000">
      <w:pPr>
        <w:spacing w:after="100"/>
      </w:pPr>
      <w:r>
        <w:t>Hong Kong's RWA market is embryonic but strategically well-positioned. Structural gaps exist in:</w:t>
      </w:r>
    </w:p>
    <w:p w14:paraId="0000004E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Risk Evaluation Infrastructure: No systematic methodology adapted to Hong Kong's regulatory and operational context</w:t>
      </w:r>
    </w:p>
    <w:p w14:paraId="0000004F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Institutional Due Diligence Standards: Absence of formalized protocols for sophisticated investors assessing RWA exposure</w:t>
      </w:r>
    </w:p>
    <w:p w14:paraId="00000050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Regulatory Guidance: Limited supervisory frameworks for evaluating RWA project eligibility</w:t>
      </w:r>
    </w:p>
    <w:p w14:paraId="00000051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Knowledge Transfer: Gap between academic research and practitioner implementation</w:t>
      </w:r>
    </w:p>
    <w:p w14:paraId="00000058" w14:textId="6DBD0E6A" w:rsidR="002F121F" w:rsidRDefault="00000000">
      <w:pPr>
        <w:pStyle w:val="2"/>
        <w:spacing w:before="200" w:after="100"/>
      </w:pPr>
      <w:r>
        <w:t>4.</w:t>
      </w:r>
      <w:r w:rsidR="00512FA2">
        <w:rPr>
          <w:rFonts w:hint="eastAsia"/>
        </w:rPr>
        <w:t>2</w:t>
      </w:r>
      <w:r>
        <w:t xml:space="preserve"> Development Roadmap: 2026-2030</w:t>
      </w:r>
    </w:p>
    <w:p w14:paraId="00000059" w14:textId="77777777" w:rsidR="002F121F" w:rsidRDefault="00000000">
      <w:pPr>
        <w:spacing w:after="100"/>
      </w:pPr>
      <w:r>
        <w:t>Phase 1 (2026): Foundation &amp; Pilot</w:t>
      </w:r>
    </w:p>
    <w:p w14:paraId="0000005A" w14:textId="77777777" w:rsidR="002F121F" w:rsidRDefault="00000000">
      <w:pPr>
        <w:spacing w:after="200"/>
      </w:pPr>
      <w:r>
        <w:t>Complete RARM framework validation across 20+ additional case studies; establish user partnerships with 3-5 institutional investors; develop Hong Kong-specific regulatory guidance; build technical platform for public-facing AFI scoring.</w:t>
      </w:r>
    </w:p>
    <w:p w14:paraId="0000005B" w14:textId="77777777" w:rsidR="002F121F" w:rsidRDefault="00000000">
      <w:pPr>
        <w:spacing w:after="100"/>
      </w:pPr>
      <w:r>
        <w:t>Phase 2 (2027-2028): Institutional Adoption</w:t>
      </w:r>
    </w:p>
    <w:p w14:paraId="0000005C" w14:textId="77777777" w:rsidR="002F121F" w:rsidRDefault="00000000">
      <w:pPr>
        <w:spacing w:after="200"/>
      </w:pPr>
      <w:r>
        <w:t>Integrate RWA-Index into institutional investment decision workflows; expand asset class coverage; develop dynamic weighting calibration; publish quarterly market assessments.</w:t>
      </w:r>
    </w:p>
    <w:p w14:paraId="0000005D" w14:textId="77777777" w:rsidR="002F121F" w:rsidRDefault="00000000">
      <w:pPr>
        <w:spacing w:after="100"/>
      </w:pPr>
      <w:r>
        <w:t>Phase 3 (2029-2030): Market Leadership</w:t>
      </w:r>
    </w:p>
    <w:p w14:paraId="0000005E" w14:textId="77777777" w:rsidR="002F121F" w:rsidRDefault="00000000">
      <w:pPr>
        <w:spacing w:after="400"/>
      </w:pPr>
      <w:r>
        <w:t xml:space="preserve">Position Hong Kong RWA-Index as leading regional framework; integrate with international standards; support transition from </w:t>
      </w:r>
      <w:proofErr w:type="spellStart"/>
      <w:r>
        <w:t>EnsembleTX</w:t>
      </w:r>
      <w:proofErr w:type="spellEnd"/>
      <w:r>
        <w:t xml:space="preserve"> pilot to production infrastructure.</w:t>
      </w:r>
    </w:p>
    <w:p w14:paraId="0000005F" w14:textId="77777777" w:rsidR="002F121F" w:rsidRDefault="00000000">
      <w:pPr>
        <w:pStyle w:val="1"/>
        <w:spacing w:before="200" w:after="200"/>
      </w:pPr>
      <w:r>
        <w:t>Conclusion</w:t>
      </w:r>
    </w:p>
    <w:p w14:paraId="00000060" w14:textId="77777777" w:rsidR="002F121F" w:rsidRDefault="00000000">
      <w:pPr>
        <w:spacing w:after="200"/>
      </w:pPr>
      <w:r>
        <w:lastRenderedPageBreak/>
        <w:t xml:space="preserve">Hong Kong stands at an inflection point in RWA market development. </w:t>
      </w:r>
      <w:proofErr w:type="spellStart"/>
      <w:r>
        <w:t>EnsembleTX's</w:t>
      </w:r>
      <w:proofErr w:type="spellEnd"/>
      <w:r>
        <w:t xml:space="preserve"> launch in 2026 represents the transition from experimental sandbox to institutional-grade infrastructure. This transition creates both opportunity and responsibility: institutions, regulators, and market participants require systematic, transparent methodologies for evaluating RWA projects as capital deployment accelerates.</w:t>
      </w:r>
    </w:p>
    <w:p w14:paraId="00000061" w14:textId="77777777" w:rsidR="002F121F" w:rsidRDefault="00000000">
      <w:pPr>
        <w:spacing w:after="100"/>
      </w:pPr>
      <w:r>
        <w:t>RWA-Index addresses this need by providing:</w:t>
      </w:r>
    </w:p>
    <w:p w14:paraId="00000062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Forward-looking structural analysis replacing retrospective performance metrics</w:t>
      </w:r>
    </w:p>
    <w:p w14:paraId="00000063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Asset-differentiated evaluation recognizing that tokenization compatibility varies systematically across asset classes</w:t>
      </w:r>
    </w:p>
    <w:p w14:paraId="00000064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eastAsia="Times New Roman"/>
          <w:color w:val="000000"/>
        </w:rPr>
        <w:t>Cross-layer risk synthesis capturing how failures propagate across legal, operational, technological, and governance dimensions</w:t>
      </w:r>
    </w:p>
    <w:p w14:paraId="00000065" w14:textId="77777777" w:rsidR="002F1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eastAsia="Times New Roman"/>
          <w:color w:val="000000"/>
        </w:rPr>
        <w:t>Dynamic methodology that evolves as ecosystem infrastructure matures</w:t>
      </w:r>
    </w:p>
    <w:p w14:paraId="00000066" w14:textId="77777777" w:rsidR="002F121F" w:rsidRDefault="00000000">
      <w:pPr>
        <w:spacing w:after="400"/>
      </w:pPr>
      <w:r>
        <w:t>By positioning RWA-Index as an academic research tool complementing institutional and regulatory efforts, we aim to contribute to Hong Kong's development as a global leader in regulated, systemically-sound RWA infrastructure.</w:t>
      </w:r>
    </w:p>
    <w:p w14:paraId="00000067" w14:textId="77777777" w:rsidR="002F121F" w:rsidRDefault="00000000">
      <w:pPr>
        <w:spacing w:after="200"/>
      </w:pPr>
      <w:r>
        <w:t>We welcome engagement from HKMA and SFC, institutional investors, RWA project developers, and academic researchers in further developing and validating this framework.</w:t>
      </w:r>
    </w:p>
    <w:p w14:paraId="00000068" w14:textId="77777777" w:rsidR="002F121F" w:rsidRDefault="00000000">
      <w:pPr>
        <w:spacing w:before="200" w:after="200"/>
        <w:jc w:val="center"/>
      </w:pPr>
      <w:r>
        <w:t>—</w:t>
      </w:r>
    </w:p>
    <w:p w14:paraId="00000069" w14:textId="77777777" w:rsidR="002F121F" w:rsidRDefault="00000000">
      <w:pPr>
        <w:spacing w:before="200" w:after="100"/>
        <w:jc w:val="center"/>
      </w:pPr>
      <w:r>
        <w:t>Document Information</w:t>
      </w:r>
    </w:p>
    <w:p w14:paraId="0000006A" w14:textId="77777777" w:rsidR="002F121F" w:rsidRDefault="00000000">
      <w:pPr>
        <w:spacing w:after="50"/>
        <w:jc w:val="center"/>
      </w:pPr>
      <w:r>
        <w:t>Version: 1.0 White Paper Draft | Date: April 2026</w:t>
      </w:r>
    </w:p>
    <w:p w14:paraId="0000006B" w14:textId="77777777" w:rsidR="002F121F" w:rsidRDefault="00000000">
      <w:pPr>
        <w:spacing w:after="50"/>
        <w:jc w:val="center"/>
      </w:pPr>
      <w:r>
        <w:t>Institution: HKUST Crypto Fintech Lab</w:t>
      </w:r>
    </w:p>
    <w:sectPr w:rsidR="002F121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06E9FF0-E889-1643-B277-7DFB286AAB5A}"/>
    <w:embedItalic r:id="rId2" w:fontKey="{267E0F84-413B-2C4B-AF38-8FC643A7B5C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31A7A0D-E3FA-D847-9E4D-52180EAA696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81032522-1CC2-B145-B2BF-82C36BD3B9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0930F3A9-47DC-9C41-B29C-3E0D1ACE51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6097A"/>
    <w:multiLevelType w:val="multilevel"/>
    <w:tmpl w:val="9370C7C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36722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21F"/>
    <w:rsid w:val="001103D6"/>
    <w:rsid w:val="002F121F"/>
    <w:rsid w:val="00512FA2"/>
    <w:rsid w:val="007945BC"/>
    <w:rsid w:val="008F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B43C5"/>
  <w15:docId w15:val="{4F493AD1-2206-1E42-A8C0-C63826B3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rFonts w:eastAsia="Times New Roman"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eastAsia="Times New Roman"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Times New Roman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Times New Roman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Times New Roman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Times New Roman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Times New Roman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1824</Words>
  <Characters>10402</Characters>
  <Application>Microsoft Office Word</Application>
  <DocSecurity>0</DocSecurity>
  <Lines>86</Lines>
  <Paragraphs>24</Paragraphs>
  <ScaleCrop>false</ScaleCrop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WEN Yizhou</cp:lastModifiedBy>
  <cp:revision>3</cp:revision>
  <dcterms:created xsi:type="dcterms:W3CDTF">2026-04-22T08:45:00Z</dcterms:created>
  <dcterms:modified xsi:type="dcterms:W3CDTF">2026-04-22T09:09:00Z</dcterms:modified>
</cp:coreProperties>
</file>