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lastRenderedPageBreak/>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lastRenderedPageBreak/>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lastRenderedPageBreak/>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lastRenderedPageBreak/>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lastRenderedPageBreak/>
        <w:t>Device/browser compatibility testing will be completed before launch</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515F8F37" w14:textId="77777777" w:rsidR="00943712" w:rsidRDefault="00943712" w:rsidP="00943712">
      <w:pPr>
        <w:pStyle w:val="ListParagraph"/>
        <w:tabs>
          <w:tab w:val="left" w:pos="0"/>
        </w:tabs>
        <w:spacing w:line="240" w:lineRule="auto"/>
        <w:ind w:left="0"/>
        <w:jc w:val="both"/>
        <w:rPr>
          <w:rFonts w:ascii="Arial" w:hAnsi="Arial" w:cs="Arial"/>
          <w:b/>
          <w:bCs/>
        </w:rPr>
      </w:pP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34AA6836" w14:textId="54C64670" w:rsidR="00943712" w:rsidRPr="00A93EEE"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3DD0655D" w:rsidR="00664D9E" w:rsidRPr="00664D9E" w:rsidRDefault="003F52EE" w:rsidP="00664D9E">
      <w:pPr>
        <w:spacing w:after="0" w:line="240" w:lineRule="auto"/>
        <w:jc w:val="center"/>
        <w:rPr>
          <w:rFonts w:ascii="Arial" w:hAnsi="Arial" w:cs="Arial"/>
          <w:b/>
          <w:bCs/>
          <w:sz w:val="20"/>
          <w:szCs w:val="20"/>
        </w:rPr>
      </w:pPr>
      <w:r>
        <w:rPr>
          <w:rFonts w:ascii="Arial" w:hAnsi="Arial" w:cs="Arial"/>
          <w:b/>
          <w:bCs/>
          <w:noProof/>
          <w:sz w:val="20"/>
          <w:szCs w:val="20"/>
        </w:rPr>
        <w:drawing>
          <wp:inline distT="0" distB="0" distL="0" distR="0" wp14:anchorId="7ECD7500" wp14:editId="5B9CCAD9">
            <wp:extent cx="5535991" cy="4324350"/>
            <wp:effectExtent l="0" t="0" r="7620" b="0"/>
            <wp:docPr id="83085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7123" name="Picture 830857123"/>
                    <pic:cNvPicPr/>
                  </pic:nvPicPr>
                  <pic:blipFill>
                    <a:blip r:embed="rId12">
                      <a:extLst>
                        <a:ext uri="{28A0092B-C50C-407E-A947-70E740481C1C}">
                          <a14:useLocalDpi xmlns:a14="http://schemas.microsoft.com/office/drawing/2010/main" val="0"/>
                        </a:ext>
                      </a:extLst>
                    </a:blip>
                    <a:stretch>
                      <a:fillRect/>
                    </a:stretch>
                  </pic:blipFill>
                  <pic:spPr>
                    <a:xfrm>
                      <a:off x="0" y="0"/>
                      <a:ext cx="5554001" cy="4338418"/>
                    </a:xfrm>
                    <a:prstGeom prst="rect">
                      <a:avLst/>
                    </a:prstGeom>
                  </pic:spPr>
                </pic:pic>
              </a:graphicData>
            </a:graphic>
          </wp:inline>
        </w:drawing>
      </w: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77777777" w:rsidR="00A559D7" w:rsidRDefault="00A559D7" w:rsidP="00A559D7">
      <w:pPr>
        <w:jc w:val="center"/>
        <w:rPr>
          <w:rFonts w:ascii="Arial" w:hAnsi="Arial" w:cs="Arial"/>
          <w:b/>
          <w:bCs/>
          <w:sz w:val="28"/>
          <w:szCs w:val="28"/>
        </w:rPr>
      </w:pPr>
      <w:r>
        <w:rPr>
          <w:rFonts w:ascii="Arial" w:hAnsi="Arial" w:cs="Arial"/>
          <w:b/>
          <w:bCs/>
          <w:sz w:val="28"/>
          <w:szCs w:val="28"/>
        </w:rPr>
        <w:t>WIREFRAME: USER REGISTRATION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5">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 xml:space="preserve">Wireframe User </w:t>
      </w:r>
      <w:r>
        <w:rPr>
          <w:rFonts w:ascii="Arial" w:hAnsi="Arial" w:cs="Arial"/>
        </w:rPr>
        <w:t>Login</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42AD6414" w:rsidR="005E78ED" w:rsidRDefault="005E78ED" w:rsidP="00B415C5">
      <w:pPr>
        <w:jc w:val="center"/>
        <w:rPr>
          <w:rFonts w:ascii="Arial" w:hAnsi="Arial" w:cs="Arial"/>
          <w:b/>
          <w:bCs/>
          <w:sz w:val="28"/>
          <w:szCs w:val="28"/>
        </w:rPr>
      </w:pP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33F2764E" w:rsidR="009203DE" w:rsidRDefault="009203DE" w:rsidP="0030068F">
      <w:pPr>
        <w:jc w:val="center"/>
        <w:rPr>
          <w:rFonts w:ascii="Arial" w:hAnsi="Arial" w:cs="Arial"/>
        </w:rPr>
      </w:pP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44C14" w14:textId="77777777" w:rsidR="00246049" w:rsidRDefault="00246049" w:rsidP="00CD0F45">
      <w:pPr>
        <w:spacing w:after="0" w:line="240" w:lineRule="auto"/>
      </w:pPr>
      <w:r>
        <w:separator/>
      </w:r>
    </w:p>
  </w:endnote>
  <w:endnote w:type="continuationSeparator" w:id="0">
    <w:p w14:paraId="169314DB" w14:textId="77777777" w:rsidR="00246049" w:rsidRDefault="00246049"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162396" w14:textId="77777777" w:rsidR="00246049" w:rsidRDefault="00246049" w:rsidP="00CD0F45">
      <w:pPr>
        <w:spacing w:after="0" w:line="240" w:lineRule="auto"/>
      </w:pPr>
      <w:r>
        <w:separator/>
      </w:r>
    </w:p>
  </w:footnote>
  <w:footnote w:type="continuationSeparator" w:id="0">
    <w:p w14:paraId="6CF36C54" w14:textId="77777777" w:rsidR="00246049" w:rsidRDefault="00246049"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049"/>
    <w:rsid w:val="002467F8"/>
    <w:rsid w:val="0025201A"/>
    <w:rsid w:val="002547BC"/>
    <w:rsid w:val="00255220"/>
    <w:rsid w:val="00260B93"/>
    <w:rsid w:val="002632B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684F"/>
    <w:rsid w:val="004E17C4"/>
    <w:rsid w:val="004F11BB"/>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B0599"/>
    <w:rsid w:val="005B5451"/>
    <w:rsid w:val="005B6EBC"/>
    <w:rsid w:val="005B74CB"/>
    <w:rsid w:val="005C0466"/>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2030"/>
    <w:rsid w:val="00606E13"/>
    <w:rsid w:val="00611AAD"/>
    <w:rsid w:val="00612756"/>
    <w:rsid w:val="0061300F"/>
    <w:rsid w:val="0061574D"/>
    <w:rsid w:val="006161D2"/>
    <w:rsid w:val="006174B6"/>
    <w:rsid w:val="00617F54"/>
    <w:rsid w:val="0062296A"/>
    <w:rsid w:val="006247C1"/>
    <w:rsid w:val="006259AE"/>
    <w:rsid w:val="00625FF2"/>
    <w:rsid w:val="00633F38"/>
    <w:rsid w:val="006379BF"/>
    <w:rsid w:val="00640BCA"/>
    <w:rsid w:val="00641315"/>
    <w:rsid w:val="00642AA4"/>
    <w:rsid w:val="00644872"/>
    <w:rsid w:val="00644E21"/>
    <w:rsid w:val="006504D8"/>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26D6B"/>
    <w:rsid w:val="00735001"/>
    <w:rsid w:val="0073509F"/>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96F8E"/>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7A3F"/>
    <w:rsid w:val="00A30D6C"/>
    <w:rsid w:val="00A31A20"/>
    <w:rsid w:val="00A35FDE"/>
    <w:rsid w:val="00A47917"/>
    <w:rsid w:val="00A54811"/>
    <w:rsid w:val="00A559D7"/>
    <w:rsid w:val="00A62568"/>
    <w:rsid w:val="00A647E8"/>
    <w:rsid w:val="00A648CE"/>
    <w:rsid w:val="00A7116F"/>
    <w:rsid w:val="00A729CE"/>
    <w:rsid w:val="00A75CD3"/>
    <w:rsid w:val="00A77047"/>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313D1"/>
    <w:rsid w:val="00B36FDB"/>
    <w:rsid w:val="00B4124C"/>
    <w:rsid w:val="00B414D6"/>
    <w:rsid w:val="00B41564"/>
    <w:rsid w:val="00B415C5"/>
    <w:rsid w:val="00B506D6"/>
    <w:rsid w:val="00B51E86"/>
    <w:rsid w:val="00B72C62"/>
    <w:rsid w:val="00B846C2"/>
    <w:rsid w:val="00B936DE"/>
    <w:rsid w:val="00BA15A7"/>
    <w:rsid w:val="00BB18F0"/>
    <w:rsid w:val="00BB7722"/>
    <w:rsid w:val="00BC3437"/>
    <w:rsid w:val="00BC697D"/>
    <w:rsid w:val="00BD19F5"/>
    <w:rsid w:val="00BD42E1"/>
    <w:rsid w:val="00BE06FC"/>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975"/>
    <w:rsid w:val="00C67B9D"/>
    <w:rsid w:val="00C708EE"/>
    <w:rsid w:val="00C73A07"/>
    <w:rsid w:val="00C757AB"/>
    <w:rsid w:val="00C7653E"/>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163C"/>
    <w:rsid w:val="00D239E6"/>
    <w:rsid w:val="00D3068C"/>
    <w:rsid w:val="00D32918"/>
    <w:rsid w:val="00D32C3C"/>
    <w:rsid w:val="00D41600"/>
    <w:rsid w:val="00D42E1F"/>
    <w:rsid w:val="00D459A7"/>
    <w:rsid w:val="00D46E78"/>
    <w:rsid w:val="00D47B61"/>
    <w:rsid w:val="00D5742C"/>
    <w:rsid w:val="00D666B0"/>
    <w:rsid w:val="00D716A5"/>
    <w:rsid w:val="00D732F2"/>
    <w:rsid w:val="00D74CB4"/>
    <w:rsid w:val="00D752A9"/>
    <w:rsid w:val="00D754A7"/>
    <w:rsid w:val="00D80820"/>
    <w:rsid w:val="00D81D67"/>
    <w:rsid w:val="00D86D08"/>
    <w:rsid w:val="00D90787"/>
    <w:rsid w:val="00D92FCD"/>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5275E"/>
    <w:rsid w:val="0017711D"/>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D3AA8"/>
    <w:rsid w:val="006D5EC0"/>
    <w:rsid w:val="006F4A14"/>
    <w:rsid w:val="00786E27"/>
    <w:rsid w:val="007B1751"/>
    <w:rsid w:val="007B4100"/>
    <w:rsid w:val="007D2435"/>
    <w:rsid w:val="008556F8"/>
    <w:rsid w:val="0087013F"/>
    <w:rsid w:val="00872776"/>
    <w:rsid w:val="008F1BD4"/>
    <w:rsid w:val="009661E1"/>
    <w:rsid w:val="009D5855"/>
    <w:rsid w:val="00A124E8"/>
    <w:rsid w:val="00B846C2"/>
    <w:rsid w:val="00BC697D"/>
    <w:rsid w:val="00C62CF8"/>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15</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1341</cp:revision>
  <cp:lastPrinted>2025-05-29T09:59:00Z</cp:lastPrinted>
  <dcterms:created xsi:type="dcterms:W3CDTF">2025-05-02T03:04:00Z</dcterms:created>
  <dcterms:modified xsi:type="dcterms:W3CDTF">2025-07-02T04:54:00Z</dcterms:modified>
</cp:coreProperties>
</file>