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156AB24"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w:t>
                                    </w:r>
                                    <w:r w:rsidR="00985051">
                                      <w:rPr>
                                        <w:rFonts w:ascii="Arial" w:hAnsi="Arial" w:cs="Arial"/>
                                        <w:caps/>
                                        <w:color w:val="323E4F" w:themeColor="text2" w:themeShade="BF"/>
                                        <w:sz w:val="44"/>
                                        <w:szCs w:val="44"/>
                                      </w:rPr>
                                      <w:t>Traceability Matrix</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68120F0B" w:rsidR="00EB47CA" w:rsidRPr="005E140E" w:rsidRDefault="00985051">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14</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4156AB24"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w:t>
                              </w:r>
                              <w:r w:rsidR="00985051">
                                <w:rPr>
                                  <w:rFonts w:ascii="Arial" w:hAnsi="Arial" w:cs="Arial"/>
                                  <w:caps/>
                                  <w:color w:val="323E4F" w:themeColor="text2" w:themeShade="BF"/>
                                  <w:sz w:val="44"/>
                                  <w:szCs w:val="44"/>
                                </w:rPr>
                                <w:t>Traceability Matrix</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68120F0B" w:rsidR="00EB47CA" w:rsidRPr="005E140E" w:rsidRDefault="00985051">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14</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lastRenderedPageBreak/>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lastRenderedPageBreak/>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lastRenderedPageBreak/>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136C1BEB">
            <wp:extent cx="5206758" cy="4067175"/>
            <wp:effectExtent l="0" t="0" r="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239717" cy="4092921"/>
                    </a:xfrm>
                    <a:prstGeom prst="rect">
                      <a:avLst/>
                    </a:prstGeom>
                  </pic:spPr>
                </pic:pic>
              </a:graphicData>
            </a:graphic>
          </wp:inline>
        </w:drawing>
      </w: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3F48B330">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A3A9A" w14:textId="77777777" w:rsidR="00786C70" w:rsidRDefault="00786C70" w:rsidP="00CD0F45">
      <w:pPr>
        <w:spacing w:after="0" w:line="240" w:lineRule="auto"/>
      </w:pPr>
      <w:r>
        <w:separator/>
      </w:r>
    </w:p>
  </w:endnote>
  <w:endnote w:type="continuationSeparator" w:id="0">
    <w:p w14:paraId="3C22AFA0" w14:textId="77777777" w:rsidR="00786C70" w:rsidRDefault="00786C7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B8ACC" w14:textId="77777777" w:rsidR="00786C70" w:rsidRDefault="00786C70" w:rsidP="00CD0F45">
      <w:pPr>
        <w:spacing w:after="0" w:line="240" w:lineRule="auto"/>
      </w:pPr>
      <w:r>
        <w:separator/>
      </w:r>
    </w:p>
  </w:footnote>
  <w:footnote w:type="continuationSeparator" w:id="0">
    <w:p w14:paraId="2101DFBE" w14:textId="77777777" w:rsidR="00786C70" w:rsidRDefault="00786C7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3EE1672"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85051">
          <w:rPr>
            <w:rFonts w:ascii="Arial" w:hAnsi="Arial" w:cs="Arial"/>
            <w:color w:val="404040" w:themeColor="text1" w:themeTint="BF"/>
          </w:rPr>
          <w:t>REQUIREMENTS Traceability Matrix</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4BE55780"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85051">
          <w:rPr>
            <w:color w:val="404040" w:themeColor="text1" w:themeTint="BF"/>
          </w:rPr>
          <w:t>REQUIREMENTS Traceability Matrix</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FC"/>
    <w:rsid w:val="00777CEB"/>
    <w:rsid w:val="007804F0"/>
    <w:rsid w:val="007837A2"/>
    <w:rsid w:val="0078616F"/>
    <w:rsid w:val="00786C70"/>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128B"/>
    <w:rsid w:val="00962C5F"/>
    <w:rsid w:val="00963B99"/>
    <w:rsid w:val="0096489B"/>
    <w:rsid w:val="009767E6"/>
    <w:rsid w:val="00985051"/>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2C91"/>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47597"/>
    <w:rsid w:val="006D3AA8"/>
    <w:rsid w:val="006D5EC0"/>
    <w:rsid w:val="006F4A14"/>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34DD"/>
    <w:rsid w:val="00BC697D"/>
    <w:rsid w:val="00C37599"/>
    <w:rsid w:val="00C62CF8"/>
    <w:rsid w:val="00C92194"/>
    <w:rsid w:val="00CB4F28"/>
    <w:rsid w:val="00D047F1"/>
    <w:rsid w:val="00D11E5B"/>
    <w:rsid w:val="00DC66AF"/>
    <w:rsid w:val="00F85D70"/>
    <w:rsid w:val="00F95F68"/>
    <w:rsid w:val="00FA7295"/>
    <w:rsid w:val="00FC2C91"/>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19</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dc:title>
  <dc:subject>14 July 2025</dc:subject>
  <dc:creator>zohaib waqar</dc:creator>
  <cp:keywords/>
  <dc:description/>
  <cp:lastModifiedBy>NetPC</cp:lastModifiedBy>
  <cp:revision>1430</cp:revision>
  <cp:lastPrinted>2025-05-29T09:59:00Z</cp:lastPrinted>
  <dcterms:created xsi:type="dcterms:W3CDTF">2025-05-02T03:04:00Z</dcterms:created>
  <dcterms:modified xsi:type="dcterms:W3CDTF">2025-07-14T08:33:00Z</dcterms:modified>
</cp:coreProperties>
</file>